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06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06 RCM Part B: New EBP Benefits &amp; Claim-Rejection Analysis</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06 — My Clinic — RCM Part B: New EBP Benefits &amp; Claim-Rejection Analysis</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rcmb-</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RCM lead (lead); Payer Relations; Coding lead; Data Protection Officer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RCM staff</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~20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(64 / 80)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7 / 80 (Phase 4 expectation: 7 / 80)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elearning-course/md/06_rcm-billing-documentation-slides-2026.md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Collaborative burgundy #7C0041</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B1–B9; program D4, D5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4.7 min; Phase 3 per-screen targets: 4.7 min; Phase 3 rough module estimate: ~5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Objective id</w:t>
            </w:r>
          </w:p>
        </w:tc>
        <w:tc>
          <w:tcPr>
            <w:tcW w:type="dxa" w:w="3485"/>
            <w:shd w:fill="7C0041"/>
          </w:tcPr>
          <w:p>
            <w:pPr>
              <w:spacing w:after="20"/>
            </w:pPr>
            <w:r>
              <w:rPr>
                <w:rFonts w:ascii="Montserrat" w:hAnsi="Montserrat"/>
                <w:b/>
                <w:color w:val="FFFFFF"/>
                <w:sz w:val="15"/>
              </w:rPr>
              <w:t>Objective</w:t>
            </w:r>
          </w:p>
        </w:tc>
        <w:tc>
          <w:tcPr>
            <w:tcW w:type="dxa" w:w="3485"/>
            <w:shd w:fill="7C0041"/>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rcmb-o1</w:t>
            </w:r>
          </w:p>
        </w:tc>
        <w:tc>
          <w:tcPr>
            <w:tcW w:type="dxa" w:w="3485"/>
          </w:tcPr>
          <w:p>
            <w:pPr>
              <w:spacing w:after="20"/>
            </w:pPr>
            <w:r>
              <w:rPr>
                <w:rFonts w:ascii="Montserrat" w:hAnsi="Montserrat"/>
                <w:sz w:val="15"/>
              </w:rPr>
              <w:t>Distinguish benefits added by the new EBP from benefits amended by it.</w:t>
            </w:r>
          </w:p>
        </w:tc>
        <w:tc>
          <w:tcPr>
            <w:tcW w:type="dxa" w:w="3485"/>
          </w:tcPr>
          <w:p>
            <w:pPr>
              <w:spacing w:after="20"/>
            </w:pPr>
            <w:r>
              <w:rPr>
                <w:rFonts w:ascii="Montserrat" w:hAnsi="Montserrat"/>
                <w:sz w:val="15"/>
              </w:rPr>
              <w:t>rcmb-010</w:t>
            </w:r>
          </w:p>
        </w:tc>
      </w:tr>
      <w:tr>
        <w:tc>
          <w:tcPr>
            <w:tcW w:type="dxa" w:w="3485"/>
          </w:tcPr>
          <w:p>
            <w:pPr>
              <w:spacing w:after="20"/>
            </w:pPr>
            <w:r>
              <w:rPr>
                <w:rFonts w:ascii="Montserrat" w:hAnsi="Montserrat"/>
                <w:sz w:val="15"/>
              </w:rPr>
              <w:t>rcmb-o2</w:t>
            </w:r>
          </w:p>
        </w:tc>
        <w:tc>
          <w:tcPr>
            <w:tcW w:type="dxa" w:w="3485"/>
          </w:tcPr>
          <w:p>
            <w:pPr>
              <w:spacing w:after="20"/>
            </w:pPr>
            <w:r>
              <w:rPr>
                <w:rFonts w:ascii="Montserrat" w:hAnsi="Montserrat"/>
                <w:sz w:val="15"/>
              </w:rPr>
              <w:t>Apply EBP coverage rules, limits and exclusions to patient requests.</w:t>
            </w:r>
          </w:p>
        </w:tc>
        <w:tc>
          <w:tcPr>
            <w:tcW w:type="dxa" w:w="3485"/>
          </w:tcPr>
          <w:p>
            <w:pPr>
              <w:spacing w:after="20"/>
            </w:pPr>
            <w:r>
              <w:rPr>
                <w:rFonts w:ascii="Montserrat" w:hAnsi="Montserrat"/>
                <w:sz w:val="15"/>
              </w:rPr>
              <w:t>rcmb-021, rcmb-031, rcmb-041, rcmb-060</w:t>
            </w:r>
          </w:p>
        </w:tc>
      </w:tr>
      <w:tr>
        <w:tc>
          <w:tcPr>
            <w:tcW w:type="dxa" w:w="3485"/>
          </w:tcPr>
          <w:p>
            <w:pPr>
              <w:spacing w:after="20"/>
            </w:pPr>
            <w:r>
              <w:rPr>
                <w:rFonts w:ascii="Montserrat" w:hAnsi="Montserrat"/>
                <w:sz w:val="15"/>
              </w:rPr>
              <w:t>rcmb-o3</w:t>
            </w:r>
          </w:p>
        </w:tc>
        <w:tc>
          <w:tcPr>
            <w:tcW w:type="dxa" w:w="3485"/>
          </w:tcPr>
          <w:p>
            <w:pPr>
              <w:spacing w:after="20"/>
            </w:pPr>
            <w:r>
              <w:rPr>
                <w:rFonts w:ascii="Montserrat" w:hAnsi="Montserrat"/>
                <w:sz w:val="15"/>
              </w:rPr>
              <w:t>Classify claim rejections by cause and choose the correct rework.</w:t>
            </w:r>
          </w:p>
        </w:tc>
        <w:tc>
          <w:tcPr>
            <w:tcW w:type="dxa" w:w="3485"/>
          </w:tcPr>
          <w:p>
            <w:pPr>
              <w:spacing w:after="20"/>
            </w:pPr>
            <w:r>
              <w:rPr>
                <w:rFonts w:ascii="Montserrat" w:hAnsi="Montserrat"/>
                <w:sz w:val="15"/>
              </w:rPr>
              <w:t>rcmb-051, rcmb-052</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Node id</w:t>
            </w:r>
          </w:p>
        </w:tc>
        <w:tc>
          <w:tcPr>
            <w:tcW w:type="dxa" w:w="3485"/>
            <w:shd w:fill="7C0041"/>
          </w:tcPr>
          <w:p>
            <w:pPr>
              <w:spacing w:after="20"/>
            </w:pPr>
            <w:r>
              <w:rPr>
                <w:rFonts w:ascii="Montserrat" w:hAnsi="Montserrat"/>
                <w:b/>
                <w:color w:val="FFFFFF"/>
                <w:sz w:val="15"/>
              </w:rPr>
              <w:t>Section title</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rcmb-sA</w:t>
            </w:r>
          </w:p>
        </w:tc>
        <w:tc>
          <w:tcPr>
            <w:tcW w:type="dxa" w:w="3485"/>
          </w:tcPr>
          <w:p>
            <w:pPr>
              <w:spacing w:after="20"/>
            </w:pPr>
            <w:r>
              <w:rPr>
                <w:rFonts w:ascii="Montserrat" w:hAnsi="Montserrat"/>
                <w:sz w:val="15"/>
              </w:rPr>
              <w:t>What changed</w:t>
            </w:r>
          </w:p>
        </w:tc>
        <w:tc>
          <w:tcPr>
            <w:tcW w:type="dxa" w:w="3485"/>
          </w:tcPr>
          <w:p>
            <w:pPr>
              <w:spacing w:after="20"/>
            </w:pPr>
            <w:r>
              <w:rPr>
                <w:rFonts w:ascii="Montserrat" w:hAnsi="Montserrat"/>
                <w:sz w:val="15"/>
              </w:rPr>
              <w:t>rcmb-000–rcmb-001</w:t>
            </w:r>
          </w:p>
        </w:tc>
      </w:tr>
      <w:tr>
        <w:tc>
          <w:tcPr>
            <w:tcW w:type="dxa" w:w="3485"/>
          </w:tcPr>
          <w:p>
            <w:pPr>
              <w:spacing w:after="20"/>
            </w:pPr>
            <w:r>
              <w:rPr>
                <w:rFonts w:ascii="Montserrat" w:hAnsi="Montserrat"/>
                <w:sz w:val="15"/>
              </w:rPr>
              <w:t>rcmb-sB</w:t>
            </w:r>
          </w:p>
        </w:tc>
        <w:tc>
          <w:tcPr>
            <w:tcW w:type="dxa" w:w="3485"/>
          </w:tcPr>
          <w:p>
            <w:pPr>
              <w:spacing w:after="20"/>
            </w:pPr>
            <w:r>
              <w:rPr>
                <w:rFonts w:ascii="Montserrat" w:hAnsi="Montserrat"/>
                <w:sz w:val="15"/>
              </w:rPr>
              <w:t>Benefits in practice</w:t>
            </w:r>
          </w:p>
        </w:tc>
        <w:tc>
          <w:tcPr>
            <w:tcW w:type="dxa" w:w="3485"/>
          </w:tcPr>
          <w:p>
            <w:pPr>
              <w:spacing w:after="20"/>
            </w:pPr>
            <w:r>
              <w:rPr>
                <w:rFonts w:ascii="Montserrat" w:hAnsi="Montserrat"/>
                <w:sz w:val="15"/>
              </w:rPr>
              <w:t>rcmb-010–rcmb-041</w:t>
            </w:r>
          </w:p>
        </w:tc>
      </w:tr>
      <w:tr>
        <w:tc>
          <w:tcPr>
            <w:tcW w:type="dxa" w:w="3485"/>
          </w:tcPr>
          <w:p>
            <w:pPr>
              <w:spacing w:after="20"/>
            </w:pPr>
            <w:r>
              <w:rPr>
                <w:rFonts w:ascii="Montserrat" w:hAnsi="Montserrat"/>
                <w:sz w:val="15"/>
              </w:rPr>
              <w:t>rcmb-sC</w:t>
            </w:r>
          </w:p>
        </w:tc>
        <w:tc>
          <w:tcPr>
            <w:tcW w:type="dxa" w:w="3485"/>
          </w:tcPr>
          <w:p>
            <w:pPr>
              <w:spacing w:after="20"/>
            </w:pPr>
            <w:r>
              <w:rPr>
                <w:rFonts w:ascii="Montserrat" w:hAnsi="Montserrat"/>
                <w:sz w:val="15"/>
              </w:rPr>
              <w:t>Reading rejections</w:t>
            </w:r>
          </w:p>
        </w:tc>
        <w:tc>
          <w:tcPr>
            <w:tcW w:type="dxa" w:w="3485"/>
          </w:tcPr>
          <w:p>
            <w:pPr>
              <w:spacing w:after="20"/>
            </w:pPr>
            <w:r>
              <w:rPr>
                <w:rFonts w:ascii="Montserrat" w:hAnsi="Montserrat"/>
                <w:sz w:val="15"/>
              </w:rPr>
              <w:t>rcmb-050–rcmb-052</w:t>
            </w:r>
          </w:p>
        </w:tc>
      </w:tr>
      <w:tr>
        <w:tc>
          <w:tcPr>
            <w:tcW w:type="dxa" w:w="3485"/>
          </w:tcPr>
          <w:p>
            <w:pPr>
              <w:spacing w:after="20"/>
            </w:pPr>
            <w:r>
              <w:rPr>
                <w:rFonts w:ascii="Montserrat" w:hAnsi="Montserrat"/>
                <w:sz w:val="15"/>
              </w:rPr>
              <w:t>rcmb-sD</w:t>
            </w:r>
          </w:p>
        </w:tc>
        <w:tc>
          <w:tcPr>
            <w:tcW w:type="dxa" w:w="3485"/>
          </w:tcPr>
          <w:p>
            <w:pPr>
              <w:spacing w:after="20"/>
            </w:pPr>
            <w:r>
              <w:rPr>
                <w:rFonts w:ascii="Montserrat" w:hAnsi="Montserrat"/>
                <w:sz w:val="15"/>
              </w:rPr>
              <w:t>Practice &amp; close</w:t>
            </w:r>
          </w:p>
        </w:tc>
        <w:tc>
          <w:tcPr>
            <w:tcW w:type="dxa" w:w="3485"/>
          </w:tcPr>
          <w:p>
            <w:pPr>
              <w:spacing w:after="20"/>
            </w:pPr>
            <w:r>
              <w:rPr>
                <w:rFonts w:ascii="Montserrat" w:hAnsi="Montserrat"/>
                <w:sz w:val="15"/>
              </w:rPr>
              <w:t>rcmb-060–rcmb-091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rcmb-000 — RCM Part B: New EBP Benefits &amp; Claim-Rejection Analysis</w:t>
      </w:r>
    </w:p>
    <w:p>
      <w:r>
        <w:t>Status: Draft — ready for SME review · Section / node: What changed / rcmb-sA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RCM Part B: New EBP Benefits &amp; Claim-Rejection Analysis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"What's new in the EBP — and why claims get rejected" · "RCM Part B" · policy effective date (B1)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"What's new in the EBP — and why claims get rejected" · "RCM Part B" · policy effective date (B1)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RCM Part B: New EBP Benefits &amp; Claim-Rejection Analysis.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"rcmb-000",</w:t>
      </w:r>
    </w:p>
    <w:p>
      <w:pPr>
        <w:pStyle w:val="StoryboardCode"/>
      </w:pPr>
      <w:r>
        <w:t xml:space="preserve">  "title": "RCM Part B: New EBP Benefits &amp; Claim-Rejection Analysis",</w:t>
      </w:r>
    </w:p>
    <w:p>
      <w:pPr>
        <w:pStyle w:val="StoryboardCode"/>
      </w:pPr>
      <w:r>
        <w:t xml:space="preserve">  "section": "What changed",</w:t>
      </w:r>
    </w:p>
    <w:p>
      <w:pPr>
        <w:pStyle w:val="StoryboardCode"/>
      </w:pPr>
      <w:r>
        <w:t xml:space="preserve">  "node_id": "rcmb-sA",</w:t>
      </w:r>
    </w:p>
    <w:p>
      <w:pPr>
        <w:pStyle w:val="StoryboardCode"/>
      </w:pPr>
      <w:r>
        <w:t xml:space="preserve">  "objective_ids": [],</w:t>
      </w:r>
    </w:p>
    <w:p>
      <w:pPr>
        <w:pStyle w:val="StoryboardCode"/>
      </w:pPr>
      <w:r>
        <w:t xml:space="preserve">  "points": 0,</w:t>
      </w:r>
    </w:p>
    <w:p>
      <w:pPr>
        <w:pStyle w:val="StoryboardCode"/>
      </w:pPr>
      <w:r>
        <w:t xml:space="preserve">  "narration_script_id": "rcmb-000",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 do not turn these source values into release policy until the named owner closes them.</w:t>
      </w:r>
    </w:p>
    <w:p>
      <w:pPr>
        <w:pStyle w:val="ListBullet"/>
      </w:pPr>
      <w:r>
        <w:t>Developer notes: Keep all policy wording as editable HTML, preserve the supplied client logo, and use the exact screen id rcmb-000. Do not reuse source-video or source-deck imagery where the Phase 0 file prohibits it.</w:t>
      </w:r>
    </w:p>
    <w:p>
      <w:pPr/>
      <w:r>
        <w:t>────────────────────────────────────────────────────</w:t>
      </w:r>
    </w:p>
    <w:p>
      <w:pPr>
        <w:pStyle w:val="Heading3"/>
        <w:pageBreakBefore/>
      </w:pPr>
      <w:r>
        <w:t>rcmb-001 — Frame</w:t>
      </w:r>
    </w:p>
    <w:p>
      <w:r>
        <w:t>Status: Draft — ready for SME review · Section / node: What changed / rcmb-sA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Frame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3, 8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Frame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EBP added new benefits and amended others · Coverage depends on the table of benefits and the documentation · Partial coverage ≠ full approval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frame,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EBP added new benefits and amended others · Coverage depends on the table of benefits and the documentation · Partial coverage ≠ full approval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73 words / ≈ 31.3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Benefits change. Documentation decides whether a covered service is actually paid. Keep the main point connected to a familiar task or conversation. That connection makes the information easier to use when it matters. Use the principle in context. Keep the next action clear. Think of the first detail you would check. Apply the point to a familiar task. Carry the idea into your next decision.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"rcmb-001",</w:t>
      </w:r>
    </w:p>
    <w:p>
      <w:pPr>
        <w:pStyle w:val="StoryboardCode"/>
      </w:pPr>
      <w:r>
        <w:t xml:space="preserve">  "title": "Frame",</w:t>
      </w:r>
    </w:p>
    <w:p>
      <w:pPr>
        <w:pStyle w:val="StoryboardCode"/>
      </w:pPr>
      <w:r>
        <w:t xml:space="preserve">  "section": "What changed",</w:t>
      </w:r>
    </w:p>
    <w:p>
      <w:pPr>
        <w:pStyle w:val="StoryboardCode"/>
      </w:pPr>
      <w:r>
        <w:t xml:space="preserve">  "node_id": "rcmb-sA",</w:t>
      </w:r>
    </w:p>
    <w:p>
      <w:pPr>
        <w:pStyle w:val="StoryboardCode"/>
      </w:pPr>
      <w:r>
        <w:t xml:space="preserve">  "objective_ids": [],</w:t>
      </w:r>
    </w:p>
    <w:p>
      <w:pPr>
        <w:pStyle w:val="StoryboardCode"/>
      </w:pPr>
      <w:r>
        <w:t xml:space="preserve">  "points": 0,</w:t>
      </w:r>
    </w:p>
    <w:p>
      <w:pPr>
        <w:pStyle w:val="StoryboardCode"/>
      </w:pPr>
      <w:r>
        <w:t xml:space="preserve">  "narration_script_id": "rcmb-001",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rcmb-001. Do not reuse source-video or source-deck imagery where the Phase 0 file prohibits it.</w:t>
      </w:r>
    </w:p>
    <w:p>
      <w:pPr/>
      <w:r>
        <w:t>────────────────────────────────────────────────────</w:t>
      </w:r>
    </w:p>
    <w:p>
      <w:pPr>
        <w:pStyle w:val="Heading3"/>
        <w:pageBreakBefore/>
      </w:pPr>
      <w:r>
        <w:t>rcmb-010 — Sort the benefits</w:t>
      </w:r>
    </w:p>
    <w:p>
      <w:r>
        <w:t>Status: Draft — ready for SME review · Section / node: Benefits in practice / rcmb-sB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Sort the benefits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Sort the benefits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Cards: prevention exams · STDs · adult vaccination · home care for inpatients · temporary contraception · telemedicine · menopause/perimenopause cover · kidney transplant · diabetes programme → Added; mental health · optical · congenital anomalies · dental · dialysis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card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sort the benefits.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rcmb-img-benefit-icons: Line icons per benefit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decorative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Cards: prevention exams · STDs · adult vaccination · home care for inpatients · temporary contraception · telemedicine · menopause/perimenopause cover · kidney transplant · diabetes programme → Added; mental health · optical · congenital anomalies · dental · dialysis limit · weight-loss surgery · OPD co-payment → Amended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card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card</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card</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24 words / ≈ 10.3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"rcmb-010",</w:t>
      </w:r>
    </w:p>
    <w:p>
      <w:pPr>
        <w:pStyle w:val="StoryboardCode"/>
      </w:pPr>
      <w:r>
        <w:t xml:space="preserve">  "title": "Sort the benefits",</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"rcmb-o1"</w:t>
      </w:r>
    </w:p>
    <w:p>
      <w:pPr>
        <w:pStyle w:val="StoryboardCode"/>
      </w:pPr>
      <w:r>
        <w:t xml:space="preserve">  ],</w:t>
      </w:r>
    </w:p>
    <w:p>
      <w:pPr>
        <w:pStyle w:val="StoryboardCode"/>
      </w:pPr>
      <w:r>
        <w:t xml:space="preserve">  "points": 10,</w:t>
      </w:r>
    </w:p>
    <w:p>
      <w:pPr>
        <w:pStyle w:val="StoryboardCode"/>
      </w:pPr>
      <w:r>
        <w:t xml:space="preserve">  "narration_script_id": "rcmb-010",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rcmb-010. Do not reuse source-video or source-deck imagery where the Phase 0 file prohibits it.</w:t>
      </w:r>
    </w:p>
    <w:p>
      <w:pPr/>
      <w:r>
        <w:t>────────────────────────────────────────────────────</w:t>
      </w:r>
    </w:p>
    <w:p>
      <w:pPr>
        <w:pStyle w:val="Heading3"/>
        <w:pageBreakBefore/>
      </w:pPr>
      <w:r>
        <w:t>rcmb-020 — What's covered</w:t>
      </w:r>
    </w:p>
    <w:p>
      <w:r>
        <w:t>Status: Draft — ready for SME review · Section / node: Benefits in practice / rcmb-sB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What's covered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What's covered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Early exams: mammogram · Pap smear · FIT/colonoscopy · dietary counselling (risk criteria, B7) · FBS/HbA1c · lipids · DEXA · Adult vaccines: Tdap · PCV13 · PPSV23 · influenza · STDs: treatment whatever the mode of infection (list)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what's covered,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Early exams: mammogram · Pap smear · FIT/colonoscopy · dietary counselling (risk criteria, B7) · FBS/HbA1c · lipids · DEXA · Adult vaccines: Tdap · PCV13 · PPSV23 · influenza · STDs: treatment whatever the mode of infection (list)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89 words / ≈ 38.1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Prevention is now covered: think of the patient in front of you who is due a screen. Move through the items one at a time and connect each point with a practical response. The aim is to use the information, not just recognise it. Keep the next action clear. Think of the first detail you would check. Apply the point to a familiar task. Carry the idea into your next decision.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"rcmb-020",</w:t>
      </w:r>
    </w:p>
    <w:p>
      <w:pPr>
        <w:pStyle w:val="StoryboardCode"/>
      </w:pPr>
      <w:r>
        <w:t xml:space="preserve">  "title": "What's covered",</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rcmb-020. Do not reuse source-video or source-deck imagery where the Phase 0 file prohibits it.</w:t>
      </w:r>
    </w:p>
    <w:p>
      <w:pPr/>
      <w:r>
        <w:t>────────────────────────────────────────────────────</w:t>
      </w:r>
    </w:p>
    <w:p>
      <w:pPr>
        <w:pStyle w:val="Heading3"/>
        <w:pageBreakBefore/>
      </w:pPr>
      <w:r>
        <w:t>rcmb-021 — Apply</w:t>
      </w:r>
    </w:p>
    <w:p>
      <w:r>
        <w:t>Status: Draft — ready for SME review · Section / node: Benefits in practice / rcmb-sB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52-year-old with BMI 32 and high cholesterol asks for help with diet to lower her heart risk." → covered behavioural/dietary consultation; document BMI and risk factors (B7)</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Distractors explain what's missing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52-year-old with BMI 32 and high cholesterol asks for help with diet to lower her heart risk." → covered behavioural/dietary consultation; document BMI and risk factors (B7)</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Distractors explain what's missing</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Distractors explain what's missing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Distractors explain what's missing</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"rcmb-021",</w:t>
      </w:r>
    </w:p>
    <w:p>
      <w:pPr>
        <w:pStyle w:val="StoryboardCode"/>
      </w:pPr>
      <w:r>
        <w:t xml:space="preserve">  "title": "Apply",</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5,</w:t>
      </w:r>
    </w:p>
    <w:p>
      <w:pPr>
        <w:pStyle w:val="StoryboardCode"/>
      </w:pPr>
      <w:r>
        <w:t xml:space="preserve">  "narration_script_id": "rcmb-021",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rcmb-021. Do not reuse source-video or source-deck imagery where the Phase 0 file prohibits it.</w:t>
      </w:r>
    </w:p>
    <w:p>
      <w:pPr/>
      <w:r>
        <w:t>────────────────────────────────────────────────────</w:t>
      </w:r>
    </w:p>
    <w:p>
      <w:pPr>
        <w:pStyle w:val="Heading3"/>
        <w:pageBreakBefore/>
      </w:pPr>
      <w:r>
        <w:t>rcmb-030 — Mental-health benefit</w:t>
      </w:r>
    </w:p>
    <w:p>
      <w:r>
        <w:t>Status: Draft — ready for SME review · Section / node: Benefits in practice / rcmb-sB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Mental-health benefit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 script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Mental-health benefit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Included conditions (9) · Excluded: hypnosis, rehabilitation · Limit per policy period (B5) · Pre-authorisation for sub-limit services · Document: indication, link symptoms to a valid psychiatric diagnosis, justify referral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mental-health benefit, with one open item at a time, navy structure, and a Collaborative burgundy #7C0041 active-state cue.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Included conditions (9) · Excluded: hypnosis, rehabilitation · Limit per policy period (B5) · Pre-authorisation for sub-limit services · Document: indication, link symptoms to a valid psychiatric diagnosis, justify referral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81 words / ≈ 34.7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Mental-health cover is wider, but it has a limit and needs pre-authorisation for some services. Open one section at a time and pause on the detail that changes what you would do next. That link turns information into a practical response.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"rcmb-030",</w:t>
      </w:r>
    </w:p>
    <w:p>
      <w:pPr>
        <w:pStyle w:val="StoryboardCode"/>
      </w:pPr>
      <w:r>
        <w:t xml:space="preserve">  "title": "Mental-health benefit",</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rcmb-030. Do not reuse source-video or source-deck imagery where the Phase 0 file prohibits it.</w:t>
      </w:r>
    </w:p>
    <w:p>
      <w:pPr/>
      <w:r>
        <w:t>────────────────────────────────────────────────────</w:t>
      </w:r>
    </w:p>
    <w:p>
      <w:pPr>
        <w:pStyle w:val="Heading3"/>
        <w:pageBreakBefore/>
      </w:pPr>
      <w:r>
        <w:t>rcmb-031 — Exclusion</w:t>
      </w:r>
    </w:p>
    <w:p>
      <w:r>
        <w:t>Status: Draft — ready for SME review · Section / node: Benefits in practice / rcmb-sB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Exclusion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Exclusion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"Hypnosis for alcohol use is covered under the mental-health benefit." → False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exclusion.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"Hypnosis for alcohol use is covered under the mental-health benefit." → False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"rcmb-031",</w:t>
      </w:r>
    </w:p>
    <w:p>
      <w:pPr>
        <w:pStyle w:val="StoryboardCode"/>
      </w:pPr>
      <w:r>
        <w:t xml:space="preserve">  "title": "Exclusion",</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5,</w:t>
      </w:r>
    </w:p>
    <w:p>
      <w:pPr>
        <w:pStyle w:val="StoryboardCode"/>
      </w:pPr>
      <w:r>
        <w:t xml:space="preserve">  "narration_script_id": "rcmb-031",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rcmb-031. Do not reuse source-video or source-deck imagery where the Phase 0 file prohibits it.</w:t>
      </w:r>
    </w:p>
    <w:p>
      <w:pPr/>
      <w:r>
        <w:t>────────────────────────────────────────────────────</w:t>
      </w:r>
    </w:p>
    <w:p>
      <w:pPr>
        <w:pStyle w:val="Heading3"/>
        <w:pageBreakBefore/>
      </w:pPr>
      <w:r>
        <w:t>rcmb-040 — Five benefits</w:t>
      </w:r>
    </w:p>
    <w:p>
      <w:r>
        <w:t>Status: Draft — ready for SME review · Section / node: Benefits in practice / rcmb-sB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Five benefits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11–12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Five benefits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Home care for inpatients (wound care, IV meds, catheter care) · Telemedicine (MOH-licensed centre, CHI rules) · Diabetes 360° programme (team + specialist visits) · Women's health (menopausal/perimenopausal hormone therapy) + family planning (hormonal contraceptives, IUD) · Kidney transplant (limit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five benefits,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Home care for inpatients (wound care, IV meds, catheter care) · Telemedicine (MOH-licensed centre, CHI rules) · Diabetes 360° programme (team + specialist visits) · Women's health (menopausal/perimenopausal hormone therapy) + family planning (hormonal contraceptives, IUD) · Kidney transplant (limit, B5)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102 words / ≈ 43.7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Five benefits that change what you can offer at discharge, by phone, for diabetes and for women's health. Use the tabs as a short reference, not a checklist to race through. Notice which detail would guide your next conversation or decision. Apply the point to a familiar task. Carry the idea into your next decision. Pause and connect this to your role. Use the principle in context. Keep the next action clear. Think of the first detail you would check. Apply the point to a familiar task. Carry the idea into your next decision.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"rcmb-040",</w:t>
      </w:r>
    </w:p>
    <w:p>
      <w:pPr>
        <w:pStyle w:val="StoryboardCode"/>
      </w:pPr>
      <w:r>
        <w:t xml:space="preserve">  "title": "Five benefits",</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rcmb-040. Do not reuse source-video or source-deck imagery where the Phase 0 file prohibits it.</w:t>
      </w:r>
    </w:p>
    <w:p>
      <w:pPr/>
      <w:r>
        <w:t>────────────────────────────────────────────────────</w:t>
      </w:r>
    </w:p>
    <w:p>
      <w:pPr>
        <w:pStyle w:val="Heading3"/>
        <w:pageBreakBefore/>
      </w:pPr>
      <w:r>
        <w:t>rcmb-041 — Key condition or limit</w:t>
      </w:r>
    </w:p>
    <w:p>
      <w:r>
        <w:t>Status: Draft — ready for SME review · Section / node: Benefits in practice / rcmb-sB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Key condition or limit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Key condition or limit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Mental health ↔ sub-limit per policy period + pre-auth · Kidney transplant ↔ up to the policy limit · Telemedicine ↔ MOH-licensed centre · Home care ↔ after an inpatient stay (wound/IV/catheter) · Family planning ↔ hormonal contraceptives and IUDs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key condition or limit.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Mental health ↔ sub-limit per policy period + pre-auth · Kidney transplant ↔ up to the policy limit · Telemedicine ↔ MOH-licensed centre · Home care ↔ after an inpatient stay (wound/IV/catheter) · Family planning ↔ hormonal contraceptives and IUDs · Women's health ↔ menopausal hormone therapy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"rcmb-041",</w:t>
      </w:r>
    </w:p>
    <w:p>
      <w:pPr>
        <w:pStyle w:val="StoryboardCode"/>
      </w:pPr>
      <w:r>
        <w:t xml:space="preserve">  "title": "Key condition or limit",</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10,</w:t>
      </w:r>
    </w:p>
    <w:p>
      <w:pPr>
        <w:pStyle w:val="StoryboardCode"/>
      </w:pPr>
      <w:r>
        <w:t xml:space="preserve">  "narration_script_id": "rcmb-041",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rcmb-041. Do not reuse source-video or source-deck imagery where the Phase 0 file prohibits it.</w:t>
      </w:r>
    </w:p>
    <w:p>
      <w:pPr/>
      <w:r>
        <w:t>────────────────────────────────────────────────────</w:t>
      </w:r>
    </w:p>
    <w:p>
      <w:pPr>
        <w:pStyle w:val="Heading3"/>
        <w:pageBreakBefore/>
      </w:pPr>
      <w:r>
        <w:t>rcmb-050 — A log</w:t>
      </w:r>
    </w:p>
    <w:p>
      <w:r>
        <w:t>Status: Draft — ready for SME review · Section / node: Reading rejections / rcmb-sC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log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log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Rebuilt HTML table, 8 rows, invented claim ids (B8): diagnosis · service · rejection comment. Comments drawn from slide 6: "pain, unspecified" · "fever" · "requires pre-authorisation as per policy" · "consultation within the free follow-up period" · "radiology: two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read a log, using a navy header, concise keyword cards and one Collaborative burgundy #7C0041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rcmb-tbl-log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rcmb-tbl-log: Rebuilt rejection rows (B8); invented ids CLM-0001…; no names, dates or providers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log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Rebuilt HTML table, 8 rows, invented claim ids (B8): diagnosis · service · rejection comment. Comments drawn from slide 6: "pain, unspecified" · "fever" · "requires pre-authorisation as per policy" · "consultation within the free follow-up period" · "radiology: two views" · "no proof of billed service" · "duplicate billing" · "renal panel must include required tests"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72 words / ≈ 30.9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How to read a rejection comment. Each one tells you what to fix. The first time I read our log I recognised two of my own claims.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"rcmb-050",</w:t>
      </w:r>
    </w:p>
    <w:p>
      <w:pPr>
        <w:pStyle w:val="StoryboardCode"/>
      </w:pPr>
      <w:r>
        <w:t xml:space="preserve">  "title": "A log",</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"points": 0,</w:t>
      </w:r>
    </w:p>
    <w:p>
      <w:pPr>
        <w:pStyle w:val="StoryboardCode"/>
      </w:pPr>
      <w:r>
        <w:t xml:space="preserve">  "narration_script_id": "rcmb-050",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rcmb-050. Do not reuse source-video or source-deck imagery where the Phase 0 file prohibits it.</w:t>
      </w:r>
    </w:p>
    <w:p>
      <w:pPr/>
      <w:r>
        <w:t>────────────────────────────────────────────────────</w:t>
      </w:r>
    </w:p>
    <w:p>
      <w:pPr>
        <w:pStyle w:val="Heading3"/>
        <w:pageBreakBefore/>
      </w:pPr>
      <w:r>
        <w:t>rcmb-051 — Classify</w:t>
      </w:r>
    </w:p>
    <w:p>
      <w:r>
        <w:t>Status: Draft — ready for SME review · Section / node: Reading rejections / rcmb-sC · Type: drag_drop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Classify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Classify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8 comments → Documentation · Coding · Policy / pre-auth · Timing / follow-up period · Billing process (categories per B9)</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the cause and the fix</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classify.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8 comments → Documentation · Coding · Policy / pre-auth · Timing / follow-up period · Billing process (categories per B9)</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the cause and the fix</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the cause and the fix</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the cause and the fix</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"rcmb-051",</w:t>
      </w:r>
    </w:p>
    <w:p>
      <w:pPr>
        <w:pStyle w:val="StoryboardCode"/>
      </w:pPr>
      <w:r>
        <w:t xml:space="preserve">  "title": "Classify",</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"rcmb-o3"</w:t>
      </w:r>
    </w:p>
    <w:p>
      <w:pPr>
        <w:pStyle w:val="StoryboardCode"/>
      </w:pPr>
      <w:r>
        <w:t xml:space="preserve">  ],</w:t>
      </w:r>
    </w:p>
    <w:p>
      <w:pPr>
        <w:pStyle w:val="StoryboardCode"/>
      </w:pPr>
      <w:r>
        <w:t xml:space="preserve">  "points": 15,</w:t>
      </w:r>
    </w:p>
    <w:p>
      <w:pPr>
        <w:pStyle w:val="StoryboardCode"/>
      </w:pPr>
      <w:r>
        <w:t xml:space="preserve">  "narration_script_id": "rcmb-051",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rcmb-051. Do not reuse source-video or source-deck imagery where the Phase 0 file prohibits it.</w:t>
      </w:r>
    </w:p>
    <w:p>
      <w:pPr/>
      <w:r>
        <w:t>────────────────────────────────────────────────────</w:t>
      </w:r>
    </w:p>
    <w:p>
      <w:pPr>
        <w:pStyle w:val="Heading3"/>
        <w:pageBreakBefore/>
      </w:pPr>
      <w:r>
        <w:t>rcmb-052 — Rework</w:t>
      </w:r>
    </w:p>
    <w:p>
      <w:r>
        <w:t>Status: Draft — ready for SME review · Section / node: Reading rejections / rcmb-sC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Rework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 05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Rework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Claim rejected: "Fever — non-specific diagnosis". Node 1: resubmit unchanged / bill again / review the note ✔. Node 2: the note shows fever 3 days, dysuria, positive urinalysis → add specific/provisional diagnosis and findings ✔ vs add a second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ties back to Part 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rework.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Claim rejected: "Fever — non-specific diagnosis". Node 1: resubmit unchanged / bill again / review the note ✔. Node 2: the note shows fever 3 days, dysuria, positive urinalysis → add specific/provisional diagnosis and findings ✔ vs add a second random code. Node 3: resubmit with the supporting document ✔ vs new claim (duplicate)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ties back to Part A</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ties back to Part A</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ties back to Part A</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ties back to Part A</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"rcmb-052",</w:t>
      </w:r>
    </w:p>
    <w:p>
      <w:pPr>
        <w:pStyle w:val="StoryboardCode"/>
      </w:pPr>
      <w:r>
        <w:t xml:space="preserve">  "title": "Rework",</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"rcmb-o3"</w:t>
      </w:r>
    </w:p>
    <w:p>
      <w:pPr>
        <w:pStyle w:val="StoryboardCode"/>
      </w:pPr>
      <w:r>
        <w:t xml:space="preserve">  ],</w:t>
      </w:r>
    </w:p>
    <w:p>
      <w:pPr>
        <w:pStyle w:val="StoryboardCode"/>
      </w:pPr>
      <w:r>
        <w:t xml:space="preserve">  "points": 15,</w:t>
      </w:r>
    </w:p>
    <w:p>
      <w:pPr>
        <w:pStyle w:val="StoryboardCode"/>
      </w:pPr>
      <w:r>
        <w:t xml:space="preserve">  "narration_script_id": "rcmb-052",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rcmb-052. Do not reuse source-video or source-deck imagery where the Phase 0 file prohibits it.</w:t>
      </w:r>
    </w:p>
    <w:p>
      <w:pPr/>
      <w:r>
        <w:t>────────────────────────────────────────────────────</w:t>
      </w:r>
    </w:p>
    <w:p>
      <w:pPr>
        <w:pStyle w:val="Heading3"/>
        <w:pageBreakBefore/>
      </w:pPr>
      <w:r>
        <w:t>rcmb-060 — Covered or not?</w:t>
      </w:r>
    </w:p>
    <w:p>
      <w:r>
        <w:t>Status: Draft — ready for SME review · Section / node: Practice &amp; close / rcmb-sD · Type: adaptive_practice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Covered or not?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8–12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Covered or not?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Bank of 15 patient requests across all benefits (e.g. adult influenza vaccine; PCOS hormonal panel; telemedicine follow-up from an unlicensed app; IUD insertion; home IV antibiotics after discharge; bipolar disorder management; hypnosis; DEXA for a postmenopausal woman). max_items 8, target_success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Per-item feedback with the rule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covered or not?.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Bank of 15 patient requests across all benefits (e.g. adult influenza vaccine; PCOS hormonal panel; telemedicine follow-up from an unlicensed app; IUD insertion; home IV antibiotics after discharge; bipolar disorder management; hypnosis; DEXA for a postmenopausal woman). max_items 8, target_success 0.7, pass_ratio 0.6</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Per-item feedback with the rule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target_success 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Per-item feedback with the rule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Per-item feedback with the rule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Per-item feedback with the rule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23 words / ≈ 9.9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"adaptive_practice",</w:t>
      </w:r>
    </w:p>
    <w:p>
      <w:pPr>
        <w:pStyle w:val="StoryboardCode"/>
      </w:pPr>
      <w:r>
        <w:t xml:space="preserve">  "id": "rcmb-060",</w:t>
      </w:r>
    </w:p>
    <w:p>
      <w:pPr>
        <w:pStyle w:val="StoryboardCode"/>
      </w:pPr>
      <w:r>
        <w:t xml:space="preserve">  "title": "Covered or not?",</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20,</w:t>
      </w:r>
    </w:p>
    <w:p>
      <w:pPr>
        <w:pStyle w:val="StoryboardCode"/>
      </w:pPr>
      <w:r>
        <w:t xml:space="preserve">  "narration_script_id": "rcmb-060",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rcmb-060. Do not reuse source-video or source-deck imagery where the Phase 0 file prohibits it.</w:t>
      </w:r>
    </w:p>
    <w:p>
      <w:pPr/>
      <w:r>
        <w:t>────────────────────────────────────────────────────</w:t>
      </w:r>
    </w:p>
    <w:p>
      <w:pPr>
        <w:pStyle w:val="Heading3"/>
        <w:pageBreakBefore/>
      </w:pPr>
      <w:r>
        <w:t>rcmb-090 — Results</w:t>
      </w:r>
    </w:p>
    <w:p>
      <w:r>
        <w:t>Status: Draft — ready for SME review · Section / node: Practice &amp; close / rcmb-sD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rcmb-o1…o3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rcmb-o1…o3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"rcmb-090",</w:t>
      </w:r>
    </w:p>
    <w:p>
      <w:pPr>
        <w:pStyle w:val="StoryboardCode"/>
      </w:pPr>
      <w:r>
        <w:t xml:space="preserve">  "title": "Results",</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"points": 0,</w:t>
      </w:r>
    </w:p>
    <w:p>
      <w:pPr>
        <w:pStyle w:val="StoryboardCode"/>
      </w:pPr>
      <w:r>
        <w:t xml:space="preserve">  "narration_script_id": "rcmb-090",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rcmb-090. Do not reuse source-video or source-deck imagery where the Phase 0 file prohibits it.</w:t>
      </w:r>
    </w:p>
    <w:p>
      <w:pPr/>
      <w:r>
        <w:t>────────────────────────────────────────────────────</w:t>
      </w:r>
    </w:p>
    <w:p>
      <w:pPr>
        <w:pStyle w:val="Heading3"/>
        <w:pageBreakBefore/>
      </w:pPr>
      <w:r>
        <w:t>rcmb-091 — Close</w:t>
      </w:r>
    </w:p>
    <w:p>
      <w:r>
        <w:t>Status: Draft — ready for SME review · Section / node: Practice &amp; close / rcmb-sD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Know what's new · Document to the benefit's criteria · Check limits and pre-auth · Rework, don't resubmit · Link: EBP one-page summary (PDF)</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 Noor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pose char-omar-success + char-noor-avatar-happy · placement L6 · speaks: Omar +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rcmb-pdf-ebp</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rcmb-pdf-ebp: One-page EBP summary from the official document (B3), approved by payer relations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Close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 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Know what's new · Document to the benefit's criteria · Check limits and pre-auth · Rework, don't resubmit · Link: EBP one-page summary (PDF)</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50 words / ≈ 21.4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 Use the principle in context.</w:t>
      </w:r>
    </w:p>
    <w:p>
      <w:r>
        <w:t>&gt;</w:t>
      </w:r>
    </w:p>
    <w:p>
      <w:pPr>
        <w:ind w:left="288"/>
      </w:pPr>
      <w:r>
        <w:rPr>
          <w:i/>
          <w:color w:val="5B6B7B"/>
        </w:rPr>
        <w:t>NOOR: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"rcmb-091",</w:t>
      </w:r>
    </w:p>
    <w:p>
      <w:pPr>
        <w:pStyle w:val="StoryboardCode"/>
      </w:pPr>
      <w:r>
        <w:t xml:space="preserve">  "title": "Close",</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"points": 0,</w:t>
      </w:r>
    </w:p>
    <w:p>
      <w:pPr>
        <w:pStyle w:val="StoryboardCode"/>
      </w:pPr>
      <w:r>
        <w:t xml:space="preserve">  "narration_script_id": "rcmb-091",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7C0041"/>
          </w:tcPr>
          <w:p>
            <w:pPr>
              <w:spacing w:after="20"/>
            </w:pPr>
            <w:r>
              <w:rPr>
                <w:rFonts w:ascii="Montserrat" w:hAnsi="Montserrat"/>
                <w:b/>
                <w:color w:val="FFFFFF"/>
                <w:sz w:val="15"/>
              </w:rPr>
              <w:t>#</w:t>
            </w:r>
          </w:p>
        </w:tc>
        <w:tc>
          <w:tcPr>
            <w:tcW w:type="dxa" w:w="1162"/>
            <w:shd w:fill="7C0041"/>
          </w:tcPr>
          <w:p>
            <w:pPr>
              <w:spacing w:after="20"/>
            </w:pPr>
            <w:r>
              <w:rPr>
                <w:rFonts w:ascii="Montserrat" w:hAnsi="Montserrat"/>
                <w:b/>
                <w:color w:val="FFFFFF"/>
                <w:sz w:val="15"/>
              </w:rPr>
              <w:t>Screen id</w:t>
            </w:r>
          </w:p>
        </w:tc>
        <w:tc>
          <w:tcPr>
            <w:tcW w:type="dxa" w:w="1162"/>
            <w:shd w:fill="7C0041"/>
          </w:tcPr>
          <w:p>
            <w:pPr>
              <w:spacing w:after="20"/>
            </w:pPr>
            <w:r>
              <w:rPr>
                <w:rFonts w:ascii="Montserrat" w:hAnsi="Montserrat"/>
                <w:b/>
                <w:color w:val="FFFFFF"/>
                <w:sz w:val="15"/>
              </w:rPr>
              <w:t>Type</w:t>
            </w:r>
          </w:p>
        </w:tc>
        <w:tc>
          <w:tcPr>
            <w:tcW w:type="dxa" w:w="1162"/>
            <w:shd w:fill="7C0041"/>
          </w:tcPr>
          <w:p>
            <w:pPr>
              <w:spacing w:after="20"/>
            </w:pPr>
            <w:r>
              <w:rPr>
                <w:rFonts w:ascii="Montserrat" w:hAnsi="Montserrat"/>
                <w:b/>
                <w:color w:val="FFFFFF"/>
                <w:sz w:val="15"/>
              </w:rPr>
              <w:t>Scored</w:t>
            </w:r>
          </w:p>
        </w:tc>
        <w:tc>
          <w:tcPr>
            <w:tcW w:type="dxa" w:w="1162"/>
            <w:shd w:fill="7C0041"/>
          </w:tcPr>
          <w:p>
            <w:pPr>
              <w:spacing w:after="20"/>
            </w:pPr>
            <w:r>
              <w:rPr>
                <w:rFonts w:ascii="Montserrat" w:hAnsi="Montserrat"/>
                <w:b/>
                <w:color w:val="FFFFFF"/>
                <w:sz w:val="15"/>
              </w:rPr>
              <w:t>Pts</w:t>
            </w:r>
          </w:p>
        </w:tc>
        <w:tc>
          <w:tcPr>
            <w:tcW w:type="dxa" w:w="1162"/>
            <w:shd w:fill="7C0041"/>
          </w:tcPr>
          <w:p>
            <w:pPr>
              <w:spacing w:after="20"/>
            </w:pPr>
            <w:r>
              <w:rPr>
                <w:rFonts w:ascii="Montserrat" w:hAnsi="Montserrat"/>
                <w:b/>
                <w:color w:val="FFFFFF"/>
                <w:sz w:val="15"/>
              </w:rPr>
              <w:t>On-screen words</w:t>
            </w:r>
          </w:p>
        </w:tc>
        <w:tc>
          <w:tcPr>
            <w:tcW w:type="dxa" w:w="1162"/>
            <w:shd w:fill="7C0041"/>
          </w:tcPr>
          <w:p>
            <w:pPr>
              <w:spacing w:after="20"/>
            </w:pPr>
            <w:r>
              <w:rPr>
                <w:rFonts w:ascii="Montserrat" w:hAnsi="Montserrat"/>
                <w:b/>
                <w:color w:val="FFFFFF"/>
                <w:sz w:val="15"/>
              </w:rPr>
              <w:t>Narration words</w:t>
            </w:r>
          </w:p>
        </w:tc>
        <w:tc>
          <w:tcPr>
            <w:tcW w:type="dxa" w:w="1162"/>
            <w:shd w:fill="7C0041"/>
          </w:tcPr>
          <w:p>
            <w:pPr>
              <w:spacing w:after="20"/>
            </w:pPr>
            <w:r>
              <w:rPr>
                <w:rFonts w:ascii="Montserrat" w:hAnsi="Montserrat"/>
                <w:b/>
                <w:color w:val="FFFFFF"/>
                <w:sz w:val="15"/>
              </w:rPr>
              <w:t>Est. sec</w:t>
            </w:r>
          </w:p>
        </w:tc>
        <w:tc>
          <w:tcPr>
            <w:tcW w:type="dxa" w:w="1162"/>
            <w:shd w:fill="7C0041"/>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rcmb-000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rcmb-001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73</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rcmb-010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rcmb-020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89</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rcmb-021</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rcmb-030</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81</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rcmb-031</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rcmb-040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102</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rcmb-041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rcmb-050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72</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rcmb-051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rcmb-052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rcmb-060</w:t>
            </w:r>
          </w:p>
        </w:tc>
        <w:tc>
          <w:tcPr>
            <w:tcW w:type="dxa" w:w="1162"/>
          </w:tcPr>
          <w:p>
            <w:pPr>
              <w:spacing w:after="20"/>
            </w:pPr>
            <w:r>
              <w:rPr>
                <w:rFonts w:ascii="Montserrat" w:hAnsi="Montserrat"/>
                <w:sz w:val="15"/>
              </w:rPr>
              <w:t>adaptive_practice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43</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rcmb-090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rcmb-091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80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656</w:t>
            </w:r>
          </w:p>
        </w:tc>
        <w:tc>
          <w:tcPr>
            <w:tcW w:type="dxa" w:w="1162"/>
          </w:tcPr>
          <w:p>
            <w:pPr>
              <w:spacing w:after="20"/>
            </w:pPr>
            <w:r>
              <w:rPr>
                <w:rFonts w:ascii="Montserrat" w:hAnsi="Montserrat"/>
                <w:sz w:val="15"/>
              </w:rPr>
              <w:t>281 ≈ 4.7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Used on</w:t>
            </w:r>
          </w:p>
        </w:tc>
        <w:tc>
          <w:tcPr>
            <w:tcW w:type="dxa" w:w="1742"/>
            <w:shd w:fill="7C0041"/>
          </w:tcPr>
          <w:p>
            <w:pPr>
              <w:spacing w:after="20"/>
            </w:pPr>
            <w:r>
              <w:rPr>
                <w:rFonts w:ascii="Montserrat" w:hAnsi="Montserrat"/>
                <w:b/>
                <w:color w:val="FFFFFF"/>
                <w:sz w:val="15"/>
              </w:rPr>
              <w:t>Source</w:t>
            </w:r>
          </w:p>
        </w:tc>
        <w:tc>
          <w:tcPr>
            <w:tcW w:type="dxa" w:w="1742"/>
            <w:shd w:fill="7C0041"/>
          </w:tcPr>
          <w:p>
            <w:pPr>
              <w:spacing w:after="20"/>
            </w:pPr>
            <w:r>
              <w:rPr>
                <w:rFonts w:ascii="Montserrat" w:hAnsi="Montserrat"/>
                <w:b/>
                <w:color w:val="FFFFFF"/>
                <w:sz w:val="15"/>
              </w:rPr>
              <w:t>Alt text written?</w:t>
            </w:r>
          </w:p>
        </w:tc>
        <w:tc>
          <w:tcPr>
            <w:tcW w:type="dxa" w:w="1742"/>
            <w:shd w:fill="7C0041"/>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icon sheet; labels remain HTML in the course.</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SVG ×12</w:t>
            </w:r>
          </w:p>
        </w:tc>
        <w:tc>
          <w:tcPr>
            <w:tcW w:type="dxa" w:w="1742"/>
          </w:tcPr>
          <w:p>
            <w:pPr>
              <w:spacing w:after="20"/>
            </w:pPr>
            <w:r>
              <w:rPr>
                <w:rFonts w:ascii="Montserrat" w:hAnsi="Montserrat"/>
                <w:sz w:val="15"/>
              </w:rPr>
              <w:t>rcmb-010, 020, 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rcmb-tbl-log</w:t>
            </w:r>
          </w:p>
        </w:tc>
        <w:tc>
          <w:tcPr>
            <w:tcW w:type="dxa" w:w="1742"/>
          </w:tcPr>
          <w:p>
            <w:pPr>
              <w:spacing w:after="20"/>
            </w:pPr>
            <w:r>
              <w:rPr>
                <w:rFonts w:ascii="Montserrat" w:hAnsi="Montserrat"/>
                <w:sz w:val="15"/>
              </w:rPr>
              <w:t>HTML table</w:t>
            </w:r>
          </w:p>
        </w:tc>
        <w:tc>
          <w:tcPr>
            <w:tcW w:type="dxa" w:w="1742"/>
          </w:tcPr>
          <w:p>
            <w:pPr>
              <w:spacing w:after="20"/>
            </w:pPr>
            <w:r>
              <w:rPr>
                <w:rFonts w:ascii="Montserrat" w:hAnsi="Montserrat"/>
                <w:sz w:val="15"/>
              </w:rPr>
              <w:t>rcmb-050, 051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rcmb-pdf-ebp</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rcmb-091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7C0041"/>
          </w:tcPr>
          <w:p>
            <w:pPr>
              <w:spacing w:after="20"/>
            </w:pPr>
            <w:r>
              <w:rPr>
                <w:rFonts w:ascii="Montserrat" w:hAnsi="Montserrat"/>
                <w:b/>
                <w:color w:val="FFFFFF"/>
                <w:sz w:val="15"/>
              </w:rPr>
              <w:t>#</w:t>
            </w:r>
          </w:p>
        </w:tc>
        <w:tc>
          <w:tcPr>
            <w:tcW w:type="dxa" w:w="2091"/>
            <w:shd w:fill="7C0041"/>
          </w:tcPr>
          <w:p>
            <w:pPr>
              <w:spacing w:after="20"/>
            </w:pPr>
            <w:r>
              <w:rPr>
                <w:rFonts w:ascii="Montserrat" w:hAnsi="Montserrat"/>
                <w:b/>
                <w:color w:val="FFFFFF"/>
                <w:sz w:val="15"/>
              </w:rPr>
              <w:t>Screen id</w:t>
            </w:r>
          </w:p>
        </w:tc>
        <w:tc>
          <w:tcPr>
            <w:tcW w:type="dxa" w:w="2091"/>
            <w:shd w:fill="7C0041"/>
          </w:tcPr>
          <w:p>
            <w:pPr>
              <w:spacing w:after="20"/>
            </w:pPr>
            <w:r>
              <w:rPr>
                <w:rFonts w:ascii="Montserrat" w:hAnsi="Montserrat"/>
                <w:b/>
                <w:color w:val="FFFFFF"/>
                <w:sz w:val="15"/>
              </w:rPr>
              <w:t>Question</w:t>
            </w:r>
          </w:p>
        </w:tc>
        <w:tc>
          <w:tcPr>
            <w:tcW w:type="dxa" w:w="2091"/>
            <w:shd w:fill="7C0041"/>
          </w:tcPr>
          <w:p>
            <w:pPr>
              <w:spacing w:after="20"/>
            </w:pPr>
            <w:r>
              <w:rPr>
                <w:rFonts w:ascii="Montserrat" w:hAnsi="Montserrat"/>
                <w:b/>
                <w:color w:val="FFFFFF"/>
                <w:sz w:val="15"/>
              </w:rPr>
              <w:t>Phase 0 owner</w:t>
            </w:r>
          </w:p>
        </w:tc>
        <w:tc>
          <w:tcPr>
            <w:tcW w:type="dxa" w:w="2091"/>
            <w:shd w:fill="7C0041"/>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Deck date "August 30, 2023" vs file name "2026"</w:t>
            </w:r>
          </w:p>
        </w:tc>
        <w:tc>
          <w:tcPr>
            <w:tcW w:type="dxa" w:w="2091"/>
          </w:tcPr>
          <w:p>
            <w:pPr>
              <w:spacing w:after="20"/>
            </w:pPr>
            <w:r>
              <w:rPr>
                <w:rFonts w:ascii="Montserrat" w:hAnsi="Montserrat"/>
                <w:sz w:val="15"/>
              </w:rPr>
              <w:t>B1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Regulator name CCHI vs CHI</w:t>
            </w:r>
          </w:p>
        </w:tc>
        <w:tc>
          <w:tcPr>
            <w:tcW w:type="dxa" w:w="2091"/>
          </w:tcPr>
          <w:p>
            <w:pPr>
              <w:spacing w:after="20"/>
            </w:pPr>
            <w:r>
              <w:rPr>
                <w:rFonts w:ascii="Montserrat" w:hAnsi="Montserrat"/>
                <w:sz w:val="15"/>
              </w:rPr>
              <w:t>B2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Every benefit on slides 8–12 checked against the official EBP document (text is small and approximate)</w:t>
            </w:r>
          </w:p>
        </w:tc>
        <w:tc>
          <w:tcPr>
            <w:tcW w:type="dxa" w:w="2091"/>
          </w:tcPr>
          <w:p>
            <w:pPr>
              <w:spacing w:after="20"/>
            </w:pPr>
            <w:r>
              <w:rPr>
                <w:rFonts w:ascii="Montserrat" w:hAnsi="Montserrat"/>
                <w:sz w:val="15"/>
              </w:rPr>
              <w:t>B3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Counts: "18 added / 10 amended" vs 10 and 8 headline items</w:t>
            </w:r>
          </w:p>
        </w:tc>
        <w:tc>
          <w:tcPr>
            <w:tcW w:type="dxa" w:w="2091"/>
          </w:tcPr>
          <w:p>
            <w:pPr>
              <w:spacing w:after="20"/>
            </w:pPr>
            <w:r>
              <w:rPr>
                <w:rFonts w:ascii="Montserrat" w:hAnsi="Montserrat"/>
                <w:sz w:val="15"/>
              </w:rPr>
              <w:t>B4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Limits: mental health 50,000 SAR per policy period; kidney transplant 250,000 SAR</w:t>
            </w:r>
          </w:p>
        </w:tc>
        <w:tc>
          <w:tcPr>
            <w:tcW w:type="dxa" w:w="2091"/>
          </w:tcPr>
          <w:p>
            <w:pPr>
              <w:spacing w:after="20"/>
            </w:pPr>
            <w:r>
              <w:rPr>
                <w:rFonts w:ascii="Montserrat" w:hAnsi="Montserrat"/>
                <w:sz w:val="15"/>
              </w:rPr>
              <w:t>B5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Optical cover wording ("life-threatening congenital illness for beneficiaries up to 14 years")</w:t>
            </w:r>
          </w:p>
        </w:tc>
        <w:tc>
          <w:tcPr>
            <w:tcW w:type="dxa" w:w="2091"/>
          </w:tcPr>
          <w:p>
            <w:pPr>
              <w:spacing w:after="20"/>
            </w:pPr>
            <w:r>
              <w:rPr>
                <w:rFonts w:ascii="Montserrat" w:hAnsi="Montserrat"/>
                <w:sz w:val="15"/>
              </w:rPr>
              <w:t>B6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Behavioural/dietary consultation criteria ("BMI &gt; 30 or ≥ 2 risk factors")</w:t>
            </w:r>
          </w:p>
        </w:tc>
        <w:tc>
          <w:tcPr>
            <w:tcW w:type="dxa" w:w="2091"/>
          </w:tcPr>
          <w:p>
            <w:pPr>
              <w:spacing w:after="20"/>
            </w:pPr>
            <w:r>
              <w:rPr>
                <w:rFonts w:ascii="Montserrat" w:hAnsi="Montserrat"/>
                <w:sz w:val="15"/>
              </w:rPr>
              <w:t>B7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Rejection log (slide 6): claim numbers, provider names, dates</w:t>
            </w:r>
          </w:p>
        </w:tc>
        <w:tc>
          <w:tcPr>
            <w:tcW w:type="dxa" w:w="2091"/>
          </w:tcPr>
          <w:p>
            <w:pPr>
              <w:spacing w:after="20"/>
            </w:pPr>
            <w:r>
              <w:rPr>
                <w:rFonts w:ascii="Montserrat" w:hAnsi="Montserrat"/>
                <w:sz w:val="15"/>
              </w:rPr>
              <w:t>B8 · RCM lead + DPO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Rejection categories</w:t>
            </w:r>
          </w:p>
        </w:tc>
        <w:tc>
          <w:tcPr>
            <w:tcW w:type="dxa" w:w="2091"/>
          </w:tcPr>
          <w:p>
            <w:pPr>
              <w:spacing w:after="20"/>
            </w:pPr>
            <w:r>
              <w:rPr>
                <w:rFonts w:ascii="Montserrat" w:hAnsi="Montserrat"/>
                <w:sz w:val="15"/>
              </w:rPr>
              <w:t>B9 · Coding lead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Term</w:t>
            </w:r>
          </w:p>
        </w:tc>
        <w:tc>
          <w:tcPr>
            <w:tcW w:type="dxa" w:w="3485"/>
            <w:shd w:fill="7C0041"/>
          </w:tcPr>
          <w:p>
            <w:pPr>
              <w:spacing w:after="20"/>
            </w:pPr>
            <w:r>
              <w:rPr>
                <w:rFonts w:ascii="Montserrat" w:hAnsi="Montserrat"/>
                <w:b/>
                <w:color w:val="FFFFFF"/>
                <w:sz w:val="15"/>
              </w:rPr>
              <w:t>Say it as</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EBP</w:t>
            </w:r>
          </w:p>
        </w:tc>
        <w:tc>
          <w:tcPr>
            <w:tcW w:type="dxa" w:w="3485"/>
          </w:tcPr>
          <w:p>
            <w:pPr>
              <w:spacing w:after="20"/>
            </w:pPr>
            <w:r>
              <w:rPr>
                <w:rFonts w:ascii="Montserrat" w:hAnsi="Montserrat"/>
                <w:sz w:val="15"/>
              </w:rPr>
              <w:t>E-B-P</w:t>
            </w:r>
          </w:p>
        </w:tc>
        <w:tc>
          <w:tcPr>
            <w:tcW w:type="dxa" w:w="3485"/>
          </w:tcPr>
          <w:p>
            <w:pPr>
              <w:spacing w:after="20"/>
            </w:pPr>
            <w:r>
              <w:rPr>
                <w:rFonts w:ascii="Montserrat" w:hAnsi="Montserrat"/>
                <w:sz w:val="15"/>
              </w:rPr>
              <w:t>rcmb-000</w:t>
            </w:r>
          </w:p>
        </w:tc>
      </w:tr>
      <w:tr>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rcmb-000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(7 scored / 80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