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Cahier des charges – Système de gestion hôtelière</w:t>
      </w:r>
    </w:p>
    <w:p>
      <w:pPr>
        <w:spacing w:after="120"/>
      </w:pPr>
      <w:r>
        <w:rPr>
          <w:color w:val="5B6472"/>
        </w:rPr>
        <w:t xml:space="preserve">10 octobre 2026</w:t>
      </w:r>
    </w:p>
    <w:p>
      <w:pPr>
        <w:spacing w:after="120"/>
      </w:pPr>
      <w:r>
        <w:rPr>
          <w:b/>
          <w:bCs/>
        </w:rPr>
        <w:t xml:space="preserve">Version 2.1</w:t>
      </w:r>
      <w:r>
        <w:t xml:space="preserve"> – Mise à jour de la v2.0 après la réalisation du temps réel, des écrans d’administration, de l’application mobile, de la charte HOTELIA et d’une première mise en ligne de démonstration.</w:t>
      </w:r>
    </w:p>
    <w:p>
      <w:pPr>
        <w:spacing w:after="120"/>
      </w:pPr>
      <w:r>
        <w:t xml:space="preserve">La v2.0 décrivait le système réalisé et ce qui restait à faire. La v2.1 en met à jour les statuts, l’architecture, la sécurité, les tests et les risques. Les règles de gestion et les décisions actées de la v2.0 sont inchangées, sauf mention contraire ; les statuts modifiés par cette version sont signalés en </w:t>
      </w:r>
      <w:r>
        <w:rPr>
          <w:b/>
          <w:bCs/>
        </w:rPr>
        <w:t xml:space="preserve">vert</w:t>
      </w:r>
      <w:r>
        <w:t xml:space="preserve"> dans les tableaux.</w:t>
      </w:r>
    </w:p>
    <w:p>
      <w:pPr>
        <w:pStyle w:val="Heading2"/>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8193"/>
      </w:tblGrid>
      <w:tr>
        <w:trPr>
          <w:tblHeader/>
        </w:trPr>
        <w:tc>
          <w:tcPr>
            <w:tcW w:type="dxa" w:w="144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Version</w:t>
            </w:r>
          </w:p>
        </w:tc>
        <w:tc>
          <w:tcPr>
            <w:tcW w:type="dxa" w:w="8193"/>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Objet</w:t>
            </w:r>
          </w:p>
        </w:tc>
      </w:tr>
      <w:tr>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1.0</w:t>
            </w:r>
          </w:p>
        </w:tc>
        <w:tc>
          <w:tcPr>
            <w:tcW w:type="dxa" w:w="819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Expression du besoin initial</w:t>
            </w:r>
          </w:p>
        </w:tc>
      </w:tr>
      <w:tr>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1.1</w:t>
            </w:r>
          </w:p>
        </w:tc>
        <w:tc>
          <w:tcPr>
            <w:tcW w:type="dxa" w:w="819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Correction des incohérences, périmètre V1/V2/V3, PCI DSS, RPO, RTL, menu et carte dynamiques, spécification de l’API</w:t>
            </w:r>
          </w:p>
        </w:tc>
      </w:tr>
      <w:tr>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2.0</w:t>
            </w:r>
          </w:p>
        </w:tc>
        <w:tc>
          <w:tcPr>
            <w:tcW w:type="dxa" w:w="819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Règles de gestion numérotées, statut de chaque exigence, architecture et sécurité réalisées, facturation inaltérable, résultats de recette, décisions ouvertes et feuille de route révisée</w:t>
            </w:r>
          </w:p>
        </w:tc>
      </w:tr>
      <w:tr>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2.1</w:t>
            </w:r>
          </w:p>
        </w:tc>
        <w:tc>
          <w:tcPr>
            <w:tcW w:type="dxa" w:w="819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Statuts mis à jour : administration à l’écran, temps réel, application mobile, écran du restaurant, sessions multi-instances, charte HOTELIA, hébergement de démonstration ; nouveaux points de sécurité et risques</w:t>
            </w:r>
          </w:p>
        </w:tc>
      </w:tr>
    </w:tbl>
    <w:p>
      <w:pPr>
        <w:pStyle w:val="Heading2"/>
      </w:pPr>
      <w:r>
        <w:t xml:space="preserve">Conventions</w:t>
      </w:r>
    </w:p>
    <w:p>
      <w:pPr>
        <w:pStyle w:val="ListParagraph"/>
        <w:numPr>
          <w:ilvl w:val="0"/>
          <w:numId w:val="2"/>
        </w:numPr>
        <w:spacing w:after="60"/>
      </w:pPr>
      <w:r>
        <w:rPr>
          <w:b/>
          <w:bCs/>
        </w:rPr>
        <w:t xml:space="preserve">Statut</w:t>
      </w:r>
      <w:r>
        <w:t xml:space="preserve"> : Livré (réalisé et couvert par des tests automatisés), Partiel (réalisé en partie, le reste est précisé), À faire (prévu dans la version indiquée). La mention « (v2.1) » signale un statut modifié par cette version.</w:t>
      </w:r>
    </w:p>
    <w:p>
      <w:pPr>
        <w:pStyle w:val="ListParagraph"/>
        <w:numPr>
          <w:ilvl w:val="0"/>
          <w:numId w:val="2"/>
        </w:numPr>
        <w:spacing w:after="60"/>
      </w:pPr>
      <w:r>
        <w:rPr>
          <w:b/>
          <w:bCs/>
        </w:rPr>
        <w:t xml:space="preserve">Règles de gestion</w:t>
      </w:r>
      <w:r>
        <w:t xml:space="preserve"> : identifiant </w:t>
      </w:r>
      <w:r>
        <w:rPr>
          <w:rFonts w:ascii="Consolas" w:cs="Consolas" w:eastAsia="Consolas" w:hAnsi="Consolas"/>
          <w:sz w:val="18"/>
          <w:szCs w:val="18"/>
        </w:rPr>
        <w:t xml:space="preserve">RG-&lt;module&gt;-&lt;n°&gt;</w:t>
      </w:r>
      <w:r>
        <w:t xml:space="preserve">, formulées pour pouvoir être testées telles quelles.</w:t>
      </w:r>
    </w:p>
    <w:p>
      <w:pPr>
        <w:pStyle w:val="ListParagraph"/>
        <w:numPr>
          <w:ilvl w:val="0"/>
          <w:numId w:val="2"/>
        </w:numPr>
        <w:spacing w:after="60"/>
      </w:pPr>
      <w:r>
        <w:rPr>
          <w:b/>
          <w:bCs/>
        </w:rPr>
        <w:t xml:space="preserve">Montants</w:t>
      </w:r>
      <w:r>
        <w:t xml:space="preserve"> : en unités mineures (centimes) dans le système, TTC sauf mention contraire. </w:t>
      </w:r>
      <w:r>
        <w:rPr>
          <w:b/>
          <w:bCs/>
        </w:rPr>
        <w:t xml:space="preserve">Taux</w:t>
      </w:r>
      <w:r>
        <w:t xml:space="preserve"> : en points de base (1000 = 10 %).</w:t>
      </w:r>
    </w:p>
    <w:p>
      <w:pPr>
        <w:pStyle w:val="Heading2"/>
      </w:pPr>
      <w:r>
        <w:t xml:space="preserve">Ce qui change depuis la v2.0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2505"/>
        <w:gridCol w:w="3857"/>
      </w:tblGrid>
      <w:tr>
        <w:trPr>
          <w:tblHeader/>
        </w:trPr>
        <w:tc>
          <w:tcPr>
            <w:tcW w:type="dxa" w:w="3276"/>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Sujet</w:t>
            </w:r>
          </w:p>
        </w:tc>
        <w:tc>
          <w:tcPr>
            <w:tcW w:type="dxa" w:w="250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v2.0</w:t>
            </w:r>
          </w:p>
        </w:tc>
        <w:tc>
          <w:tcPr>
            <w:tcW w:type="dxa" w:w="3857"/>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v2.1</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Écrans d’administration (RG-NAV-04)</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w:t>
            </w:r>
          </w:p>
        </w:tc>
        <w:tc>
          <w:tcPr>
            <w:tcW w:type="dxa" w:w="385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 chambres et types, menu, comptes utilisateurs</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Temps réel</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(Socket.IO + Redis)</w:t>
            </w:r>
          </w:p>
        </w:tc>
        <w:tc>
          <w:tcPr>
            <w:tcW w:type="dxa" w:w="385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autrement : flux d’événements SSE filtré par droits, sans Redis</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Application mobile</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w:t>
            </w:r>
          </w:p>
        </w:tc>
        <w:tc>
          <w:tcPr>
            <w:tcW w:type="dxa" w:w="385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Partiel : application native HOTELIA (Expo) et application web installable ; hors ligne à faire</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Restauration à la chambre (RG-RST-01)</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(API)</w:t>
            </w:r>
          </w:p>
        </w:tc>
        <w:tc>
          <w:tcPr>
            <w:tcW w:type="dxa" w:w="385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 écran du restaurant, web et téléphone</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Sessions sur plusieurs instances web</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Risque ouvert</w:t>
            </w:r>
          </w:p>
        </w:tc>
        <w:tc>
          <w:tcPr>
            <w:tcW w:type="dxa" w:w="385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Traité : délai de grâce de 30 s, test automatisé</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Identité visuelle</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IBM Plex Sans</w:t>
            </w:r>
          </w:p>
        </w:tc>
        <w:tc>
          <w:tcPr>
            <w:tcW w:type="dxa" w:w="385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Charte HOTELIA : marine et or, Poppins et Inter</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Hébergement</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Décision D-07 ouverte</w:t>
            </w:r>
          </w:p>
        </w:tc>
        <w:tc>
          <w:tcPr>
            <w:tcW w:type="dxa" w:w="385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Démonstration en ligne (UE) ; D-07 reste ouverte pour la production</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Tests automatisés</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54 tests API, 4 suites navigateur</w:t>
            </w:r>
          </w:p>
        </w:tc>
        <w:tc>
          <w:tcPr>
            <w:tcW w:type="dxa" w:w="385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66 tests API (6 suites), 9 suites navigateur</w:t>
            </w:r>
          </w:p>
        </w:tc>
      </w:tr>
    </w:tbl>
    <w:p>
      <w:pPr>
        <w:pStyle w:val="Heading2"/>
      </w:pPr>
      <w:r>
        <w:t xml:space="preserve">Synthèse de l’avancement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156"/>
        <w:gridCol w:w="1156"/>
        <w:gridCol w:w="4050"/>
      </w:tblGrid>
      <w:tr>
        <w:trPr>
          <w:tblHeader/>
        </w:trPr>
        <w:tc>
          <w:tcPr>
            <w:tcW w:type="dxa" w:w="3276"/>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Domaine</w:t>
            </w:r>
          </w:p>
        </w:tc>
        <w:tc>
          <w:tcPr>
            <w:tcW w:type="dxa" w:w="1156"/>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Section</w:t>
            </w:r>
          </w:p>
        </w:tc>
        <w:tc>
          <w:tcPr>
            <w:tcW w:type="dxa" w:w="1156"/>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Version</w:t>
            </w:r>
          </w:p>
        </w:tc>
        <w:tc>
          <w:tcPr>
            <w:tcW w:type="dxa" w:w="4050"/>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Réservations et disponibilités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4.1</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V1</w:t>
            </w:r>
          </w:p>
        </w:tc>
        <w:tc>
          <w:tcPr>
            <w:tcW w:type="dxa" w:w="405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(hors channel manager et confirmations)</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Réception : arrivées et départs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4.2</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V1</w:t>
            </w:r>
          </w:p>
        </w:tc>
        <w:tc>
          <w:tcPr>
            <w:tcW w:type="dxa" w:w="405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(hors clés électroniques, V2)</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Planning des chambres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4.3</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V1</w:t>
            </w:r>
          </w:p>
        </w:tc>
        <w:tc>
          <w:tcPr>
            <w:tcW w:type="dxa" w:w="405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(hors délogement d’un client installé)</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Chambres et ménage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4.4</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V1</w:t>
            </w:r>
          </w:p>
        </w:tc>
        <w:tc>
          <w:tcPr>
            <w:tcW w:type="dxa" w:w="405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(hors mode hors ligne mobile)</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Clients et RGPD</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4.5</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V1</w:t>
            </w:r>
          </w:p>
        </w:tc>
        <w:tc>
          <w:tcPr>
            <w:tcW w:type="dxa" w:w="405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(hors documents d’identité)</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Menu dynamique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4.6</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V1</w:t>
            </w:r>
          </w:p>
        </w:tc>
        <w:tc>
          <w:tcPr>
            <w:tcW w:type="dxa" w:w="405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écran d’administration compris (v2.1)</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Facturation et paiements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4.8</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V1</w:t>
            </w:r>
          </w:p>
        </w:tc>
        <w:tc>
          <w:tcPr>
            <w:tcW w:type="dxa" w:w="405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(hors raccordement au prestataire de paiement)</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Tableau de bord et rapports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4.9</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V1</w:t>
            </w:r>
          </w:p>
        </w:tc>
        <w:tc>
          <w:tcPr>
            <w:tcW w:type="dxa" w:w="405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Temps réel et mobile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5.2</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V1</w:t>
            </w:r>
          </w:p>
        </w:tc>
        <w:tc>
          <w:tcPr>
            <w:tcW w:type="dxa" w:w="405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Partiel : temps réel livré, mobile sans hors ligne (v2.1)</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Restauration, carte, personnel, fidélité</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4.7, 4.10</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V2</w:t>
            </w:r>
          </w:p>
        </w:tc>
        <w:tc>
          <w:tcPr>
            <w:tcW w:type="dxa" w:w="405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(facturation à la chambre livrée)</w:t>
            </w:r>
          </w:p>
        </w:tc>
      </w:tr>
      <w:tr>
        <w:tc>
          <w:tcPr>
            <w:tcW w:type="dxa" w:w="327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Analyses prédictives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4.10</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V3</w:t>
            </w:r>
          </w:p>
        </w:tc>
        <w:tc>
          <w:tcPr>
            <w:tcW w:type="dxa" w:w="405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w:t>
            </w:r>
          </w:p>
        </w:tc>
      </w:tr>
    </w:tbl>
    <w:p>
      <w:pPr>
        <w:pStyle w:val="Heading1"/>
      </w:pPr>
      <w:r>
        <w:t xml:space="preserve">1. Objet</w:t>
      </w:r>
    </w:p>
    <w:p>
      <w:pPr>
        <w:spacing w:after="120"/>
      </w:pPr>
      <w:r>
        <w:t xml:space="preserve">Le présent document définit les besoins fonctionnels, techniques et organisationnels du système de gestion hôtelière (PMS) de l’établissement, et l’état de leur réalisation. Il fait foi pour :</w:t>
      </w:r>
    </w:p>
    <w:p>
      <w:pPr>
        <w:pStyle w:val="ListParagraph"/>
        <w:numPr>
          <w:ilvl w:val="0"/>
          <w:numId w:val="2"/>
        </w:numPr>
        <w:spacing w:after="60"/>
      </w:pPr>
      <w:r>
        <w:t xml:space="preserve">la recette du socle V1 déjà réalisé ;</w:t>
      </w:r>
    </w:p>
    <w:p>
      <w:pPr>
        <w:pStyle w:val="ListParagraph"/>
        <w:numPr>
          <w:ilvl w:val="0"/>
          <w:numId w:val="2"/>
        </w:numPr>
        <w:spacing w:after="60"/>
      </w:pPr>
      <w:r>
        <w:t xml:space="preserve">le développement de ce qui reste à livrer en V1, puis des versions V2 et V3 ;</w:t>
      </w:r>
    </w:p>
    <w:p>
      <w:pPr>
        <w:pStyle w:val="ListParagraph"/>
        <w:numPr>
          <w:ilvl w:val="0"/>
          <w:numId w:val="2"/>
        </w:numPr>
        <w:spacing w:after="60"/>
      </w:pPr>
      <w:r>
        <w:t xml:space="preserve">la mise en service, la formation et l’exploitation.</w:t>
      </w:r>
    </w:p>
    <w:p>
      <w:pPr>
        <w:pStyle w:val="Heading1"/>
      </w:pPr>
      <w:r>
        <w:t xml:space="preserve">2. Contexte et objectifs</w:t>
      </w:r>
    </w:p>
    <w:p>
      <w:pPr>
        <w:pStyle w:val="Heading2"/>
      </w:pPr>
      <w:r>
        <w:t xml:space="preserve">2.1 Contexte</w:t>
      </w:r>
    </w:p>
    <w:p>
      <w:pPr>
        <w:spacing w:after="120"/>
      </w:pPr>
      <w:r>
        <w:t xml:space="preserve">L’établissement compte jusqu’à 200 chambres, au moins 50 utilisateurs simultanés et sept profils métier. Le système remplace les outils actuels pour les réservations, la réception, l’entretien des chambres, la facturation et le pilotage.</w:t>
      </w:r>
    </w:p>
    <w:p>
      <w:pPr>
        <w:spacing w:after="120"/>
      </w:pPr>
      <w:r>
        <w:rPr>
          <w:b/>
          <w:bCs/>
        </w:rPr>
        <w:t xml:space="preserve">Pays d’exploitation : [à préciser – décision D-01].</w:t>
      </w:r>
      <w:r>
        <w:t xml:space="preserve"> Il conditionne la TVA, la taxe de séjour, les mentions obligatoires des factures, la déclaration des voyageurs et l’éventuelle certification du logiciel.</w:t>
      </w:r>
    </w:p>
    <w:p>
      <w:pPr>
        <w:pStyle w:val="Heading2"/>
      </w:pPr>
      <w:r>
        <w:t xml:space="preserve">2.2 Objectifs mesurables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1734"/>
        <w:gridCol w:w="2700"/>
      </w:tblGrid>
      <w:tr>
        <w:trPr>
          <w:tblHeader/>
        </w:trPr>
        <w:tc>
          <w:tcPr>
            <w:tcW w:type="dxa" w:w="2313"/>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Objectif</w:t>
            </w:r>
          </w:p>
        </w:tc>
        <w:tc>
          <w:tcPr>
            <w:tcW w:type="dxa" w:w="289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Indicateur</w:t>
            </w:r>
          </w:p>
        </w:tc>
        <w:tc>
          <w:tcPr>
            <w:tcW w:type="dxa" w:w="173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Cible</w:t>
            </w:r>
          </w:p>
        </w:tc>
        <w:tc>
          <w:tcPr>
            <w:tcW w:type="dxa" w:w="2700"/>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Moyen de mesure</w:t>
            </w:r>
          </w:p>
        </w:tc>
      </w:tr>
      <w:tr>
        <w:tc>
          <w:tcPr>
            <w:tcW w:type="dxa" w:w="23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Zéro surréservation involontaire</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Chambres vendues au-delà du stock</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0</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Contrainte en base + test de ventes simultanées</w:t>
            </w:r>
          </w:p>
        </w:tc>
      </w:tr>
      <w:tr>
        <w:tc>
          <w:tcPr>
            <w:tcW w:type="dxa" w:w="23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Accueil rapide</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Durée d’une arrivée (recherche, attribution, enregistrement)</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Moins de 2 minutes</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Mesure en phase pilote</w:t>
            </w:r>
          </w:p>
        </w:tc>
      </w:tr>
      <w:tr>
        <w:tc>
          <w:tcPr>
            <w:tcW w:type="dxa" w:w="23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Départ sans oubli de facturation</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Départs enregistrés avec un solde non nul sans dérogation</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0</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Règle RG-REC-06, journal d’audit</w:t>
            </w:r>
          </w:p>
        </w:tc>
      </w:tr>
      <w:tr>
        <w:tc>
          <w:tcPr>
            <w:tcW w:type="dxa" w:w="23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Factures conformes et inaltérables</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Pièces dont l’empreinte ou la numérotation est invalide</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0</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Contrôle d’intégrité RG-FAC-11</w:t>
            </w:r>
          </w:p>
        </w:tc>
      </w:tr>
      <w:tr>
        <w:tc>
          <w:tcPr>
            <w:tcW w:type="dxa" w:w="23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Chambres prêtes à l’heure</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Arrivées en attente faute de chambre propre</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En baisse de 50 % sur 3 mois</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Tableau du ménage, alertes</w:t>
            </w:r>
          </w:p>
        </w:tc>
      </w:tr>
      <w:tr>
        <w:tc>
          <w:tcPr>
            <w:tcW w:type="dxa" w:w="23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Pilotage fiable</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Concordance des répartitions avec les totaux</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100 %</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 automatisé des rapports</w:t>
            </w:r>
          </w:p>
        </w:tc>
      </w:tr>
      <w:tr>
        <w:tc>
          <w:tcPr>
            <w:tcW w:type="dxa" w:w="23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Adoption</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Utilisateurs formés actifs à J+30</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90 %</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Journal des connexions</w:t>
            </w:r>
          </w:p>
        </w:tc>
      </w:tr>
    </w:tbl>
    <w:p>
      <w:pPr>
        <w:spacing w:after="120"/>
      </w:pPr>
      <w:r>
        <w:rPr>
          <w:i/>
          <w:iCs/>
          <w:color w:val="5B6472"/>
        </w:rPr>
        <w:t xml:space="preserve">Correction v2.1 : le contrôle d’intégrité des factures est la règle RG-FAC-11 (la v2.0 citait RG-FAC-12, qui porte sur les avoirs).</w:t>
      </w:r>
    </w:p>
    <w:p>
      <w:pPr>
        <w:pStyle w:val="Heading1"/>
      </w:pPr>
      <w:r>
        <w:t xml:space="preserve">3. Décisions</w:t>
      </w:r>
    </w:p>
    <w:p>
      <w:pPr>
        <w:pStyle w:val="Heading2"/>
      </w:pPr>
      <w:r>
        <w:t xml:space="preserve">3.1 Décisions actées</w:t>
      </w:r>
    </w:p>
    <w:p>
      <w:pPr>
        <w:spacing w:after="120"/>
      </w:pPr>
      <w:r>
        <w:t xml:space="preserve">Ces choix ont été faits pendant la réalisation et sont appliqués par le système. Toute remise en cause passe par une demande de modification.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433"/>
        <w:gridCol w:w="3663"/>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4433"/>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Décision</w:t>
            </w:r>
          </w:p>
        </w:tc>
        <w:tc>
          <w:tcPr>
            <w:tcW w:type="dxa" w:w="3663"/>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Conséquence</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DA-01</w:t>
            </w:r>
          </w:p>
        </w:tc>
        <w:tc>
          <w:tcPr>
            <w:tcW w:type="dxa" w:w="443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Application web avec serveur intermédiaire (BFF), API REST, base PostgreSQL</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jetons de session ne sont jamais accessibles au navigateur (section 5.3)</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DA-02</w:t>
            </w:r>
          </w:p>
        </w:tc>
        <w:tc>
          <w:tcPr>
            <w:tcW w:type="dxa" w:w="443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Tarif V1 = tarif de base du type de chambre + supplément pension par personne et par nuit</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plans tarifaires saisonniers restent à livrer (section 9)</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DA-03</w:t>
            </w:r>
          </w:p>
        </w:tc>
        <w:tc>
          <w:tcPr>
            <w:tcW w:type="dxa" w:w="443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chambre est attribuée au plus tard à l’arrivée ; elle peut être pré-attribuée depuis le planning</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 stock se gère par type de chambre jusqu’à l’attribution</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DA-04</w:t>
            </w:r>
          </w:p>
        </w:tc>
        <w:tc>
          <w:tcPr>
            <w:tcW w:type="dxa" w:w="443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Montants gérés TTC ; la TVA est extraite ligne par ligne</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Arrondi au centime par ligne, récapitulatif par taux sur la facture</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DA-05</w:t>
            </w:r>
          </w:p>
        </w:tc>
        <w:tc>
          <w:tcPr>
            <w:tcW w:type="dxa" w:w="443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Factures en séries annuelles </w:t>
            </w:r>
            <w:r>
              <w:rPr>
                <w:rFonts w:ascii="Consolas" w:cs="Consolas" w:eastAsia="Consolas" w:hAnsi="Consolas"/>
                <w:sz w:val="18"/>
                <w:szCs w:val="18"/>
              </w:rPr>
              <w:t xml:space="preserve">F{année}</w:t>
            </w:r>
            <w:r>
              <w:t xml:space="preserve">, avoirs en séries </w:t>
            </w:r>
            <w:r>
              <w:rPr>
                <w:rFonts w:ascii="Consolas" w:cs="Consolas" w:eastAsia="Consolas" w:hAnsi="Consolas"/>
                <w:sz w:val="18"/>
                <w:szCs w:val="18"/>
              </w:rPr>
              <w:t xml:space="preserve">A{année}</w:t>
            </w:r>
            <w:r>
              <w:t xml:space="preserve">, avoir total uniquement</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correction partielle se fait par avoir total puis nouvelle facture</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DA-06</w:t>
            </w:r>
          </w:p>
        </w:tc>
        <w:tc>
          <w:tcPr>
            <w:tcW w:type="dxa" w:w="443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 départ exige un compte soldé, sauf dérogation motivée de la direction ou de la comptabilité</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Règle RG-REC-06</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DA-07</w:t>
            </w:r>
          </w:p>
        </w:tc>
        <w:tc>
          <w:tcPr>
            <w:tcW w:type="dxa" w:w="443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 départ anticipé ramène le prix au prorata des nuits passées</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Règle RG-REC-07 ; une autre politique demande la décision D-08</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DA-08</w:t>
            </w:r>
          </w:p>
        </w:tc>
        <w:tc>
          <w:tcPr>
            <w:tcW w:type="dxa" w:w="443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Aucune donnée de carte bancaire n’est saisie, stockée ni transmise par le système</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Seule la référence de transaction du terminal ou du prestataire est conservée</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DA-09</w:t>
            </w:r>
          </w:p>
        </w:tc>
        <w:tc>
          <w:tcPr>
            <w:tcW w:type="dxa" w:w="443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La langue d’une facture est choisie à l’émission, indépendamment de celle de l’interface</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facture arabe s’imprime en RTL depuis une interface française</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DA-10 (v2.1)</w:t>
            </w:r>
          </w:p>
        </w:tc>
        <w:tc>
          <w:tcPr>
            <w:tcW w:type="dxa" w:w="443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Temps réel par flux d’événements serveur (SSE) relayé par le serveur web, plutôt que Socket.IO + Redis</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Pas de Redis à exploiter ; l’API tourne en une seule instance tant que les événements restent en mémoire (section 9.4)</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DA-11 (v2.1)</w:t>
            </w:r>
          </w:p>
        </w:tc>
        <w:tc>
          <w:tcPr>
            <w:tcW w:type="dxa" w:w="443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Application mobile native (React Native, Expo) qui passe par le serveur web, comme le navigateur</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Mêmes droits, même session et mêmes protections que le web ; aucun accès direct à l’API</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DA-12 (v2.1)</w:t>
            </w:r>
          </w:p>
        </w:tc>
        <w:tc>
          <w:tcPr>
            <w:tcW w:type="dxa" w:w="443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Charte graphique HOTELIA (marine et or, Poppins et Inter, IBM Plex Sans Arabic pour l’arabe), commune au web et au mobile</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Remplace l’identité « IBM Plex » de la v2.0</w:t>
            </w:r>
          </w:p>
        </w:tc>
      </w:tr>
    </w:tbl>
    <w:p>
      <w:pPr>
        <w:pStyle w:val="Heading2"/>
      </w:pPr>
      <w:r>
        <w:t xml:space="preserve">3.2 Décisions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3180"/>
        <w:gridCol w:w="1445"/>
        <w:gridCol w:w="1734"/>
        <w:gridCol w:w="2219"/>
      </w:tblGrid>
      <w:tr>
        <w:trPr>
          <w:tblHeader/>
        </w:trPr>
        <w:tc>
          <w:tcPr>
            <w:tcW w:type="dxa" w:w="1060"/>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3180"/>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Question</w:t>
            </w:r>
          </w:p>
        </w:tc>
        <w:tc>
          <w:tcPr>
            <w:tcW w:type="dxa" w:w="144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Décideur</w:t>
            </w:r>
          </w:p>
        </w:tc>
        <w:tc>
          <w:tcPr>
            <w:tcW w:type="dxa" w:w="173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Échéance</w:t>
            </w:r>
          </w:p>
        </w:tc>
        <w:tc>
          <w:tcPr>
            <w:tcW w:type="dxa" w:w="2219"/>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Ce qui en dépend</w:t>
            </w:r>
          </w:p>
        </w:tc>
      </w:tr>
      <w:tr>
        <w:tc>
          <w:tcPr>
            <w:tcW w:type="dxa" w:w="10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D-01</w:t>
            </w:r>
          </w:p>
        </w:tc>
        <w:tc>
          <w:tcPr>
            <w:tcW w:type="dxa" w:w="318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Pays d’exploitation et règles fiscales applicables</w:t>
            </w:r>
          </w:p>
        </w:tc>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Direction</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Bloquant avant mise en service</w:t>
            </w:r>
          </w:p>
        </w:tc>
        <w:tc>
          <w:tcPr>
            <w:tcW w:type="dxa" w:w="22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TVA, taxe de séjour, mentions, déclaration des voyageurs</w:t>
            </w:r>
          </w:p>
        </w:tc>
      </w:tr>
      <w:tr>
        <w:tc>
          <w:tcPr>
            <w:tcW w:type="dxa" w:w="10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D-02</w:t>
            </w:r>
          </w:p>
        </w:tc>
        <w:tc>
          <w:tcPr>
            <w:tcW w:type="dxa" w:w="318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Entériner l’option A (développement sur mesure), dont le socle est réalisé, ou revenir à l’option B</w:t>
            </w:r>
          </w:p>
        </w:tc>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Direction</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Immédiate</w:t>
            </w:r>
          </w:p>
        </w:tc>
        <w:tc>
          <w:tcPr>
            <w:tcW w:type="dxa" w:w="22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Tout le reste du projet</w:t>
            </w:r>
          </w:p>
        </w:tc>
      </w:tr>
      <w:tr>
        <w:tc>
          <w:tcPr>
            <w:tcW w:type="dxa" w:w="10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D-03</w:t>
            </w:r>
          </w:p>
        </w:tc>
        <w:tc>
          <w:tcPr>
            <w:tcW w:type="dxa" w:w="318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Certification du logiciel de caisse ou facturation électronique obligatoire</w:t>
            </w:r>
          </w:p>
        </w:tc>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Comptabilité, conseil</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Après D-01</w:t>
            </w:r>
          </w:p>
        </w:tc>
        <w:tc>
          <w:tcPr>
            <w:tcW w:type="dxa" w:w="22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Mise en service de la facturation</w:t>
            </w:r>
          </w:p>
        </w:tc>
      </w:tr>
      <w:tr>
        <w:tc>
          <w:tcPr>
            <w:tcW w:type="dxa" w:w="10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D-04</w:t>
            </w:r>
          </w:p>
        </w:tc>
        <w:tc>
          <w:tcPr>
            <w:tcW w:type="dxa" w:w="318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Prestataire de paiement (terminaux et paiement en ligne)</w:t>
            </w:r>
          </w:p>
        </w:tc>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Comptabilité, IT</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Avant le développement du raccordement</w:t>
            </w:r>
          </w:p>
        </w:tc>
        <w:tc>
          <w:tcPr>
            <w:tcW w:type="dxa" w:w="22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Acomptes en ligne, rapprochement automatique</w:t>
            </w:r>
          </w:p>
        </w:tc>
      </w:tr>
      <w:tr>
        <w:tc>
          <w:tcPr>
            <w:tcW w:type="dxa" w:w="10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D-05</w:t>
            </w:r>
          </w:p>
        </w:tc>
        <w:tc>
          <w:tcPr>
            <w:tcW w:type="dxa" w:w="318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Marge pour imprévus : 15 à 20 % (proposée) ou 10 à 15 %</w:t>
            </w:r>
          </w:p>
        </w:tc>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Direction</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Validation du budget</w:t>
            </w:r>
          </w:p>
        </w:tc>
        <w:tc>
          <w:tcPr>
            <w:tcW w:type="dxa" w:w="22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Section 9.3</w:t>
            </w:r>
          </w:p>
        </w:tc>
      </w:tr>
      <w:tr>
        <w:tc>
          <w:tcPr>
            <w:tcW w:type="dxa" w:w="10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D-06</w:t>
            </w:r>
          </w:p>
        </w:tc>
        <w:tc>
          <w:tcPr>
            <w:tcW w:type="dxa" w:w="318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Channel manager (natif ou tiers certifié)</w:t>
            </w:r>
          </w:p>
        </w:tc>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Direction, réception</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Avant le développement V1 restant</w:t>
            </w:r>
          </w:p>
        </w:tc>
        <w:tc>
          <w:tcPr>
            <w:tcW w:type="dxa" w:w="22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Distribution Booking.com et Expedia</w:t>
            </w:r>
          </w:p>
        </w:tc>
      </w:tr>
      <w:tr>
        <w:tc>
          <w:tcPr>
            <w:tcW w:type="dxa" w:w="10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D-07</w:t>
            </w:r>
          </w:p>
        </w:tc>
        <w:tc>
          <w:tcPr>
            <w:tcW w:type="dxa" w:w="318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Hébergeur et région de production (AWS, OVHcloud ou Scaleway, Union européenne). La démonstration actuelle (section 5.4) ne vaut pas choix.</w:t>
            </w:r>
          </w:p>
        </w:tc>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IT</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Avant la mise en préproduction</w:t>
            </w:r>
          </w:p>
        </w:tc>
        <w:tc>
          <w:tcPr>
            <w:tcW w:type="dxa" w:w="22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Contrat, sauvegardes, RGPD, disponibilité</w:t>
            </w:r>
          </w:p>
        </w:tc>
      </w:tr>
      <w:tr>
        <w:tc>
          <w:tcPr>
            <w:tcW w:type="dxa" w:w="10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D-08</w:t>
            </w:r>
          </w:p>
        </w:tc>
        <w:tc>
          <w:tcPr>
            <w:tcW w:type="dxa" w:w="318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Politique d’annulation, de non-présentation et de départ anticipé (frais éventuels)</w:t>
            </w:r>
          </w:p>
        </w:tc>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Direction</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Avant la mise en service</w:t>
            </w:r>
          </w:p>
        </w:tc>
        <w:tc>
          <w:tcPr>
            <w:tcW w:type="dxa" w:w="22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Aujourd’hui : annulation sans frais, prorata au départ anticipé</w:t>
            </w:r>
          </w:p>
        </w:tc>
      </w:tr>
      <w:tr>
        <w:tc>
          <w:tcPr>
            <w:tcW w:type="dxa" w:w="10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D-09</w:t>
            </w:r>
          </w:p>
        </w:tc>
        <w:tc>
          <w:tcPr>
            <w:tcW w:type="dxa" w:w="318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Avoirs partiels pour gestes commerciaux</w:t>
            </w:r>
          </w:p>
        </w:tc>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Comptabilité</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V2</w:t>
            </w:r>
          </w:p>
        </w:tc>
        <w:tc>
          <w:tcPr>
            <w:tcW w:type="dxa" w:w="22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Aujourd’hui : avoir total puis nouvelle facture</w:t>
            </w:r>
          </w:p>
        </w:tc>
      </w:tr>
      <w:tr>
        <w:tc>
          <w:tcPr>
            <w:tcW w:type="dxa" w:w="10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D-10</w:t>
            </w:r>
          </w:p>
        </w:tc>
        <w:tc>
          <w:tcPr>
            <w:tcW w:type="dxa" w:w="318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Traduction des noms de types de chambre et des libellés saisis</w:t>
            </w:r>
          </w:p>
        </w:tc>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Réception</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V1 restant</w:t>
            </w:r>
          </w:p>
        </w:tc>
        <w:tc>
          <w:tcPr>
            <w:tcW w:type="dxa" w:w="22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Aujourd’hui affichés dans la langue de saisie</w:t>
            </w:r>
          </w:p>
        </w:tc>
      </w:tr>
      <w:tr>
        <w:tc>
          <w:tcPr>
            <w:tcW w:type="dxa" w:w="10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D-11 (v2.1)</w:t>
            </w:r>
          </w:p>
        </w:tc>
        <w:tc>
          <w:tcPr>
            <w:tcW w:type="dxa" w:w="318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Distribution de l’application mobile : magasins d’applications (compte développeur, clé de signature) ou installation directe (APK) gérée par l’IT</w:t>
            </w:r>
          </w:p>
        </w:tc>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IT, direction</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Avant le déploiement au personnel</w:t>
            </w:r>
          </w:p>
        </w:tc>
        <w:tc>
          <w:tcPr>
            <w:tcW w:type="dxa" w:w="22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Mises à jour, signature, appareils iOS</w:t>
            </w:r>
          </w:p>
        </w:tc>
      </w:tr>
    </w:tbl>
    <w:p>
      <w:pPr>
        <w:pStyle w:val="Heading1"/>
      </w:pPr>
      <w:r>
        <w:t xml:space="preserve">4. Périmètre fonctionnel et règles de gestion</w:t>
      </w:r>
    </w:p>
    <w:p>
      <w:pPr>
        <w:pStyle w:val="Heading2"/>
      </w:pPr>
      <w:r>
        <w:t xml:space="preserve">4.1 Réservations et disponibilités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5"/>
        <w:gridCol w:w="212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597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w:t>
            </w:r>
          </w:p>
        </w:tc>
        <w:tc>
          <w:tcPr>
            <w:tcW w:type="dxa" w:w="212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La disponibilité se calcule </w:t>
            </w:r>
            <w:r>
              <w:rPr>
                <w:b/>
                <w:bCs/>
              </w:rPr>
              <w:t xml:space="preserve">nuit par nuit et par type</w:t>
            </w:r>
            <w:r>
              <w:t xml:space="preserve"> : chambres hors maintenance, moins les réservations confirmées ou en cours qui couvrent la nuit.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réservation n’est acceptée que s’il reste une chambre du type </w:t>
            </w:r>
            <w:r>
              <w:rPr>
                <w:b/>
                <w:bCs/>
              </w:rPr>
              <w:t xml:space="preserve">chaque nuit</w:t>
            </w:r>
            <w:r>
              <w:t xml:space="preserve"> du séjour ; sinon refus avec la liste des nuits indisponibles.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RG-RES-03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ventes simultanées sur un même type sont traitées une à une : 8 demandes simultanées pour 3 chambres donnent exactement 3 réservations.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RG-RES-04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 nombre de personnes ne dépasse pas la capacité du type de chambre.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RG-RES-05</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Prix du séjour = nuits × (tarif de base + supplément pension × personnes). Un devis est affiché avant la création.</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RG-RES-06</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La date d’arrivée n’est pas passée (fuseau de l’hôtel) ; un séjour compte de 1 à 90 nuits.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RG-RES-07</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La création est idempotente : un double clic ou un renvoi après coupure réseau ne crée pas de doublon (clé conservée 24 h).</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RG-RES-08</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réservation ne se modifie que si elle est confirmée et non facturée. Le stock est revérifié et le prix recalculé ; si quelqu’un l’a modifiée entre-temps, l’enregistrement est refusé et la fiche rechargée. Changer de type retire la pré-attribution.</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RG-RES-09</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L’annulation porte sur une réservation confirmée, exige un motif, libère le stock et est journalisée. Aucun frais n’est appliqué (décision D-08).</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RG-RES-10</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Chaque réservation porte une référence unique de 8 caractères sans caractère ambigu (R + 7, sans O, 0, I, 1).</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RG-RES-11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Canaux enregistrés : direct, téléphone, site web, agence, plateforme en ligne. Le tableau de bord en donne la répartition pour les arrivées du mois.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RG-RES-12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Recherche par nom, email ou référence ; filtres par statut et par dates d’arrivée. Recherche rapide depuis le tableau de bord.</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RG-RES-13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Synchronisation avec le channel manager en moins d’une minute ; fermeture automatique des ventes à stock nul ; import des réservations des plateformes.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(V1)</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RG-RES-14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Confirmation automatique par email (V1) puis par SMS (V2).</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RG-RES-15</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Plans tarifaires saisonniers et restrictions (séjour minimum, fermeture à l’arrivée).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(V1)</w:t>
            </w:r>
          </w:p>
        </w:tc>
      </w:tr>
    </w:tbl>
    <w:p>
      <w:pPr>
        <w:pStyle w:val="Heading2"/>
      </w:pPr>
      <w:r>
        <w:t xml:space="preserve">4.2 Réception : arrivées et départs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5"/>
        <w:gridCol w:w="212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597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w:t>
            </w:r>
          </w:p>
        </w:tc>
        <w:tc>
          <w:tcPr>
            <w:tcW w:type="dxa" w:w="212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L’arrivée s’enregistre du jour d’arrivée prévu jusqu’à la veille du départ.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Chambre attribuée, dans l’ordre : la chambre pré-attribuée, ou celle choisie par la réception, ou automatiquement la première chambre libre et propre du type </w:t>
            </w:r>
            <w:r>
              <w:rPr>
                <w:b/>
                <w:bCs/>
              </w:rPr>
              <w:t xml:space="preserve">qui n’est promise à aucun autre séjour sur ces nuits</w:t>
            </w:r>
            <w:r>
              <w:t xml:space="preserv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RG-REC-03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La chambre doit être « libre et propre » ; sinon le refus indique son état (et si elle était pré-attribuée).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RG-REC-04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chambre n’est jamais attribuée à deux séjours actifs sur une même nuit : la base de données le refuse elle-même, quelle que soit l’application qui écrit.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RG-REC-05</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l’arrivée la chambre passe « occupée » ; au départ, « à nettoyer ».</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RG-REC-06</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 départ est refusé tant que le solde n’est pas nul (montant dû ou trop-perçu à rembourser), avec le montant exact et un lien vers le compte. Une dérogation motivée est réservée à la direction et à la comptabilité, et journalisée.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RG-REC-07</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Départ anticipé : la date de départ devient le jour même, les nuits restantes sont remises en vente et le prix est ramené au prorata des nuits passées (si le séjour n’est pas encore facturé) ; la taxe de séjour suit.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RG-REC-08</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 client présent après sa date de départ est signalé « départ dépassé » (tableau de bord, planning, ménage). Partir le jour prévu n’est pas un retard.</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RG-REC-09</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arrivées passées non enregistrées sont signalées ; leur traitement en non-présentation (statut, frais) reste à définir.</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Partiel (D-08)</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RG-REC-10</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Documents d’identité et déclaration des voyageurs selon le pays, avec purge automatique.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(V1, D-01)</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RG-REC-11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Émission des clés électroniques.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(V2)</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RG-REC-12 (v2.1)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Arrivées et départs du jour s’enregistrent aussi depuis le tableau de bord (onglets) et depuis l’application mobile ; les autres postes sont mis à jour en direct.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(v2.1)</w:t>
            </w:r>
          </w:p>
        </w:tc>
      </w:tr>
    </w:tbl>
    <w:p>
      <w:pPr>
        <w:pStyle w:val="Heading2"/>
      </w:pPr>
      <w:r>
        <w:t xml:space="preserve">4.3 Planning des chambres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5"/>
        <w:gridCol w:w="212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597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w:t>
            </w:r>
          </w:p>
        </w:tc>
        <w:tc>
          <w:tcPr>
            <w:tcW w:type="dxa" w:w="212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RG-PLA-01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 planning montre 14 jours (31 au plus par l’API), les chambres groupées par type et les séjours du milieu du jour d’arrivée au milieu du jour de départ.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RG-PLA-02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réservation confirmée se pré-attribue par glisser-déposer ou par un menu utilisable au clavier, sur une chambre du même type libre toutes les nuits du séjour. Un dépôt sur une chambre déjà promise est ignoré.</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RG-PLA-03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réservations sans chambre sont regroupées par type, en lignes « À attribuer » sans chevauchement.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RG-PLA-04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L’attribution et son retrait sont journalisés et visibles dans l’historique de la réservation.</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RG-PLA-05</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Changement de chambre d’un client déjà installé (états des deux chambres mis à jour).</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(V1)</w:t>
            </w:r>
          </w:p>
        </w:tc>
      </w:tr>
    </w:tbl>
    <w:p>
      <w:pPr>
        <w:pStyle w:val="Heading2"/>
      </w:pPr>
      <w:r>
        <w:t xml:space="preserve">4.4 Chambres et ménage</w:t>
      </w:r>
    </w:p>
    <w:p>
      <w:pPr>
        <w:spacing w:after="120"/>
      </w:pPr>
      <w:r>
        <w:t xml:space="preserve">Une chambre a quatre états : libre et propre, occupée, à nettoyer, maintenance. Les changements manuels autorisés sont les suivants ; « occupée » n’est posée et levée que par l’arrivée et le départ.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État actuel</w:t>
            </w:r>
          </w:p>
        </w:tc>
        <w:tc>
          <w:tcPr>
            <w:tcW w:type="dxa" w:w="4819"/>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Peut passer manuellement à</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Libre et propre</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nettoyer, maintenance</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nettoyer</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Libre et propre, maintenance</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Maintenance</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Libre et propre, à nettoyer</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Occupée</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Maintenance uniquement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5"/>
        <w:gridCol w:w="212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597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w:t>
            </w:r>
          </w:p>
        </w:tc>
        <w:tc>
          <w:tcPr>
            <w:tcW w:type="dxa" w:w="212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RG-CHA-01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Tout changement d’état est contrôlé (deux personnes ne peuvent pas s’écraser) et journalisé avec son auteur.</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RG-CHA-02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chambre en maintenance est retirée de la vente (RG-RES-01).</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RG-CHA-03 (v2.1)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 changement d’état apparaît sans rechargement sur tous les postes et téléphones connectés (réception, ménage, restaurant).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(v2.1)</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RG-MEN-01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 tableau du ménage classe les chambres : </w:t>
            </w:r>
            <w:r>
              <w:rPr>
                <w:b/>
                <w:bCs/>
              </w:rPr>
              <w:t xml:space="preserve">urgentes</w:t>
            </w:r>
            <w:r>
              <w:t xml:space="preserve"> (à nettoyer et attendues par une arrivée du jour, pré-attribuée ou d’un type sans chambre prête), </w:t>
            </w:r>
            <w:r>
              <w:rPr>
                <w:b/>
                <w:bCs/>
              </w:rPr>
              <w:t xml:space="preserve">à faire ensuite</w:t>
            </w:r>
            <w:r>
              <w:t xml:space="preserve"> (à nettoyer, ou client qui part aujourd’hui), puis les autres.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RG-MEN-02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Chaque chambre indique : arrivée aujourd’hui, départ aujourd’hui, recouche, départ dépassé ; et, par type, le nombre d’arrivées face aux chambres prêtes.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RG-MEN-03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 tableau du ménage n’expose </w:t>
            </w:r>
            <w:r>
              <w:rPr>
                <w:b/>
                <w:bCs/>
              </w:rPr>
              <w:t xml:space="preserve">aucune donnée client</w:t>
            </w:r>
            <w:r>
              <w:t xml:space="preserve"> (ni nom, ni référence).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RG-MEN-04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L’écran est utilisable au téléphone, en arabe par défaut pour le profil ménage, avec une action principale en un geste et une annulation possible pendant 8 secondes. Sur le web, l’arabe s’affiche de droite à gauche ; dans l’application native, le texte est traduit mais la mise en page reste de gauche à droite (correction à livrer).</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(web) ; Partiel (application native, v2.1)</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RG-MEN-05</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Fonctionnement hors ligne sur mobile, synchronisation au retour du réseau, signalement d’anomalie avec photo.</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(V1)</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RG-MEN-06</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Planification et affectation des tâches d’entretien par agent.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(V2)</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RG-MEN-07 (v2.1)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Scan du code QR d’une chambre (</w:t>
            </w:r>
            <w:r>
              <w:rPr>
                <w:rFonts w:ascii="Consolas" w:cs="Consolas" w:eastAsia="Consolas" w:hAnsi="Consolas"/>
                <w:sz w:val="18"/>
                <w:szCs w:val="18"/>
              </w:rPr>
              <w:t xml:space="preserve">hotelpms://room/&lt;numéro&gt;</w:t>
            </w:r>
            <w:r>
              <w:t xml:space="preserve">) ou saisie de son numéro depuis l’application mobile, pour changer son état.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(v2.1)</w:t>
            </w:r>
          </w:p>
        </w:tc>
      </w:tr>
    </w:tbl>
    <w:p>
      <w:pPr>
        <w:pStyle w:val="Heading2"/>
      </w:pPr>
      <w:r>
        <w:t xml:space="preserve">4.5 Clients et protection des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5"/>
        <w:gridCol w:w="212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597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w:t>
            </w:r>
          </w:p>
        </w:tc>
        <w:tc>
          <w:tcPr>
            <w:tcW w:type="dxa" w:w="212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RG-CLI-01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Fiche client : identité, coordonnées, nationalité (ISO), segment (individuel, groupe, entreprise), préférences sous forme « clé : valeur ».</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RG-CLI-02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Recherche par nom, prénom ou email ; filtre par segment ; historique des séjours avec nombre de séjours et de nuits.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RG-CLI-03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modification concurrente est détectée : la fiche est rechargée sans écraser le travail du collègue ; la modification d’un collègue s’affiche en direct.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RG-CLI-04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rPr>
              <w:t xml:space="preserve">Effacement RGPD</w:t>
            </w:r>
            <w:r>
              <w:t xml:space="preserve"> réservé à la direction : nom et coordonnées anonymisés, séjours et factures conservés sans données personnelles, refusé tant qu’un séjour est à venir ou en cours. Action irréversible et journalisée.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RG-CLI-05</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factures émises conservent l’identité du client telle qu’au jour de l’émission (obligation de conservation comptable).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RG-CLI-06</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Durées de conservation et purge automatique des données inactives.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(V1, D-01)</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RG-CLI-07</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Programme de fidélité.</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(V2)</w:t>
            </w:r>
          </w:p>
        </w:tc>
      </w:tr>
    </w:tbl>
    <w:p>
      <w:pPr>
        <w:pStyle w:val="Heading2"/>
      </w:pPr>
      <w:r>
        <w:t xml:space="preserve">4.6 Menu dynamique et administration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5"/>
        <w:gridCol w:w="212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597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w:t>
            </w:r>
          </w:p>
        </w:tc>
        <w:tc>
          <w:tcPr>
            <w:tcW w:type="dxa" w:w="212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RG-NAV-01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 menu est calculé à chaque connexion à partir des droits de l’utilisateur et des modules activés : une entrée non autorisée n’apparaît pas, un groupe sans entrée visible non plus.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RG-NAV-02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Libellés en français, anglais et arabe ; mise en page inversée en arabe.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RG-NAV-03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Ordre, libellés, icônes et activation modifiables par l’administrateur sans redéploiement.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RG-NAV-04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Écrans d’administration : types de chambre et chambres, entrées du menu (création, masquage, modification, suppression).</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(v2.1)</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RG-ADM-01 (v2.1)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Comptes utilisateurs à l’écran : création, profil et langue, nouveau mot de passe, désactivation et réactivation, réinitialisation de la double authentification (téléphone perdu). Chacune de ces actions ferme les sessions ouvertes du compte et est journalisée ; un administrateur ne peut pas se désactiver lui-même.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(v2.1)</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RG-ADM-02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Verrouillage progressif d’un compte après échecs répétés de connexion.</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(V1)</w:t>
            </w:r>
          </w:p>
        </w:tc>
      </w:tr>
    </w:tbl>
    <w:p>
      <w:pPr>
        <w:pStyle w:val="Heading2"/>
      </w:pPr>
      <w:r>
        <w:t xml:space="preserve">4.7 Restauration et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5"/>
        <w:gridCol w:w="212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597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w:t>
            </w:r>
          </w:p>
        </w:tc>
        <w:tc>
          <w:tcPr>
            <w:tcW w:type="dxa" w:w="212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RG-RST-01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rPr>
              <w:t xml:space="preserve">Facturation à la chambre</w:t>
            </w:r>
            <w:r>
              <w:t xml:space="preserve"> : le restaurant porte une consommation sur le séjour en cours dans une chambre, sans voir le compte ni l’identité du client ; refus si personne n’occupe la chambre. Écran dédié (web et téléphone) : choix de la chambre occupée, catégorie, quantité, montant ; la liste des chambres se met à jour en direct.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(v2.1 : écran)</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RG-RST-02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Carte dynamique : plats, prix, disponibilité en temps réel selon le stock, cartes par point de vente et par service, allergènes, consultation par QR code, trois langues, modifications de prix journalisées.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(V2)</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RG-RST-03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Commandes, réservation de tables, stocks, spa, blanchisserie et room service.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(V2)</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RG-RST-04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repas inclus en demi-pension ou pension complète ne sont pas refacturés.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(V2)</w:t>
            </w:r>
          </w:p>
        </w:tc>
      </w:tr>
    </w:tbl>
    <w:p>
      <w:pPr>
        <w:pStyle w:val="Heading2"/>
      </w:pPr>
      <w:r>
        <w:t xml:space="preserve">4.8 Facturation et paiements</w:t>
      </w:r>
    </w:p>
    <w:p>
      <w:pPr>
        <w:pStyle w:val="Heading3"/>
      </w:pPr>
      <w:r>
        <w:t xml:space="preserve">Compte du séjour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5"/>
        <w:gridCol w:w="212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597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w:t>
            </w:r>
          </w:p>
        </w:tc>
        <w:tc>
          <w:tcPr>
            <w:tcW w:type="dxa" w:w="212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 compte du séjour comprend : le séjour (TVA hébergement), la taxe de séjour (montant par adulte et par nuit, hors TVA, enfants exonérés) et les prestations portées au compte.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montants sont TTC ; la TVA est extraite </w:t>
            </w:r>
            <w:r>
              <w:rPr>
                <w:b/>
                <w:bCs/>
              </w:rPr>
              <w:t xml:space="preserve">ligne par ligne</w:t>
            </w:r>
            <w:r>
              <w:t xml:space="preserve"> : TVA = arrondi(TTC × taux / (1 + taux)), HT = TTC − TVA. Exemple : 290,00 € TTC à 10 % donnent 26,36 € de TVA et 263,64 € HT.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RG-FAC-03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prestation porte une catégorie (restaurant, bar, minibar, spa, blanchisserie, téléphone, autre), une quantité et un prix unitaire TTC. Son taux de TVA vient de la catégorie (taux restauration ou taux normal) et peut être précisé.</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RG-FAC-04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prestation se retire tant que le séjour n’est pas facturé ; ajouts et retraits sont journalisés.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RG-FAC-05</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montants s’affichent au centime dans le compte, les encaissements et les factures (le tableau de bord, lui, arrondit à l’unité).</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bl>
    <w:p>
      <w:pPr>
        <w:pStyle w:val="Heading3"/>
      </w:pPr>
      <w:r>
        <w:t xml:space="preserve">Encaissements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5"/>
        <w:gridCol w:w="212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597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w:t>
            </w:r>
          </w:p>
        </w:tc>
        <w:tc>
          <w:tcPr>
            <w:tcW w:type="dxa" w:w="212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RG-ENC-01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Types : acompte (avant l’arrivée uniquement), paiement, remboursement. Moyens : espèces, carte, virement, bon de commande.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RG-ENC-02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 encaissement est définitif : il ne se modifie ni ne se supprime ; une erreur se corrige par un remboursement. Un remboursement ne dépasse pas les sommes encaissées.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RG-ENC-03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rPr>
              <w:t xml:space="preserve">Carte</w:t>
            </w:r>
            <w:r>
              <w:t xml:space="preserve"> : seule la référence de transaction du terminal ou du prestataire est saisie. Un numéro de carte saisi par erreur est refusé avec un message explicite, qu’il contienne des espaces, des tirets ou non (contrôle de Luhn sur 13 à 19 chiffres).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RG-ENC-04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Bon de commande : numéro du bon obligatoire. Virement : référence conseillée.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RG-ENC-05</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L’enregistrement est idempotent : un double clic n’encaisse pas deux fois.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RG-ENC-06</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Raccordement au prestataire de paiement : terminaux, paiement et acompte en ligne, rapprochement automatique.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(V1, D-04)</w:t>
            </w:r>
          </w:p>
        </w:tc>
      </w:tr>
    </w:tbl>
    <w:p>
      <w:pPr>
        <w:pStyle w:val="Heading3"/>
      </w:pPr>
      <w:r>
        <w:t xml:space="preserve">Factures et avoirs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5"/>
        <w:gridCol w:w="212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597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w:t>
            </w:r>
          </w:p>
        </w:tc>
        <w:tc>
          <w:tcPr>
            <w:tcW w:type="dxa" w:w="212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RG-FAC-06</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La facture s’émet pendant ou après le séjour, dans la langue choisie (français, anglais, arabe). Un séjour a au plus une facture en vigueur.</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RG-FAC-07</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rPr>
              <w:t xml:space="preserve">Numérotation continue</w:t>
            </w:r>
            <w:r>
              <w:t xml:space="preserve">, sans trou ni doublon, par série annuelle (</w:t>
            </w:r>
            <w:r>
              <w:rPr>
                <w:rFonts w:ascii="Consolas" w:cs="Consolas" w:eastAsia="Consolas" w:hAnsi="Consolas"/>
                <w:sz w:val="18"/>
                <w:szCs w:val="18"/>
              </w:rPr>
              <w:t xml:space="preserve">F2026-000001</w:t>
            </w:r>
            <w:r>
              <w:t xml:space="preserve">, avoirs </w:t>
            </w:r>
            <w:r>
              <w:rPr>
                <w:rFonts w:ascii="Consolas" w:cs="Consolas" w:eastAsia="Consolas" w:hAnsi="Consolas"/>
                <w:sz w:val="18"/>
                <w:szCs w:val="18"/>
              </w:rPr>
              <w:t xml:space="preserve">A2026-000001</w:t>
            </w:r>
            <w:r>
              <w:t xml:space="preserve">), y compris lors d’émissions simultanées : 5 factures émises au même instant reçoivent 5 numéros consécutifs.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RG-FAC-08</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facture émise </w:t>
            </w:r>
            <w:r>
              <w:rPr>
                <w:b/>
                <w:bCs/>
              </w:rPr>
              <w:t xml:space="preserve">fige le séjour</w:t>
            </w:r>
            <w:r>
              <w:t xml:space="preserve"> : plus d’ajout ni de retrait de prestation, plus de modification ni d’annulation de la réservation.</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RG-FAC-09</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rPr>
              <w:t xml:space="preserve">Inaltérabilité</w:t>
            </w:r>
            <w:r>
              <w:t xml:space="preserve"> : factures, lignes et encaissements ne peuvent être ni modifiés ni supprimés, même par une requête directe en base de données.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RG-FAC-10</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Chaque pièce est scellée par une empreinte SHA-256 de tout son contenu (lignes, totaux, client et émetteur figés au jour de l’émission), chaînée à l’empreinte de la pièce précédente et imprimée sur le document.</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RG-FAC-11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 </w:t>
            </w:r>
            <w:r>
              <w:rPr>
                <w:b/>
                <w:bCs/>
              </w:rPr>
              <w:t xml:space="preserve">contrôle d’intégrité</w:t>
            </w:r>
            <w:r>
              <w:t xml:space="preserve"> recalcule toutes les empreintes, le chaînage et la continuité des numéros, et nomme chaque pièce en anomalie. Une altération faite en contournant les protections de la base est détectée.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RG-FAC-12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w:t>
            </w:r>
            <w:r>
              <w:rPr>
                <w:b/>
                <w:bCs/>
              </w:rPr>
              <w:t xml:space="preserve">avoir</w:t>
            </w:r>
            <w:r>
              <w:t xml:space="preserve"> (total) est réservé à la direction et à la comptabilité, exige un motif, reprend la langue de la facture, rouvre le compte du séjour ; une facture ne peut être annulée qu’une fois.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RG-FAC-13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Mentions imprimées : émetteur (raison sociale, adresse, n° de TVA, immatriculation, mentions légales), client, réservation, lignes (prix unitaire TTC, taux, montant), récapitulatif de TVA par taux, totaux HT, TVA et TTC, empreinte. À compléter selon le pays.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(D-01)</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RG-FAC-14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données saisies dans une autre langue (adresse, nom, libellé) gardent leur sens d’écriture et les dates ne sont pas réordonnées sur une facture arabe.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RG-FAC-15</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Génération PDF côté serveur et envoi par email (aujourd’hui : impression ou enregistrement en PDF depuis le navigateur).</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(V1)</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RG-FAC-16</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Certification du logiciel ou facturation électronique si le pays l’impose.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(D-03)</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RG-FAC-17</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Avoirs partiels pour gestes commerciaux.</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(V2, D-09)</w:t>
            </w:r>
          </w:p>
        </w:tc>
      </w:tr>
    </w:tbl>
    <w:p>
      <w:pPr>
        <w:pStyle w:val="Heading3"/>
      </w:pPr>
      <w:r>
        <w:t xml:space="preserve">Comptabilité et paramètres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5"/>
        <w:gridCol w:w="212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597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w:t>
            </w:r>
          </w:p>
        </w:tc>
        <w:tc>
          <w:tcPr>
            <w:tcW w:type="dxa" w:w="212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RG-CPT-01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L’export comptable produit un fichier CSV « ; » dont les écritures sont </w:t>
            </w:r>
            <w:r>
              <w:rPr>
                <w:b/>
                <w:bCs/>
              </w:rPr>
              <w:t xml:space="preserve">équilibrées pièce par pièce</w:t>
            </w:r>
            <w:r>
              <w:t xml:space="preserve">, sur la période choisie.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RG-CPT-02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paramètres de facturation (pays, taux de TVA, taxe de séjour, émetteur, plan de comptes) sont modifiables par la direction, sous contrôle de version, et journalisés. Ils s’appliquent aux calculs suivants, jamais aux pièces déjà émises.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bl>
    <w:p>
      <w:pPr>
        <w:spacing w:after="80"/>
      </w:pPr>
    </w:p>
    <w:p>
      <w:pPr>
        <w:spacing w:after="120"/>
      </w:pPr>
      <w:r>
        <w:t xml:space="preserve">Plan de comptes livré par défaut, à valider par la comptabilité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734"/>
        <w:gridCol w:w="2891"/>
        <w:gridCol w:w="347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Journal</w:t>
            </w:r>
          </w:p>
        </w:tc>
        <w:tc>
          <w:tcPr>
            <w:tcW w:type="dxa" w:w="173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Opération</w:t>
            </w:r>
          </w:p>
        </w:tc>
        <w:tc>
          <w:tcPr>
            <w:tcW w:type="dxa" w:w="289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Débit</w:t>
            </w:r>
          </w:p>
        </w:tc>
        <w:tc>
          <w:tcPr>
            <w:tcW w:type="dxa" w:w="347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Crédit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VE (ventes)</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Facture</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411000 Clients (TTC)</w:t>
            </w:r>
          </w:p>
        </w:tc>
        <w:tc>
          <w:tcPr>
            <w:tcW w:type="dxa" w:w="347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706100 Hébergement, 706200 Prestations (HT), 467000 Taxe de séjour, 445710 TVA collectée</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VE (ventes)</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Avoir</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Écritures de la facture inversées</w:t>
            </w:r>
          </w:p>
        </w:tc>
        <w:tc>
          <w:tcPr>
            <w:tcW w:type="dxa" w:w="3471"/>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BQ (banque)</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Carte, virement</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511200 Cartes à encaisser, 512000 Banque</w:t>
            </w:r>
          </w:p>
        </w:tc>
        <w:tc>
          <w:tcPr>
            <w:tcW w:type="dxa" w:w="347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411000 Clients</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CA (caisse)</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Espèces</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530000 Caisse</w:t>
            </w:r>
          </w:p>
        </w:tc>
        <w:tc>
          <w:tcPr>
            <w:tcW w:type="dxa" w:w="347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411000 Clients</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OD</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Bon de commande</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411100 Clients débiteurs</w:t>
            </w:r>
          </w:p>
        </w:tc>
        <w:tc>
          <w:tcPr>
            <w:tcW w:type="dxa" w:w="347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411000 Clients</w:t>
            </w:r>
          </w:p>
        </w:tc>
      </w:tr>
    </w:tbl>
    <w:p>
      <w:pPr>
        <w:pStyle w:val="Heading2"/>
      </w:pPr>
      <w:r>
        <w:t xml:space="preserve">4.9 Tableau de bord et rapports</w:t>
      </w:r>
    </w:p>
    <w:p>
      <w:pPr>
        <w:pStyle w:val="Heading3"/>
      </w:pPr>
      <w:r>
        <w:t xml:space="preserve">Définition des indicateurs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Indicateur</w:t>
            </w:r>
          </w:p>
        </w:tc>
        <w:tc>
          <w:tcPr>
            <w:tcW w:type="dxa" w:w="655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Définition appliquée</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Chambres disponibles (jour)</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Chambres hors maintenance, selon leur état actuel</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Chambres vendues (jour)</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Séjours confirmés, en cours ou terminés qui couvrent la nuit</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Taux d’occupation</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Chambres vendues ÷ chambres disponibles</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CA hébergement (jour)</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Montant de chaque séjour réparti à parts égales sur ses nuits</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Prix moyen (ADR)</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CA hébergement ÷ chambres vendues</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RevPAR</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CA hébergement ÷ chambres disponibles</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Durée moyenne de séjour</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Moyenne des nuits des séjours arrivés dans la période</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Prévisions</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jours à venir comptent les réservations confirmées ; elles sont distinguées visuellement du réalisé</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Évolution « vs hier » (v2.1)</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Écart avec la veille : en points pour l’occupation, en pourcentage pour le CA hébergement (direction et comptabilité)</w:t>
            </w:r>
          </w:p>
        </w:tc>
      </w:tr>
    </w:tbl>
    <w:p>
      <w:pPr>
        <w:spacing w:after="120"/>
      </w:pPr>
      <w:r>
        <w:rPr>
          <w:i/>
          <w:iCs/>
        </w:rPr>
        <w:t xml:space="preserve">Limites connues, à lever en V2 : l’historique des mises en maintenance n’est pas conservé (les chambres disponibles d’un jour passé suivent l’état actuel), et le CA hébergement inclut le supplément pension tant que la ventilation hébergement et restauration n’est pas facturée séparément.</w:t>
      </w:r>
    </w:p>
    <w:p>
      <w:pPr>
        <w:pStyle w:val="Heading3"/>
      </w:pPr>
      <w:r>
        <w:t xml:space="preserve">Règles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5"/>
        <w:gridCol w:w="2121"/>
      </w:tblGrid>
      <w:tr>
        <w:trPr>
          <w:tblHeader/>
        </w:trPr>
        <w:tc>
          <w:tcPr>
            <w:tcW w:type="dxa" w:w="15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w:t>
            </w:r>
          </w:p>
        </w:tc>
        <w:tc>
          <w:tcPr>
            <w:tcW w:type="dxa" w:w="597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w:t>
            </w:r>
          </w:p>
        </w:tc>
        <w:tc>
          <w:tcPr>
            <w:tcW w:type="dxa" w:w="212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Statut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RG-TDB-01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 tableau de bord s’adapte au profil : le ménage voit les chambres et leurs alertes ; la réception y ajoute les arrivées et départs du jour, les clients présents et l’occupation </w:t>
            </w:r>
            <w:r>
              <w:rPr>
                <w:b/>
                <w:bCs/>
              </w:rPr>
              <w:t xml:space="preserve">sans montants</w:t>
            </w:r>
            <w:r>
              <w:t xml:space="preserve"> ; la direction et la comptabilité voient aussi les montants et la tendance sur 15 jours.</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RG-TDB-02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 tableau des chambres reproduit le tableau des clés : une case par chambre, par étage (filtre par étage), indiquant son état en toutes lettres, hachurée en maintenance, avec un repère sur les départs du jour encore à venir.</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RG-TDB-03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Alertes : départ dépassé (critique), arrivées passées non enregistrées, arrivées plus nombreuses que les chambres prêtes par type, chambres en maintenance. Elles sont aussi signalées par une cloche avec leur nombre.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RG-TDB-04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Mise à jour en direct à chaque modification (section 5.2), avec actualisation de secours toutes les 30 secondes si le flux est coupé ; un bandeau signale la perte de connexion.</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(v2.1 : en direct)</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RG-TDB-05 (v2.1)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Présentation HOTELIA : cartes de chiffres du jour avec évolution et courbe, répartition des chambres par état, revenus des 7 derniers jours (direction et comptabilité), arrivées et départs en onglets, répartition des arrivées du mois par canal, dernières réservations, recherche rapide, export CSV des mouvements du jour.</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(v2.1)</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RG-RAP-01</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Rapports sur une période au choix (prédéfinie ou libre, 366 jours au plus) : indicateurs ci-dessus, occupation jour par jour, ventilation </w:t>
            </w:r>
            <w:r>
              <w:rPr>
                <w:b/>
                <w:bCs/>
              </w:rPr>
              <w:t xml:space="preserve">par canal de vente et par type de chambre</w:t>
            </w:r>
            <w:r>
              <w:t xml:space="preserve">.</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RG-RAP-02</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Les ventilations retombent exactement sur les totaux (nuitées et CA).</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RG-RAP-03</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Export CSV du détail par jour.</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RG-RAP-04</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Rapports financiers périodiques fondés sur le facturé et l’encaissé.</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(V1)</w:t>
            </w:r>
          </w:p>
        </w:tc>
      </w:tr>
      <w:tr>
        <w:tc>
          <w:tcPr>
            <w:tcW w:type="dxa" w:w="15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RG-RAP-05</w:t>
            </w:r>
          </w:p>
        </w:tc>
        <w:tc>
          <w:tcPr>
            <w:tcW w:type="dxa" w:w="597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Tableaux de bord personnalisables par l’utilisateur.</w:t>
            </w:r>
          </w:p>
        </w:tc>
        <w:tc>
          <w:tcPr>
            <w:tcW w:type="dxa" w:w="212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(V2)</w:t>
            </w:r>
          </w:p>
        </w:tc>
      </w:tr>
    </w:tbl>
    <w:p>
      <w:pPr>
        <w:pStyle w:val="Heading2"/>
      </w:pPr>
      <w:r>
        <w:t xml:space="preserve">4.10 Modules des versions suivantes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5782"/>
        <w:gridCol w:w="1447"/>
      </w:tblGrid>
      <w:tr>
        <w:trPr>
          <w:tblHeader/>
        </w:trPr>
        <w:tc>
          <w:tcPr>
            <w:tcW w:type="dxa" w:w="2409"/>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Module</w:t>
            </w:r>
          </w:p>
        </w:tc>
        <w:tc>
          <w:tcPr>
            <w:tcW w:type="dxa" w:w="578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Contenu</w:t>
            </w:r>
          </w:p>
        </w:tc>
        <w:tc>
          <w:tcPr>
            <w:tcW w:type="dxa" w:w="1447"/>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Version</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Personnel</w:t>
            </w:r>
          </w:p>
        </w:tc>
        <w:tc>
          <w:tcPr>
            <w:tcW w:type="dxa" w:w="578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Plannings par service, présences, congés, attribution et suivi des tâches</w:t>
            </w:r>
          </w:p>
        </w:tc>
        <w:tc>
          <w:tcPr>
            <w:tcW w:type="dxa" w:w="144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V2</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Fidélité</w:t>
            </w:r>
          </w:p>
        </w:tc>
        <w:tc>
          <w:tcPr>
            <w:tcW w:type="dxa" w:w="578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Comptes et mouvements de points</w:t>
            </w:r>
          </w:p>
        </w:tc>
        <w:tc>
          <w:tcPr>
            <w:tcW w:type="dxa" w:w="144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V2</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Restauration complète</w:t>
            </w:r>
          </w:p>
        </w:tc>
        <w:tc>
          <w:tcPr>
            <w:tcW w:type="dxa" w:w="578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Section 4.7</w:t>
            </w:r>
          </w:p>
        </w:tc>
        <w:tc>
          <w:tcPr>
            <w:tcW w:type="dxa" w:w="144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V2</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Analyses prédictives</w:t>
            </w:r>
          </w:p>
        </w:tc>
        <w:tc>
          <w:tcPr>
            <w:tcW w:type="dxa" w:w="578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Prévisions d’occupation et recommandations de prix, après 12 mois d’historique</w:t>
            </w:r>
          </w:p>
        </w:tc>
        <w:tc>
          <w:tcPr>
            <w:tcW w:type="dxa" w:w="144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V3</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Partenaires</w:t>
            </w:r>
          </w:p>
        </w:tc>
        <w:tc>
          <w:tcPr>
            <w:tcW w:type="dxa" w:w="578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Clés d’API, abonnements webhooks en libre-service</w:t>
            </w:r>
          </w:p>
        </w:tc>
        <w:tc>
          <w:tcPr>
            <w:tcW w:type="dxa" w:w="144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V3</w:t>
            </w:r>
          </w:p>
        </w:tc>
      </w:tr>
    </w:tbl>
    <w:p>
      <w:pPr>
        <w:pStyle w:val="Heading1"/>
      </w:pPr>
      <w:r>
        <w:t xml:space="preserve">5. Architecture technique</w:t>
      </w:r>
    </w:p>
    <w:p>
      <w:pPr>
        <w:pStyle w:val="Heading2"/>
      </w:pPr>
      <w:r>
        <w:t xml:space="preserve">5.1 Vue d’ensemble</w:t>
      </w:r>
    </w:p>
    <w:p>
      <w:pPr>
        <w:spacing w:after="120"/>
      </w:pPr>
      <w:r>
        <w:t xml:space="preserve">Quatre couches réalisées : navigateur ou application mobile, serveur web Next.js (intermédiaire qui détient les jetons et relaie les appels), API NestJS, base PostgreSQL. L’application mobile n’appelle jamais l’API directement : elle passe par le serveur web, comme le navigateur, avec les mêmes cookies de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Couche</w:t>
            </w:r>
          </w:p>
        </w:tc>
        <w:tc>
          <w:tcPr>
            <w:tcW w:type="dxa" w:w="655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Rôle et garanties</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Navigateur et application mobile</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Interface en français, anglais et arabe (RTL sur le web) ; réception, ménage, restaurant, direction, comptabilité, IT</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Serveur web Next.js 16 (BFF)</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Jetons dans des cookies httpOnly, jamais lus par le navigateur ; un seul rafraîchissement de session par instance pour des requêtes simultanées ; relais du flux d’événements ; secret partagé avec l’API</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API NestJS 11 (63 opérations REST, contrat OpenAPI)</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JWT rotatif et MFA, droits par permission, idempotence, If-Match, flux d’événements filtré par droits</w:t>
            </w:r>
          </w:p>
        </w:tc>
      </w:tr>
      <w:tr>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PostgreSQL 16</w:t>
            </w:r>
          </w:p>
        </w:tc>
        <w:tc>
          <w:tcPr>
            <w:tcW w:type="dxa" w:w="655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Exclusion : une chambre jamais promise deux fois sur une nuit ; déclencheurs : factures, lignes et encaissements inaltérables</w:t>
            </w:r>
          </w:p>
        </w:tc>
      </w:tr>
    </w:tbl>
    <w:p>
      <w:pPr>
        <w:spacing w:after="80"/>
      </w:pPr>
    </w:p>
    <w:p>
      <w:pPr>
        <w:spacing w:after="120"/>
      </w:pPr>
      <w:r>
        <w:t xml:space="preserve">Les deux règles qui ne doivent jamais céder – une chambre n’est jamais promise deux fois pour une même nuit, une facture émise ne change plus – sont imposées par la base de données elle-même : ni une erreur de programmation, ni une requête manuelle ne peuvent les contourner.</w:t>
      </w:r>
    </w:p>
    <w:p>
      <w:pPr>
        <w:spacing w:after="120"/>
      </w:pPr>
      <w:r>
        <w:t xml:space="preserve">Intégrations encore prévues et non réalisées : channel manager, prestataire de paiement, emails et SMS, mobile hors ligne, PDF côté serveur.</w:t>
      </w:r>
    </w:p>
    <w:p>
      <w:pPr>
        <w:pStyle w:val="Heading2"/>
      </w:pPr>
      <w:r>
        <w:t xml:space="preserve">5.2 Technologies : prévu et réalisé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891"/>
        <w:gridCol w:w="5013"/>
      </w:tblGrid>
      <w:tr>
        <w:trPr>
          <w:tblHeader/>
        </w:trPr>
        <w:tc>
          <w:tcPr>
            <w:tcW w:type="dxa" w:w="173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Couche</w:t>
            </w:r>
          </w:p>
        </w:tc>
        <w:tc>
          <w:tcPr>
            <w:tcW w:type="dxa" w:w="289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Prévu (v1.1)</w:t>
            </w:r>
          </w:p>
        </w:tc>
        <w:tc>
          <w:tcPr>
            <w:tcW w:type="dxa" w:w="5013"/>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Réalisé ou décidé</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Web</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Next.js 16, React 19, TypeScript, TanStack Query, Tailwind, Base UI</w:t>
            </w:r>
          </w:p>
        </w:tc>
        <w:tc>
          <w:tcPr>
            <w:tcW w:type="dxa" w:w="5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Réalisé, sans Base UI : composants natifs accessibles. Application installable (PWA) avec barre d’onglets au téléphone (v2.1)</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Identité visuelle</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Polices IBM Plex Sans et Plex Sans Arabic</w:t>
            </w:r>
          </w:p>
        </w:tc>
        <w:tc>
          <w:tcPr>
            <w:tcW w:type="dxa" w:w="5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Charte HOTELIA (v2.1) : marine et or, Poppins (titres) et Inter (texte), IBM Plex Sans Arabic pour l’arabe, hébergées localement</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Serveur web</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50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Intermédiaire (BFF) qui détient les jetons et relaie les appels à l’API</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Backend</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Node.js 24 LTS, NestJS 11, REST/OpenAPI</w:t>
            </w:r>
          </w:p>
        </w:tc>
        <w:tc>
          <w:tcPr>
            <w:tcW w:type="dxa" w:w="50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Réalisé ; image de production en Node.js 24</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Base de données</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PostgreSQL 16</w:t>
            </w:r>
          </w:p>
        </w:tc>
        <w:tc>
          <w:tcPr>
            <w:tcW w:type="dxa" w:w="50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Réalisé, migrations versionnées, contraintes et déclencheurs métier</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Mobile</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React Native, Expo, WatermelonDB</w:t>
            </w:r>
          </w:p>
        </w:tc>
        <w:tc>
          <w:tcPr>
            <w:tcW w:type="dxa" w:w="5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Partiel (v2.1) : application native HOTELIA (Expo SDK 58) – connexion avec double authentification, tableau de bord, ménage, réservations et fiche, scan QR, profil ; autres écrans en version web intégrée ; mises à jour en direct. APK Android de démonstration. Hors ligne (WatermelonDB) à faire</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Temps réel</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Socket.IO + Redis</w:t>
            </w:r>
          </w:p>
        </w:tc>
        <w:tc>
          <w:tcPr>
            <w:tcW w:type="dxa" w:w="5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autrement (v2.1, DA-10) : flux SSE </w:t>
            </w:r>
            <w:r>
              <w:rPr>
                <w:rFonts w:ascii="Consolas" w:cs="Consolas" w:eastAsia="Consolas" w:hAnsi="Consolas"/>
                <w:b/>
                <w:bCs/>
                <w:color w:val="15803D"/>
                <w:sz w:val="18"/>
                <w:szCs w:val="18"/>
              </w:rPr>
              <w:t xml:space="preserve">/v1/events</w:t>
            </w:r>
            <w:r>
              <w:rPr>
                <w:b/>
                <w:bCs/>
                <w:color w:val="15803D"/>
              </w:rPr>
              <w:t xml:space="preserve"> par sujet (chambres, réservations, facturation, clients), filtré par les droits, fermé à l’expiration du jeton, reconnexion automatique</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Cache et tâches</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Redis ou Valkey, BullMQ</w:t>
            </w:r>
          </w:p>
        </w:tc>
        <w:tc>
          <w:tcPr>
            <w:tcW w:type="dxa" w:w="50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(emails, synchronisation des canaux)</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Fichiers</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Stockage objet S3 + CDN</w:t>
            </w:r>
          </w:p>
        </w:tc>
        <w:tc>
          <w:tcPr>
            <w:tcW w:type="dxa" w:w="50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(photos d’anomalies, documents)</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Observabilité</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Logs JSON, Sentry, Prometheus</w:t>
            </w:r>
          </w:p>
        </w:tc>
        <w:tc>
          <w:tcPr>
            <w:tcW w:type="dxa" w:w="50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Partiel : identifiant de requête sur chaque réponse et chaque erreur ; Sentry et métriques à faire</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Conteneurs et CI</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Docker, GitHub Actions</w:t>
            </w:r>
          </w:p>
        </w:tc>
        <w:tc>
          <w:tcPr>
            <w:tcW w:type="dxa" w:w="501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Réalisé : images API et web, Compose avec la base ; CI qui compile, teste et refuse un contrat OpenAPI non à jour</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Hébergement</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AWS, OVHcloud ou Scaleway</w:t>
            </w:r>
          </w:p>
        </w:tc>
        <w:tc>
          <w:tcPr>
            <w:tcW w:type="dxa" w:w="5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Démonstration en ligne (v2.1, section 5.4) ; production : décision D-07</w:t>
            </w:r>
          </w:p>
        </w:tc>
      </w:tr>
    </w:tbl>
    <w:p>
      <w:pPr>
        <w:pStyle w:val="Heading2"/>
      </w:pPr>
      <w:r>
        <w:t xml:space="preserve">5.3 Sécurité</w:t>
      </w:r>
    </w:p>
    <w:p>
      <w:pPr>
        <w:spacing w:after="120"/>
      </w:pPr>
      <w:r>
        <w:t xml:space="preserve">Réalisé et testé :</w:t>
      </w:r>
    </w:p>
    <w:p>
      <w:pPr>
        <w:pStyle w:val="ListParagraph"/>
        <w:numPr>
          <w:ilvl w:val="0"/>
          <w:numId w:val="2"/>
        </w:numPr>
        <w:spacing w:after="60"/>
      </w:pPr>
      <w:r>
        <w:rPr>
          <w:b/>
          <w:bCs/>
        </w:rPr>
        <w:t xml:space="preserve">Sessions</w:t>
      </w:r>
      <w:r>
        <w:t xml:space="preserve"> : jeton d’accès de 15 minutes, jeton de rafraîchissement de 30 jours à usage unique, stocké haché. La réutilisation d’un jeton déjà consommé (signe de vol) révoque toute la session et est journalisée.</w:t>
      </w:r>
    </w:p>
    <w:p>
      <w:pPr>
        <w:pStyle w:val="ListParagraph"/>
        <w:numPr>
          <w:ilvl w:val="0"/>
          <w:numId w:val="2"/>
        </w:numPr>
        <w:spacing w:after="60"/>
      </w:pPr>
      <w:r>
        <w:rPr>
          <w:b/>
          <w:bCs/>
        </w:rPr>
        <w:t xml:space="preserve">Plusieurs instances du serveur web (v2.1)</w:t>
      </w:r>
      <w:r>
        <w:t xml:space="preserve"> : un jeton remplacé depuis moins de 30 secondes reste accepté tant que la session est active, pour que des requêtes simultanées traitées par deux instances ne déconnectent pas le personnel. Après une déconnexion, ce délai ne rouvre pas la session. Couvert par des tests automatisés.</w:t>
      </w:r>
    </w:p>
    <w:p>
      <w:pPr>
        <w:pStyle w:val="ListParagraph"/>
        <w:numPr>
          <w:ilvl w:val="0"/>
          <w:numId w:val="2"/>
        </w:numPr>
        <w:spacing w:after="60"/>
      </w:pPr>
      <w:r>
        <w:rPr>
          <w:b/>
          <w:bCs/>
        </w:rPr>
        <w:t xml:space="preserve">Navigateur sans jeton</w:t>
      </w:r>
      <w:r>
        <w:t xml:space="preserve"> : les jetons vivent dans des cookies httpOnly (SameSite Lax, Secure en production) gérés par le serveur web ; le JavaScript de la page n’y a jamais accès. L’application mobile utilise les mêmes cookies.</w:t>
      </w:r>
    </w:p>
    <w:p>
      <w:pPr>
        <w:pStyle w:val="ListParagraph"/>
        <w:numPr>
          <w:ilvl w:val="0"/>
          <w:numId w:val="2"/>
        </w:numPr>
        <w:spacing w:after="60"/>
      </w:pPr>
      <w:r>
        <w:rPr>
          <w:b/>
          <w:bCs/>
        </w:rPr>
        <w:t xml:space="preserve">API réservée au serveur web (v2.1)</w:t>
      </w:r>
      <w:r>
        <w:t xml:space="preserve"> : en hébergement public, l’API refuse toute requête sans le secret partagé du serveur web (</w:t>
      </w:r>
      <w:r>
        <w:rPr>
          <w:rFonts w:ascii="Consolas" w:cs="Consolas" w:eastAsia="Consolas" w:hAnsi="Consolas"/>
          <w:sz w:val="18"/>
          <w:szCs w:val="18"/>
        </w:rPr>
        <w:t xml:space="preserve">PROXY_SECRET</w:t>
      </w:r>
      <w:r>
        <w:t xml:space="preserve">) ; seule la sonde de santé reste ouverte. Personne ne peut joindre l’API directement ni falsifier son adresse pour contourner la limitation de débit.</w:t>
      </w:r>
    </w:p>
    <w:p>
      <w:pPr>
        <w:pStyle w:val="ListParagraph"/>
        <w:numPr>
          <w:ilvl w:val="0"/>
          <w:numId w:val="2"/>
        </w:numPr>
        <w:spacing w:after="60"/>
      </w:pPr>
      <w:r>
        <w:rPr>
          <w:b/>
          <w:bCs/>
        </w:rPr>
        <w:t xml:space="preserve">Double authentification</w:t>
      </w:r>
      <w:r>
        <w:t xml:space="preserve"> TOTP obligatoire pour la direction, la comptabilité et l’IT, avec enrôlement guidé par QR code ; sans elle, ces profils n’accèdent qu’à leur page de profil. Réinitialisation par l’administration en cas de téléphone perdu (v2.1).</w:t>
      </w:r>
    </w:p>
    <w:p>
      <w:pPr>
        <w:pStyle w:val="ListParagraph"/>
        <w:numPr>
          <w:ilvl w:val="0"/>
          <w:numId w:val="2"/>
        </w:numPr>
        <w:spacing w:after="60"/>
      </w:pPr>
      <w:r>
        <w:rPr>
          <w:b/>
          <w:bCs/>
        </w:rPr>
        <w:t xml:space="preserve">Droits</w:t>
      </w:r>
      <w:r>
        <w:t xml:space="preserve"> vérifiés à chaque requête par permission (section 7.2) ; le menu et le flux d’événements en sont dérivés.</w:t>
      </w:r>
    </w:p>
    <w:p>
      <w:pPr>
        <w:pStyle w:val="ListParagraph"/>
        <w:numPr>
          <w:ilvl w:val="0"/>
          <w:numId w:val="2"/>
        </w:numPr>
        <w:spacing w:after="60"/>
      </w:pPr>
      <w:r>
        <w:rPr>
          <w:b/>
          <w:bCs/>
        </w:rPr>
        <w:t xml:space="preserve">Limitation de débit</w:t>
      </w:r>
      <w:r>
        <w:t xml:space="preserve"> : 600 requêtes par minute et par client, 10 tentatives de connexion par minute et par adresse. L’adresse du client n’est lue dans </w:t>
      </w:r>
      <w:r>
        <w:rPr>
          <w:rFonts w:ascii="Consolas" w:cs="Consolas" w:eastAsia="Consolas" w:hAnsi="Consolas"/>
          <w:sz w:val="18"/>
          <w:szCs w:val="18"/>
        </w:rPr>
        <w:t xml:space="preserve">X-Forwarded-For</w:t>
      </w:r>
      <w:r>
        <w:t xml:space="preserve"> que si la requête vient d’un proxy de confiance.</w:t>
      </w:r>
    </w:p>
    <w:p>
      <w:pPr>
        <w:pStyle w:val="ListParagraph"/>
        <w:numPr>
          <w:ilvl w:val="0"/>
          <w:numId w:val="2"/>
        </w:numPr>
        <w:spacing w:after="60"/>
      </w:pPr>
      <w:r>
        <w:rPr>
          <w:b/>
          <w:bCs/>
        </w:rPr>
        <w:t xml:space="preserve">Comptes initiaux (v2.1)</w:t>
      </w:r>
      <w:r>
        <w:t xml:space="preserve"> : sur un serveur public, les comptes de départ sont créés avec un mot de passe fourni à l’installation (</w:t>
      </w:r>
      <w:r>
        <w:rPr>
          <w:rFonts w:ascii="Consolas" w:cs="Consolas" w:eastAsia="Consolas" w:hAnsi="Consolas"/>
          <w:sz w:val="18"/>
          <w:szCs w:val="18"/>
        </w:rPr>
        <w:t xml:space="preserve">SEED_PASSWORD</w:t>
      </w:r>
      <w:r>
        <w:t xml:space="preserve">), jamais avec le mot de passe de démonstration documenté.</w:t>
      </w:r>
    </w:p>
    <w:p>
      <w:pPr>
        <w:pStyle w:val="ListParagraph"/>
        <w:numPr>
          <w:ilvl w:val="0"/>
          <w:numId w:val="2"/>
        </w:numPr>
        <w:spacing w:after="60"/>
      </w:pPr>
      <w:r>
        <w:rPr>
          <w:b/>
          <w:bCs/>
        </w:rPr>
        <w:t xml:space="preserve">Erreurs</w:t>
      </w:r>
      <w:r>
        <w:t xml:space="preserve"> au format standard RFC 9457, traduites, sans détail technique, avec un identifiant de trace.</w:t>
      </w:r>
    </w:p>
    <w:p>
      <w:pPr>
        <w:pStyle w:val="ListParagraph"/>
        <w:numPr>
          <w:ilvl w:val="0"/>
          <w:numId w:val="2"/>
        </w:numPr>
        <w:spacing w:after="60"/>
      </w:pPr>
      <w:r>
        <w:rPr>
          <w:b/>
          <w:bCs/>
        </w:rPr>
        <w:t xml:space="preserve">En-têtes</w:t>
      </w:r>
      <w:r>
        <w:t xml:space="preserve"> : interdiction d’affichage en cadre, nosniff, politique de référent stricte. Le serveur refuse de démarrer en production sans secret de signature.</w:t>
      </w:r>
    </w:p>
    <w:p>
      <w:pPr>
        <w:pStyle w:val="ListParagraph"/>
        <w:numPr>
          <w:ilvl w:val="0"/>
          <w:numId w:val="2"/>
        </w:numPr>
        <w:spacing w:after="60"/>
      </w:pPr>
      <w:r>
        <w:rPr>
          <w:b/>
          <w:bCs/>
        </w:rPr>
        <w:t xml:space="preserve">Paiement</w:t>
      </w:r>
      <w:r>
        <w:t xml:space="preserve"> : aucune donnée de carte (RG-ENC-03), périmètre PCI DSS réduit au minimum.</w:t>
      </w:r>
    </w:p>
    <w:p>
      <w:pPr>
        <w:pStyle w:val="ListParagraph"/>
        <w:numPr>
          <w:ilvl w:val="0"/>
          <w:numId w:val="2"/>
        </w:numPr>
        <w:spacing w:after="60"/>
      </w:pPr>
      <w:r>
        <w:rPr>
          <w:b/>
          <w:bCs/>
        </w:rPr>
        <w:t xml:space="preserve">Journal d’audit</w:t>
      </w:r>
      <w:r>
        <w:t xml:space="preserve"> : connexions échouées, réutilisation de jeton, activation et réinitialisation MFA, comptes utilisateurs, création, modification et annulation de réservation, arrivées, départs et dérogations, attributions de chambre, changements d’état, prestations, encaissements, factures et avoirs, effacements RGPD, paramètres et menu.</w:t>
      </w:r>
    </w:p>
    <w:p>
      <w:pPr>
        <w:spacing w:after="120"/>
      </w:pPr>
      <w:r>
        <w:rPr>
          <w:b/>
          <w:bCs/>
        </w:rPr>
        <w:t xml:space="preserve">À faire avant la mise en service</w:t>
      </w:r>
      <w:r>
        <w:t xml:space="preserve"> :</w:t>
      </w:r>
    </w:p>
    <w:p>
      <w:pPr>
        <w:pStyle w:val="ListParagraph"/>
        <w:numPr>
          <w:ilvl w:val="0"/>
          <w:numId w:val="2"/>
        </w:numPr>
        <w:spacing w:after="60"/>
      </w:pPr>
      <w:r>
        <w:rPr>
          <w:b/>
          <w:bCs/>
        </w:rPr>
        <w:t xml:space="preserve">Chiffrement des secrets de double authentification (nouveau, v2.1)</w:t>
      </w:r>
      <w:r>
        <w:t xml:space="preserve"> : ils sont aujourd’hui stockés en clair dans la base ; quiconque obtient une copie de la base peut produire les codes de tous les comptes. À chiffrer avec une clé conservée hors de la base.</w:t>
      </w:r>
    </w:p>
    <w:p>
      <w:pPr>
        <w:pStyle w:val="ListParagraph"/>
        <w:numPr>
          <w:ilvl w:val="0"/>
          <w:numId w:val="2"/>
        </w:numPr>
        <w:spacing w:after="60"/>
      </w:pPr>
      <w:r>
        <w:t xml:space="preserve">Chiffrement des données au repos et sauvegarde continue (selon D-07).</w:t>
      </w:r>
    </w:p>
    <w:p>
      <w:pPr>
        <w:pStyle w:val="ListParagraph"/>
        <w:numPr>
          <w:ilvl w:val="0"/>
          <w:numId w:val="2"/>
        </w:numPr>
        <w:spacing w:after="60"/>
      </w:pPr>
      <w:r>
        <w:t xml:space="preserve">Verrouillage progressif d’un compte après échecs répétés (RG-ADM-02).</w:t>
      </w:r>
    </w:p>
    <w:p>
      <w:pPr>
        <w:pStyle w:val="ListParagraph"/>
        <w:numPr>
          <w:ilvl w:val="0"/>
          <w:numId w:val="2"/>
        </w:numPr>
        <w:spacing w:after="60"/>
      </w:pPr>
      <w:r>
        <w:t xml:space="preserve">Test d’intrusion externe.</w:t>
      </w:r>
    </w:p>
    <w:p>
      <w:pPr>
        <w:pStyle w:val="Heading2"/>
      </w:pPr>
      <w:r>
        <w:t xml:space="preserve">5.4 Environnement de démonstration en ligne (v2.1)</w:t>
      </w:r>
    </w:p>
    <w:p>
      <w:pPr>
        <w:spacing w:after="120"/>
      </w:pPr>
      <w:r>
        <w:t xml:space="preserve">Une démonstration est en ligne depuis octobre 2026 pour la recette à distance et la présentation de l’application mobile. Elle ne constitue pas le choix d’hébergement de production (décision D-07).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Élément</w:t>
            </w:r>
          </w:p>
        </w:tc>
        <w:tc>
          <w:tcPr>
            <w:tcW w:type="dxa" w:w="289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Hébergement</w:t>
            </w:r>
          </w:p>
        </w:tc>
        <w:tc>
          <w:tcPr>
            <w:tcW w:type="dxa" w:w="4627"/>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Remarques</w:t>
            </w:r>
          </w:p>
        </w:tc>
      </w:tr>
      <w:tr>
        <w:tc>
          <w:tcPr>
            <w:tcW w:type="dxa" w:w="212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Application web (BFF)</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Vercel, région Paris</w:t>
            </w:r>
          </w:p>
        </w:tc>
        <w:tc>
          <w:tcPr>
            <w:tcW w:type="dxa" w:w="462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Fonctions serverless ; le flux d’événements est relayé 5 minutes au plus, puis le navigateur se reconnecte</w:t>
            </w:r>
          </w:p>
        </w:tc>
      </w:tr>
      <w:tr>
        <w:tc>
          <w:tcPr>
            <w:tcW w:type="dxa" w:w="212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API</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Render, région Francfort, offre gratuite</w:t>
            </w:r>
          </w:p>
        </w:tc>
        <w:tc>
          <w:tcPr>
            <w:tcW w:type="dxa" w:w="462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seule instance ; mise en veille après 15 minutes sans visite, réveil en une minute environ (le serveur web patiente pendant le réveil)</w:t>
            </w:r>
          </w:p>
        </w:tc>
      </w:tr>
      <w:tr>
        <w:tc>
          <w:tcPr>
            <w:tcW w:type="dxa" w:w="212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Base de données</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Neon (PostgreSQL), région Francfort, offre gratuite</w:t>
            </w:r>
          </w:p>
        </w:tc>
        <w:tc>
          <w:tcPr>
            <w:tcW w:type="dxa" w:w="462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Données de la journée de démonstration ; comptes protégés par un mot de passe propre à l’environnement</w:t>
            </w:r>
          </w:p>
        </w:tc>
      </w:tr>
    </w:tbl>
    <w:p>
      <w:pPr>
        <w:spacing w:after="80"/>
      </w:pPr>
    </w:p>
    <w:p>
      <w:pPr>
        <w:spacing w:after="120"/>
      </w:pPr>
      <w:r>
        <w:t xml:space="preserve">Ces offres gratuites ne tiennent pas l’objectif de disponibilité de 99,5 % (section 7.1) ni les exigences de sauvegarde ; elles suffisent à la démonstration et à la formation.</w:t>
      </w:r>
    </w:p>
    <w:p>
      <w:pPr>
        <w:pStyle w:val="Heading1"/>
      </w:pPr>
      <w:r>
        <w:t xml:space="preserve">6. API et modèle de données</w:t>
      </w:r>
    </w:p>
    <w:p>
      <w:pPr>
        <w:pStyle w:val="Heading2"/>
      </w:pPr>
      <w:r>
        <w:t xml:space="preserve">6.1 Principes appliqués</w:t>
      </w:r>
    </w:p>
    <w:p>
      <w:pPr>
        <w:spacing w:after="120"/>
      </w:pPr>
      <w:r>
        <w:t xml:space="preserve">L’API suit la spécification de la v1.1 (section 22), avec les précisions issues de la réalisation :</w:t>
      </w:r>
    </w:p>
    <w:p>
      <w:pPr>
        <w:pStyle w:val="ListParagraph"/>
        <w:numPr>
          <w:ilvl w:val="0"/>
          <w:numId w:val="2"/>
        </w:numPr>
        <w:spacing w:after="60"/>
      </w:pPr>
      <w:r>
        <w:t xml:space="preserve">Préfixe </w:t>
      </w:r>
      <w:r>
        <w:rPr>
          <w:rFonts w:ascii="Consolas" w:cs="Consolas" w:eastAsia="Consolas" w:hAnsi="Consolas"/>
          <w:sz w:val="18"/>
          <w:szCs w:val="18"/>
        </w:rPr>
        <w:t xml:space="preserve">/v1</w:t>
      </w:r>
      <w:r>
        <w:t xml:space="preserve">, JSON, dates ISO, montants en centimes, identifiants UUID ; contrat OpenAPI généré depuis le code et vérifié à chaque intégration continue.</w:t>
      </w:r>
    </w:p>
    <w:p>
      <w:pPr>
        <w:pStyle w:val="ListParagraph"/>
        <w:numPr>
          <w:ilvl w:val="0"/>
          <w:numId w:val="2"/>
        </w:numPr>
        <w:spacing w:after="60"/>
      </w:pPr>
      <w:r>
        <w:rPr>
          <w:b/>
          <w:bCs/>
        </w:rPr>
        <w:t xml:space="preserve">Idempotence</w:t>
      </w:r>
      <w:r>
        <w:t xml:space="preserve"> obligatoire (</w:t>
      </w:r>
      <w:r>
        <w:rPr>
          <w:rFonts w:ascii="Consolas" w:cs="Consolas" w:eastAsia="Consolas" w:hAnsi="Consolas"/>
          <w:sz w:val="18"/>
          <w:szCs w:val="18"/>
        </w:rPr>
        <w:t xml:space="preserve">Idempotency-Key</w:t>
      </w:r>
      <w:r>
        <w:t xml:space="preserve">) sur la création de réservation, l’encaissement, l’émission de facture et d’avoir.</w:t>
      </w:r>
    </w:p>
    <w:p>
      <w:pPr>
        <w:pStyle w:val="ListParagraph"/>
        <w:numPr>
          <w:ilvl w:val="0"/>
          <w:numId w:val="2"/>
        </w:numPr>
        <w:spacing w:after="60"/>
      </w:pPr>
      <w:r>
        <w:rPr>
          <w:b/>
          <w:bCs/>
        </w:rPr>
        <w:t xml:space="preserve">Contrôle de concurrence</w:t>
      </w:r>
      <w:r>
        <w:t xml:space="preserve"> : chaque ressource modifiable renvoie un </w:t>
      </w:r>
      <w:r>
        <w:rPr>
          <w:rFonts w:ascii="Consolas" w:cs="Consolas" w:eastAsia="Consolas" w:hAnsi="Consolas"/>
          <w:sz w:val="18"/>
          <w:szCs w:val="18"/>
        </w:rPr>
        <w:t xml:space="preserve">ETag</w:t>
      </w:r>
      <w:r>
        <w:t xml:space="preserve"> ; une modification sans </w:t>
      </w:r>
      <w:r>
        <w:rPr>
          <w:rFonts w:ascii="Consolas" w:cs="Consolas" w:eastAsia="Consolas" w:hAnsi="Consolas"/>
          <w:sz w:val="18"/>
          <w:szCs w:val="18"/>
        </w:rPr>
        <w:t xml:space="preserve">If-Match</w:t>
      </w:r>
      <w:r>
        <w:t xml:space="preserve"> est refusée (428), avec une version périmée aussi (412).</w:t>
      </w:r>
    </w:p>
    <w:p>
      <w:pPr>
        <w:pStyle w:val="ListParagraph"/>
        <w:numPr>
          <w:ilvl w:val="0"/>
          <w:numId w:val="2"/>
        </w:numPr>
        <w:spacing w:after="60"/>
      </w:pPr>
      <w:r>
        <w:t xml:space="preserve">Erreurs RFC 9457 avec code stable (</w:t>
      </w:r>
      <w:r>
        <w:rPr>
          <w:rFonts w:ascii="Consolas" w:cs="Consolas" w:eastAsia="Consolas" w:hAnsi="Consolas"/>
          <w:sz w:val="18"/>
          <w:szCs w:val="18"/>
        </w:rPr>
        <w:t xml:space="preserve">NO_AVAILABILITY</w:t>
      </w:r>
      <w:r>
        <w:t xml:space="preserve">, </w:t>
      </w:r>
      <w:r>
        <w:rPr>
          <w:rFonts w:ascii="Consolas" w:cs="Consolas" w:eastAsia="Consolas" w:hAnsi="Consolas"/>
          <w:sz w:val="18"/>
          <w:szCs w:val="18"/>
        </w:rPr>
        <w:t xml:space="preserve">ROOM_UNAVAILABLE</w:t>
      </w:r>
      <w:r>
        <w:t xml:space="preserve">, </w:t>
      </w:r>
      <w:r>
        <w:rPr>
          <w:rFonts w:ascii="Consolas" w:cs="Consolas" w:eastAsia="Consolas" w:hAnsi="Consolas"/>
          <w:sz w:val="18"/>
          <w:szCs w:val="18"/>
        </w:rPr>
        <w:t xml:space="preserve">BALANCE_DUE</w:t>
      </w:r>
      <w:r>
        <w:t xml:space="preserve">, </w:t>
      </w:r>
      <w:r>
        <w:rPr>
          <w:rFonts w:ascii="Consolas" w:cs="Consolas" w:eastAsia="Consolas" w:hAnsi="Consolas"/>
          <w:sz w:val="18"/>
          <w:szCs w:val="18"/>
        </w:rPr>
        <w:t xml:space="preserve">INVOICE_LOCKED</w:t>
      </w:r>
      <w:r>
        <w:t xml:space="preserve">, </w:t>
      </w:r>
      <w:r>
        <w:rPr>
          <w:rFonts w:ascii="Consolas" w:cs="Consolas" w:eastAsia="Consolas" w:hAnsi="Consolas"/>
          <w:sz w:val="18"/>
          <w:szCs w:val="18"/>
        </w:rPr>
        <w:t xml:space="preserve">MFA_REQUIRED</w:t>
      </w:r>
      <w:r>
        <w:t xml:space="preserve">…), titre traduit et identifiant de trace.</w:t>
      </w:r>
    </w:p>
    <w:p>
      <w:pPr>
        <w:pStyle w:val="ListParagraph"/>
        <w:numPr>
          <w:ilvl w:val="0"/>
          <w:numId w:val="2"/>
        </w:numPr>
        <w:spacing w:after="60"/>
      </w:pPr>
      <w:r>
        <w:t xml:space="preserve">Pagination par curseur, filtres explicites, sélection de champs.</w:t>
      </w:r>
    </w:p>
    <w:p>
      <w:pPr>
        <w:pStyle w:val="ListParagraph"/>
        <w:numPr>
          <w:ilvl w:val="0"/>
          <w:numId w:val="2"/>
        </w:numPr>
        <w:spacing w:after="60"/>
      </w:pPr>
      <w:r>
        <w:t xml:space="preserve">Langue de réponse : celle de l’interface ; à défaut, celle du profil (jamais celle du navigateur, qui peut différer).</w:t>
      </w:r>
    </w:p>
    <w:p>
      <w:pPr>
        <w:pStyle w:val="ListParagraph"/>
        <w:numPr>
          <w:ilvl w:val="0"/>
          <w:numId w:val="2"/>
        </w:numPr>
        <w:spacing w:after="60"/>
      </w:pPr>
      <w:r>
        <w:rPr>
          <w:b/>
          <w:bCs/>
        </w:rPr>
        <w:t xml:space="preserve">Événements (v2.1)</w:t>
      </w:r>
      <w:r>
        <w:t xml:space="preserve"> : chaque modification réussie publie un événement par sujet sur </w:t>
      </w:r>
      <w:r>
        <w:rPr>
          <w:rFonts w:ascii="Consolas" w:cs="Consolas" w:eastAsia="Consolas" w:hAnsi="Consolas"/>
          <w:sz w:val="18"/>
          <w:szCs w:val="18"/>
        </w:rPr>
        <w:t xml:space="preserve">/v1/events</w:t>
      </w:r>
      <w:r>
        <w:t xml:space="preserve"> ; un client ne reçoit que les sujets que ses droits lui permettent de lire.</w:t>
      </w:r>
    </w:p>
    <w:p>
      <w:pPr>
        <w:pStyle w:val="Heading2"/>
      </w:pPr>
      <w:r>
        <w:t xml:space="preserve">6.2 Catalogue réalisé</w:t>
      </w:r>
    </w:p>
    <w:p>
      <w:pPr>
        <w:spacing w:after="120"/>
      </w:pPr>
      <w:r>
        <w:t xml:space="preserve">63 opérations (méthode et chemin), regroupées ainsi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Domaine</w:t>
            </w:r>
          </w:p>
        </w:tc>
        <w:tc>
          <w:tcPr>
            <w:tcW w:type="dxa" w:w="7229"/>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Ressources principales</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Session</w:t>
            </w:r>
          </w:p>
        </w:tc>
        <w:tc>
          <w:tcPr>
            <w:tcW w:type="dxa" w:w="722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Connexion, second facteur, rafraîchissement, déconnexion, profil, menu, enrôlement MFA</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Référentiel</w:t>
            </w:r>
          </w:p>
        </w:tc>
        <w:tc>
          <w:tcPr>
            <w:tcW w:type="dxa" w:w="722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Types de chambre, chambres, état d’une chambre, entrées du menu</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Utilisateurs (v2.1)</w:t>
            </w:r>
          </w:p>
        </w:tc>
        <w:tc>
          <w:tcPr>
            <w:tcW w:type="dxa" w:w="722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Comptes, profil et langue, mot de passe, activation, réinitialisation MFA</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Réservations</w:t>
            </w:r>
          </w:p>
        </w:tc>
        <w:tc>
          <w:tcPr>
            <w:tcW w:type="dxa" w:w="722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Disponibilités, devis, réservations, historique, pré-attribution, annulation, arrivée, départ, planning</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Clients</w:t>
            </w:r>
          </w:p>
        </w:tc>
        <w:tc>
          <w:tcPr>
            <w:tcW w:type="dxa" w:w="722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Clients, séjours d’un client, effacement RGPD</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Facturation</w:t>
            </w:r>
          </w:p>
        </w:tc>
        <w:tc>
          <w:tcPr>
            <w:tcW w:type="dxa" w:w="722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Compte du séjour, prestations, facturation à la chambre, encaissements, factures, avoirs, contrôle d’intégrité, export comptable, paramètres</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Pilotage</w:t>
            </w:r>
          </w:p>
        </w:tc>
        <w:tc>
          <w:tcPr>
            <w:tcW w:type="dxa" w:w="722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Tableau de bord, indicateurs et ventilations, tableau du ménage</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Événements (v2.1)</w:t>
            </w:r>
          </w:p>
        </w:tc>
        <w:tc>
          <w:tcPr>
            <w:tcW w:type="dxa" w:w="722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Flux des modifications (SSE)</w:t>
            </w:r>
          </w:p>
        </w:tc>
      </w:tr>
      <w:tr>
        <w:tc>
          <w:tcPr>
            <w:tcW w:type="dxa" w:w="240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Supervision</w:t>
            </w:r>
          </w:p>
        </w:tc>
        <w:tc>
          <w:tcPr>
            <w:tcW w:type="dxa" w:w="722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État de santé</w:t>
            </w:r>
          </w:p>
        </w:tc>
      </w:tr>
    </w:tbl>
    <w:p>
      <w:pPr>
        <w:spacing w:after="80"/>
      </w:pPr>
    </w:p>
    <w:p>
      <w:pPr>
        <w:spacing w:after="120"/>
      </w:pPr>
      <w:r>
        <w:t xml:space="preserve">Restent à exposer en V1 : webhooks, synchronisation hors ligne.</w:t>
      </w:r>
    </w:p>
    <w:p>
      <w:pPr>
        <w:pStyle w:val="Heading2"/>
      </w:pPr>
      <w:r>
        <w:t xml:space="preserve">6.3 Modèle de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2698"/>
        <w:gridCol w:w="4242"/>
      </w:tblGrid>
      <w:tr>
        <w:trPr>
          <w:tblHeader/>
        </w:trPr>
        <w:tc>
          <w:tcPr>
            <w:tcW w:type="dxa" w:w="2698"/>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Table</w:t>
            </w:r>
          </w:p>
        </w:tc>
        <w:tc>
          <w:tcPr>
            <w:tcW w:type="dxa" w:w="2698"/>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Rôle</w:t>
            </w:r>
          </w:p>
        </w:tc>
        <w:tc>
          <w:tcPr>
            <w:tcW w:type="dxa" w:w="4242"/>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Garanties portées par la base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users, refresh_tokens</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Comptes, profils, MFA, sessions</w:t>
            </w:r>
          </w:p>
        </w:tc>
        <w:tc>
          <w:tcPr>
            <w:tcW w:type="dxa" w:w="42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Email unique sans distinction de casse ; jetons stockés hachés ; date de rotation des jetons (v2.1)</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navigation_items</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Menu dynamique</w:t>
            </w:r>
          </w:p>
        </w:tc>
        <w:tc>
          <w:tcPr>
            <w:tcW w:type="dxa" w:w="42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Clé unique, parent existant</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room_types, rooms</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Référentiel des chambres</w:t>
            </w:r>
          </w:p>
        </w:tc>
        <w:tc>
          <w:tcPr>
            <w:tcW w:type="dxa" w:w="42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Code et numéro uniques, états autorisés</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guests</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Clients</w:t>
            </w:r>
          </w:p>
        </w:tc>
        <w:tc>
          <w:tcPr>
            <w:tcW w:type="dxa" w:w="42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Segment autorisé</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reservations</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Séjours</w:t>
            </w:r>
          </w:p>
        </w:tc>
        <w:tc>
          <w:tcPr>
            <w:tcW w:type="dxa" w:w="42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Départ après arrivée ; </w:t>
            </w:r>
            <w:r>
              <w:rPr>
                <w:b/>
                <w:bCs/>
              </w:rPr>
              <w:t xml:space="preserve">exclusion</w:t>
            </w:r>
            <w:r>
              <w:t xml:space="preserve"> : une chambre, une nuit, un séjour actif</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folio_charges</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Prestations portées au compte</w:t>
            </w:r>
          </w:p>
        </w:tc>
        <w:tc>
          <w:tcPr>
            <w:tcW w:type="dxa" w:w="42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Quantité et montant positifs, taux borné</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payments</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Encaissements</w:t>
            </w:r>
          </w:p>
        </w:tc>
        <w:tc>
          <w:tcPr>
            <w:tcW w:type="dxa" w:w="42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Référence obligatoire pour la carte, signe cohérent avec le type ; </w:t>
            </w:r>
            <w:r>
              <w:rPr>
                <w:b/>
                <w:bCs/>
              </w:rPr>
              <w:t xml:space="preserve">inaltérable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invoices, invoice_lines, invoice_counters</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Factures, avoirs, numérotation</w:t>
            </w:r>
          </w:p>
        </w:tc>
        <w:tc>
          <w:tcPr>
            <w:tcW w:type="dxa" w:w="42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Numéro unique, un avoir par facture au plus ; </w:t>
            </w:r>
            <w:r>
              <w:rPr>
                <w:b/>
                <w:bCs/>
              </w:rPr>
              <w:t xml:space="preserve">inaltérables</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settings</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Paramètres de facturation</w:t>
            </w:r>
          </w:p>
        </w:tc>
        <w:tc>
          <w:tcPr>
            <w:tcW w:type="dxa" w:w="42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Version</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idempotency_keys</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Rejeu des requêtes</w:t>
            </w:r>
          </w:p>
        </w:tc>
        <w:tc>
          <w:tcPr>
            <w:tcW w:type="dxa" w:w="42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Expiration 24 h</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audit_logs</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Journal d’audit</w:t>
            </w:r>
          </w:p>
        </w:tc>
        <w:tc>
          <w:tcPr>
            <w:tcW w:type="dxa" w:w="4242"/>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Ajout seul</w:t>
            </w:r>
          </w:p>
        </w:tc>
      </w:tr>
    </w:tbl>
    <w:p>
      <w:pPr>
        <w:pStyle w:val="Heading1"/>
      </w:pPr>
      <w:r>
        <w:t xml:space="preserve">7. Exigences non fonctionnelles et droits</w:t>
      </w:r>
    </w:p>
    <w:p>
      <w:pPr>
        <w:pStyle w:val="Heading2"/>
      </w:pPr>
      <w:r>
        <w:t xml:space="preserve">7.1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505"/>
        <w:gridCol w:w="2891"/>
        <w:gridCol w:w="2508"/>
      </w:tblGrid>
      <w:tr>
        <w:trPr>
          <w:tblHeader/>
        </w:trPr>
        <w:tc>
          <w:tcPr>
            <w:tcW w:type="dxa" w:w="173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Exigence</w:t>
            </w:r>
          </w:p>
        </w:tc>
        <w:tc>
          <w:tcPr>
            <w:tcW w:type="dxa" w:w="250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Cible</w:t>
            </w:r>
          </w:p>
        </w:tc>
        <w:tc>
          <w:tcPr>
            <w:tcW w:type="dxa" w:w="289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Vérification</w:t>
            </w:r>
          </w:p>
        </w:tc>
        <w:tc>
          <w:tcPr>
            <w:tcW w:type="dxa" w:w="2508"/>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État</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Utilisateurs simultanés</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50 au moins</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 de charge sur données représentatives (200 chambres, 12 mois)</w:t>
            </w:r>
          </w:p>
        </w:tc>
        <w:tc>
          <w:tcPr>
            <w:tcW w:type="dxa" w:w="250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mener</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Temps de réponse</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Moins de 2 s perçues ; API sous 300 ms en lecture et 800 ms en écriture pour 95 % des requêtes</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 de charge, puis métriques en exploitation</w:t>
            </w:r>
          </w:p>
        </w:tc>
        <w:tc>
          <w:tcPr>
            <w:tcW w:type="dxa" w:w="250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mesurer</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Capacité</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200 chambres</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Planning, ménage et tableau de bord sur 200 chambres</w:t>
            </w:r>
          </w:p>
        </w:tc>
        <w:tc>
          <w:tcPr>
            <w:tcW w:type="dxa" w:w="250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vérifier en charge</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Disponibilité</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99,5 % par mois</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Sonde de santé (base comprise) déjà exposée ; supervision externe</w:t>
            </w:r>
          </w:p>
        </w:tc>
        <w:tc>
          <w:tcPr>
            <w:tcW w:type="dxa" w:w="2508"/>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Sonde livrée, supervision à faire ; non tenue par la démonstration gratuite (v2.1)</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Reprise après incident</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RTO inférieur à 1 h, RPO inférieur à 15 min</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Sauvegarde continue, test de restauration trimestriel</w:t>
            </w:r>
          </w:p>
        </w:tc>
        <w:tc>
          <w:tcPr>
            <w:tcW w:type="dxa" w:w="250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faire (D-07)</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Mode dégradé</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Arrivées et départs consultables pendant une panne</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Export nocturne imprimable</w:t>
            </w:r>
          </w:p>
        </w:tc>
        <w:tc>
          <w:tcPr>
            <w:tcW w:type="dxa" w:w="2508"/>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Partiel (v2.1) : export CSV des mouvements du jour depuis le tableau de bord ; export automatique à faire</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Cohérence</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Aucune surréservation, aucune facture altérée, aucun encaissement en double</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Contraintes en base, tests de concurrence et d’intégrité</w:t>
            </w:r>
          </w:p>
        </w:tc>
        <w:tc>
          <w:tcPr>
            <w:tcW w:type="dxa" w:w="250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Synchronisation (v2.1)</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modification visible sur les autres postes en quelques secondes</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Tests navigateur multi-postes (web et téléphone)</w:t>
            </w:r>
          </w:p>
        </w:tc>
        <w:tc>
          <w:tcPr>
            <w:tcW w:type="dxa" w:w="2508"/>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(v2.1)</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Multilingue</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Français, anglais, arabe (RTL)</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Parcours navigateur en arabe</w:t>
            </w:r>
          </w:p>
        </w:tc>
        <w:tc>
          <w:tcPr>
            <w:tcW w:type="dxa" w:w="2508"/>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(web) ; mise en page RTL de l’application native à corriger (v2.1)</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Responsive</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Tablette et téléphone</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Parcours ménage sur écran de 390 px</w:t>
            </w:r>
          </w:p>
        </w:tc>
        <w:tc>
          <w:tcPr>
            <w:tcW w:type="dxa" w:w="250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Accessibilité</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WCAG 2.1 niveau AA</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Navigation au clavier (dont planning), libellés pour lecteurs d’écran, information jamais portée par la seule couleur ; audit externe</w:t>
            </w:r>
          </w:p>
        </w:tc>
        <w:tc>
          <w:tcPr>
            <w:tcW w:type="dxa" w:w="250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Partiel, audit à mener</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Évolutivité</w:t>
            </w:r>
          </w:p>
        </w:tc>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Modules activables, montée en charge</w:t>
            </w:r>
          </w:p>
        </w:tc>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Modules activés par configuration, migrations versionnées</w:t>
            </w:r>
          </w:p>
        </w:tc>
        <w:tc>
          <w:tcPr>
            <w:tcW w:type="dxa" w:w="2508"/>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 API limitée à une instance tant que les événements restent en mémoire (v2.1)</w:t>
            </w:r>
          </w:p>
        </w:tc>
      </w:tr>
    </w:tbl>
    <w:p>
      <w:pPr>
        <w:pStyle w:val="Heading2"/>
      </w:pPr>
      <w:r>
        <w:t xml:space="preserve">7.2 Matrice des droits</w:t>
      </w:r>
    </w:p>
    <w:p>
      <w:pPr>
        <w:spacing w:after="120"/>
      </w:pPr>
      <w:r>
        <w:t xml:space="preserve">La double authentification est obligatoire pour la direction, la comptabilité et l’IT. « L » : lecture seule.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156"/>
        <w:gridCol w:w="1156"/>
        <w:gridCol w:w="1156"/>
        <w:gridCol w:w="1156"/>
        <w:gridCol w:w="1156"/>
        <w:gridCol w:w="1160"/>
      </w:tblGrid>
      <w:tr>
        <w:trPr>
          <w:tblHeader/>
        </w:trPr>
        <w:tc>
          <w:tcPr>
            <w:tcW w:type="dxa" w:w="2698"/>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Capacité</w:t>
            </w:r>
          </w:p>
        </w:tc>
        <w:tc>
          <w:tcPr>
            <w:tcW w:type="dxa" w:w="1156"/>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Direction</w:t>
            </w:r>
          </w:p>
        </w:tc>
        <w:tc>
          <w:tcPr>
            <w:tcW w:type="dxa" w:w="1156"/>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Réception</w:t>
            </w:r>
          </w:p>
        </w:tc>
        <w:tc>
          <w:tcPr>
            <w:tcW w:type="dxa" w:w="1156"/>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Ménage</w:t>
            </w:r>
          </w:p>
        </w:tc>
        <w:tc>
          <w:tcPr>
            <w:tcW w:type="dxa" w:w="1156"/>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Restauration</w:t>
            </w:r>
          </w:p>
        </w:tc>
        <w:tc>
          <w:tcPr>
            <w:tcW w:type="dxa" w:w="1156"/>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Comptabilité</w:t>
            </w:r>
          </w:p>
        </w:tc>
        <w:tc>
          <w:tcPr>
            <w:tcW w:type="dxa" w:w="1160"/>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IT</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Réservations et disponibilités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Arrivées et départs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Planning et pré-attribution</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État des chambres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Référentiel des chambres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Clients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Effacement RGPD</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Prestations au compte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 (à la chambre)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Compte du séjour, encaissements, factures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Avoirs, dérogation au départ, contrôle d’intégrité</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Export comptable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Paramètres de facturation</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Montants, rapports, tendances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Occupation du jour (sans montants)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Menu et administration</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Comptes utilisateurs (v2.1)</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16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Oui</w:t>
            </w:r>
          </w:p>
        </w:tc>
      </w:tr>
    </w:tbl>
    <w:p>
      <w:pPr>
        <w:pStyle w:val="Heading1"/>
      </w:pPr>
      <w:r>
        <w:t xml:space="preserve">8. Tests et recette</w:t>
      </w:r>
    </w:p>
    <w:p>
      <w:pPr>
        <w:pStyle w:val="Heading2"/>
      </w:pPr>
      <w:r>
        <w:t xml:space="preserve">8.1 Tests automatisés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5204"/>
        <w:gridCol w:w="1929"/>
      </w:tblGrid>
      <w:tr>
        <w:trPr>
          <w:tblHeader/>
        </w:trPr>
        <w:tc>
          <w:tcPr>
            <w:tcW w:type="dxa" w:w="250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Niveau</w:t>
            </w:r>
          </w:p>
        </w:tc>
        <w:tc>
          <w:tcPr>
            <w:tcW w:type="dxa" w:w="520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Contenu</w:t>
            </w:r>
          </w:p>
        </w:tc>
        <w:tc>
          <w:tcPr>
            <w:tcW w:type="dxa" w:w="1929"/>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Résultat</w:t>
            </w:r>
          </w:p>
        </w:tc>
      </w:tr>
      <w:tr>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API, sur une vraie base PostgreSQL</w:t>
            </w:r>
          </w:p>
        </w:tc>
        <w:tc>
          <w:tcPr>
            <w:tcW w:type="dxa" w:w="520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66 tests en 6 suites : socle et réservations, tableau de bord, planning, facturation, comptes utilisateurs, flux d’événements</w:t>
            </w:r>
          </w:p>
        </w:tc>
        <w:tc>
          <w:tcPr>
            <w:tcW w:type="dxa" w:w="1929"/>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66 réussis (v2.1)</w:t>
            </w:r>
          </w:p>
        </w:tc>
      </w:tr>
      <w:tr>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Parcours dans un vrai navigateur</w:t>
            </w:r>
          </w:p>
        </w:tc>
        <w:tc>
          <w:tcPr>
            <w:tcW w:type="dxa" w:w="520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9 suites : réservations, planning, facturation, clients, ménage, rapports, administration, temps réel (plusieurs postes), mobile (installation, onglets par profil, restaurant, synchronisation téléphone et tableau de bord)</w:t>
            </w:r>
          </w:p>
        </w:tc>
        <w:tc>
          <w:tcPr>
            <w:tcW w:type="dxa" w:w="1929"/>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9 réussies (v2.1)</w:t>
            </w:r>
          </w:p>
        </w:tc>
      </w:tr>
      <w:tr>
        <w:tc>
          <w:tcPr>
            <w:tcW w:type="dxa" w:w="250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Intégration continue</w:t>
            </w:r>
          </w:p>
        </w:tc>
        <w:tc>
          <w:tcPr>
            <w:tcW w:type="dxa" w:w="520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Compilation, tests de l’API, compilation du web, contrat OpenAPI à jour</w:t>
            </w:r>
          </w:p>
        </w:tc>
        <w:tc>
          <w:tcPr>
            <w:tcW w:type="dxa" w:w="192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Configurée</w:t>
            </w:r>
          </w:p>
        </w:tc>
      </w:tr>
    </w:tbl>
    <w:p>
      <w:pPr>
        <w:spacing w:after="80"/>
      </w:pPr>
    </w:p>
    <w:p>
      <w:pPr>
        <w:spacing w:after="120"/>
      </w:pPr>
      <w:r>
        <w:t xml:space="preserve">Cas critiques couverts : 8 ventes simultanées pour 3 chambres, 5 factures émises au même instant, réutilisation d’un jeton volé, </w:t>
      </w:r>
      <w:r>
        <w:rPr>
          <w:b/>
          <w:bCs/>
        </w:rPr>
        <w:t xml:space="preserve">rafraîchissements simultanés d’une même session (v2.1)</w:t>
      </w:r>
      <w:r>
        <w:t xml:space="preserve">, </w:t>
      </w:r>
      <w:r>
        <w:rPr>
          <w:b/>
          <w:bCs/>
        </w:rPr>
        <w:t xml:space="preserve">API refusée sans le secret du serveur web (v2.1)</w:t>
      </w:r>
      <w:r>
        <w:t xml:space="preserve">, facture altérée en contournant les protections de la base, numéro de carte sous trois formes de saisie, conflit d’édition entre deux personnes (avec affichage en direct de la modification du collègue), coupure et reprise du flux en direct, parcours complets en arabe et sur téléphone.</w:t>
      </w:r>
    </w:p>
    <w:p>
      <w:pPr>
        <w:pStyle w:val="Heading2"/>
      </w:pPr>
      <w:r>
        <w:t xml:space="preserve">8.2 Défauts détectés et corrigés pendant la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3469"/>
        <w:gridCol w:w="2700"/>
      </w:tblGrid>
      <w:tr>
        <w:trPr>
          <w:tblHeader/>
        </w:trPr>
        <w:tc>
          <w:tcPr>
            <w:tcW w:type="dxa" w:w="3469"/>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Défaut</w:t>
            </w:r>
          </w:p>
        </w:tc>
        <w:tc>
          <w:tcPr>
            <w:tcW w:type="dxa" w:w="3469"/>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Conséquence évitée</w:t>
            </w:r>
          </w:p>
        </w:tc>
        <w:tc>
          <w:tcPr>
            <w:tcW w:type="dxa" w:w="2700"/>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Couverture</w:t>
            </w:r>
          </w:p>
        </w:tc>
      </w:tr>
      <w:tr>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Révocation d’une session volée annulée par la transaction</w:t>
            </w:r>
          </w:p>
        </w:tc>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 voleur de jeton aurait gardé l’accès</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 automatisé</w:t>
            </w:r>
          </w:p>
        </w:tc>
      </w:tr>
      <w:tr>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Rafraîchissements simultanés d’une même session</w:t>
            </w:r>
          </w:p>
        </w:tc>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Déconnexions intempestives du personnel</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Test automatisé (v2.1)</w:t>
            </w:r>
          </w:p>
        </w:tc>
      </w:tr>
      <w:tr>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Limitation des connexions appliquée à l’adresse du serveur web</w:t>
            </w:r>
          </w:p>
        </w:tc>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Tout l’hôtel bloqué après 10 erreurs de mot de passe</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Vérification manuelle, à automatiser</w:t>
            </w:r>
          </w:p>
        </w:tc>
      </w:tr>
      <w:tr>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Attribution automatique sur une chambre promise à un autre client</w:t>
            </w:r>
          </w:p>
        </w:tc>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Deux clients pour une même chambre</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 automatisé</w:t>
            </w:r>
          </w:p>
        </w:tc>
      </w:tr>
      <w:tr>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Numéros de facture vides</w:t>
            </w:r>
          </w:p>
        </w:tc>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Factures non conformes</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 automatisé</w:t>
            </w:r>
          </w:p>
        </w:tc>
      </w:tr>
      <w:tr>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Montants sans centimes dans le compte et sur la facture</w:t>
            </w:r>
          </w:p>
        </w:tc>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TVA et totaux faux à l’affichage</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 automatisé (navigateur)</w:t>
            </w:r>
          </w:p>
        </w:tc>
      </w:tr>
      <w:tr>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Numéro de carte avec espaces non détecté</w:t>
            </w:r>
          </w:p>
        </w:tc>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Donnée de carte saisie en clair</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 automatisé</w:t>
            </w:r>
          </w:p>
        </w:tc>
      </w:tr>
      <w:tr>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Clients partant le jour prévu signalés en retard</w:t>
            </w:r>
          </w:p>
        </w:tc>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Fausses alertes à la réception</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 automatisé</w:t>
            </w:r>
          </w:p>
        </w:tc>
      </w:tr>
      <w:tr>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Dates, adresses et codes inversés en arabe</w:t>
            </w:r>
          </w:p>
        </w:tc>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Factures et écrans illisibles</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Vérification visuelle, à automatiser</w:t>
            </w:r>
          </w:p>
        </w:tc>
      </w:tr>
      <w:tr>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Déconnexion de l’application mobile sans effet (v2.1)</w:t>
            </w:r>
          </w:p>
        </w:tc>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Profil précédent resté affiché après déconnexion</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Corrigé, vérifié sur émulateur</w:t>
            </w:r>
          </w:p>
        </w:tc>
      </w:tr>
      <w:tr>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Démarrage de l’API refusé avec </w:t>
            </w:r>
            <w:r>
              <w:rPr>
                <w:rFonts w:ascii="Consolas" w:cs="Consolas" w:eastAsia="Consolas" w:hAnsi="Consolas"/>
                <w:sz w:val="18"/>
                <w:szCs w:val="18"/>
              </w:rPr>
              <w:t xml:space="preserve">TRUST_PROXY=true</w:t>
            </w:r>
            <w:r>
              <w:t xml:space="preserve"> (v2.1)</w:t>
            </w:r>
          </w:p>
        </w:tc>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API hors service en hébergement public</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Corrigé, vérifié en ligne</w:t>
            </w:r>
          </w:p>
        </w:tc>
      </w:tr>
      <w:tr>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Première connexion échouée pendant le réveil de l’API (v2.1)</w:t>
            </w:r>
          </w:p>
        </w:tc>
        <w:tc>
          <w:tcPr>
            <w:tcW w:type="dxa" w:w="346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Erreur 502 après une période sans visite</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Corrigé (attente du réveil par le serveur web), à mettre en ligne</w:t>
            </w:r>
          </w:p>
        </w:tc>
      </w:tr>
    </w:tbl>
    <w:p>
      <w:pPr>
        <w:pStyle w:val="Heading2"/>
      </w:pPr>
      <w:r>
        <w:t xml:space="preserve">8.3 Critères d’acceptation</w:t>
      </w:r>
    </w:p>
    <w:p>
      <w:pPr>
        <w:spacing w:after="120"/>
      </w:pPr>
      <w:r>
        <w:t xml:space="preserve">Le socle V1 est accepté lorsque :</w:t>
      </w:r>
    </w:p>
    <w:p>
      <w:pPr>
        <w:pStyle w:val="ListParagraph"/>
        <w:numPr>
          <w:ilvl w:val="0"/>
          <w:numId w:val="3"/>
        </w:numPr>
        <w:spacing w:after="60"/>
      </w:pPr>
      <w:r>
        <w:t xml:space="preserve">toutes les règles au statut Livré sont vérifiées par les tests automatisés, exécutés sur l’environnement de recette ;</w:t>
      </w:r>
    </w:p>
    <w:p>
      <w:pPr>
        <w:pStyle w:val="ListParagraph"/>
        <w:numPr>
          <w:ilvl w:val="0"/>
          <w:numId w:val="3"/>
        </w:numPr>
        <w:spacing w:after="60"/>
      </w:pPr>
      <w:r>
        <w:t xml:space="preserve">les référents métier ont déroulé sans anomalie bloquante les scénarios de recette de leur profil (section 8.4) ;</w:t>
      </w:r>
    </w:p>
    <w:p>
      <w:pPr>
        <w:pStyle w:val="ListParagraph"/>
        <w:numPr>
          <w:ilvl w:val="0"/>
          <w:numId w:val="3"/>
        </w:numPr>
        <w:spacing w:after="60"/>
      </w:pPr>
      <w:r>
        <w:t xml:space="preserve">le test de charge atteint les cibles de la section 7.1 ;</w:t>
      </w:r>
    </w:p>
    <w:p>
      <w:pPr>
        <w:pStyle w:val="ListParagraph"/>
        <w:numPr>
          <w:ilvl w:val="0"/>
          <w:numId w:val="3"/>
        </w:numPr>
        <w:spacing w:after="60"/>
      </w:pPr>
      <w:r>
        <w:t xml:space="preserve">un test de restauration de sauvegarde respecte le RTO et le RPO ;</w:t>
      </w:r>
    </w:p>
    <w:p>
      <w:pPr>
        <w:pStyle w:val="ListParagraph"/>
        <w:numPr>
          <w:ilvl w:val="0"/>
          <w:numId w:val="3"/>
        </w:numPr>
        <w:spacing w:after="60"/>
      </w:pPr>
      <w:r>
        <w:t xml:space="preserve">le test d’intrusion ne révèle aucune vulnérabilité critique ou élevée non corrigée ;</w:t>
      </w:r>
    </w:p>
    <w:p>
      <w:pPr>
        <w:pStyle w:val="ListParagraph"/>
        <w:numPr>
          <w:ilvl w:val="0"/>
          <w:numId w:val="3"/>
        </w:numPr>
        <w:spacing w:after="60"/>
      </w:pPr>
      <w:r>
        <w:t xml:space="preserve">les décisions D-01 et D-03 sont prises et les paramètres fiscaux validés par la comptabilité ;</w:t>
      </w:r>
    </w:p>
    <w:p>
      <w:pPr>
        <w:pStyle w:val="ListParagraph"/>
        <w:numPr>
          <w:ilvl w:val="0"/>
          <w:numId w:val="3"/>
        </w:numPr>
        <w:spacing w:after="60"/>
      </w:pPr>
      <w:r>
        <w:t xml:space="preserve">la migration des données est validée (section 10.1) ;</w:t>
      </w:r>
    </w:p>
    <w:p>
      <w:pPr>
        <w:pStyle w:val="ListParagraph"/>
        <w:numPr>
          <w:ilvl w:val="0"/>
          <w:numId w:val="3"/>
        </w:numPr>
        <w:spacing w:after="60"/>
      </w:pPr>
      <w:r>
        <w:t xml:space="preserve">les secrets de double authentification sont chiffrés au repos (section 5.3, v2.1).</w:t>
      </w:r>
    </w:p>
    <w:p>
      <w:pPr>
        <w:pStyle w:val="Heading2"/>
      </w:pPr>
      <w:r>
        <w:t xml:space="preserve">8.4 Scénarios de recette par profil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tblHeader/>
        </w:trPr>
        <w:tc>
          <w:tcPr>
            <w:tcW w:type="dxa" w:w="173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Profil</w:t>
            </w:r>
          </w:p>
        </w:tc>
        <w:tc>
          <w:tcPr>
            <w:tcW w:type="dxa" w:w="790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Scénarios</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Réception</w:t>
            </w:r>
          </w:p>
        </w:tc>
        <w:tc>
          <w:tcPr>
            <w:tcW w:type="dxa" w:w="790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Créer, modifier, annuler une réservation ; pré-attribuer depuis le planning ; enregistrer une arrivée ; porter une prestation ; encaisser ; émettre la facture ; enregistrer un départ, y compris anticipé ; constater la mise à jour en direct sur un second poste</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Ménage</w:t>
            </w:r>
          </w:p>
        </w:tc>
        <w:tc>
          <w:tcPr>
            <w:tcW w:type="dxa" w:w="790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Sur téléphone (application ou web), en arabe : identifier les chambres urgentes, les marquer prêtes, signaler une maintenance, annuler une action, scanner le code QR d’une chambre</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Restauration</w:t>
            </w:r>
          </w:p>
        </w:tc>
        <w:tc>
          <w:tcPr>
            <w:tcW w:type="dxa" w:w="790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Facturer une consommation à une chambre occupée depuis l’écran du restaurant ; constater le refus sur une chambre libre</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Comptabilité</w:t>
            </w:r>
          </w:p>
        </w:tc>
        <w:tc>
          <w:tcPr>
            <w:tcW w:type="dxa" w:w="790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Vérifier l’intégrité, exporter la période et l’importer dans le logiciel comptable, émettre un avoir</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Direction</w:t>
            </w:r>
          </w:p>
        </w:tc>
        <w:tc>
          <w:tcPr>
            <w:tcW w:type="dxa" w:w="790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Consulter les rapports et le tableau de bord, modifier les paramètres de facturation, valider un départ avec dérogation, effacer un client</w:t>
            </w:r>
          </w:p>
        </w:tc>
      </w:tr>
      <w:tr>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IT (v2.1)</w:t>
            </w:r>
          </w:p>
        </w:tc>
        <w:tc>
          <w:tcPr>
            <w:tcW w:type="dxa" w:w="790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Créer un compte, réinitialiser un mot de passe et une double authentification, désactiver un compte, modifier le menu et les chambres</w:t>
            </w:r>
          </w:p>
        </w:tc>
      </w:tr>
    </w:tbl>
    <w:p>
      <w:pPr>
        <w:pStyle w:val="Heading1"/>
      </w:pPr>
      <w:r>
        <w:t xml:space="preserve">9. Feuille de route, budget et risques</w:t>
      </w:r>
    </w:p>
    <w:p>
      <w:pPr>
        <w:pStyle w:val="Heading2"/>
      </w:pPr>
      <w:r>
        <w:t xml:space="preserve">9.1 Ce qui reste avant la mise en service (V1)</w:t>
      </w:r>
    </w:p>
    <w:p>
      <w:pPr>
        <w:spacing w:after="120"/>
      </w:pPr>
      <w:r>
        <w:t xml:space="preserve">Durées indicatives, à confirmer en conception détaillée de chaque lot. Les lots 1 à 3 dépendent de décisions de la direction. Les lots 4 et 5 sont réduits par ce qui a été livré depuis la v2.0.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3566"/>
        <w:gridCol w:w="1734"/>
        <w:gridCol w:w="1156"/>
        <w:gridCol w:w="1737"/>
      </w:tblGrid>
      <w:tr>
        <w:trPr>
          <w:tblHeader/>
        </w:trPr>
        <w:tc>
          <w:tcPr>
            <w:tcW w:type="dxa" w:w="144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Lot</w:t>
            </w:r>
          </w:p>
        </w:tc>
        <w:tc>
          <w:tcPr>
            <w:tcW w:type="dxa" w:w="3566"/>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Contenu restant</w:t>
            </w:r>
          </w:p>
        </w:tc>
        <w:tc>
          <w:tcPr>
            <w:tcW w:type="dxa" w:w="173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Règles</w:t>
            </w:r>
          </w:p>
        </w:tc>
        <w:tc>
          <w:tcPr>
            <w:tcW w:type="dxa" w:w="1156"/>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Dépend de</w:t>
            </w:r>
          </w:p>
        </w:tc>
        <w:tc>
          <w:tcPr>
            <w:tcW w:type="dxa" w:w="1737"/>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Durée indicative</w:t>
            </w:r>
          </w:p>
        </w:tc>
      </w:tr>
      <w:tr>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1. Conformité</w:t>
            </w:r>
          </w:p>
        </w:tc>
        <w:tc>
          <w:tcPr>
            <w:tcW w:type="dxa" w:w="356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Paramètres fiscaux du pays, mentions de facture, déclaration des voyageurs, documents d’identité, durées de conservation, éventuelle certification</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RG-REC-10, RG-CLI-06, RG-FAC-13, RG-FAC-16</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D-01, D-03</w:t>
            </w:r>
          </w:p>
        </w:tc>
        <w:tc>
          <w:tcPr>
            <w:tcW w:type="dxa" w:w="173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3 à 4 semaines</w:t>
            </w:r>
          </w:p>
        </w:tc>
      </w:tr>
      <w:tr>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2. Distribution</w:t>
            </w:r>
          </w:p>
        </w:tc>
        <w:tc>
          <w:tcPr>
            <w:tcW w:type="dxa" w:w="356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Channel manager, plans tarifaires saisonniers et restrictions, confirmations par email, non-présentations</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RG-RES-13 à 15, RG-REC-09</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D-06, D-08</w:t>
            </w:r>
          </w:p>
        </w:tc>
        <w:tc>
          <w:tcPr>
            <w:tcW w:type="dxa" w:w="173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6 à 8 semaines</w:t>
            </w:r>
          </w:p>
        </w:tc>
      </w:tr>
      <w:tr>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3. Paiement</w:t>
            </w:r>
          </w:p>
        </w:tc>
        <w:tc>
          <w:tcPr>
            <w:tcW w:type="dxa" w:w="356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Terminaux et paiement en ligne, acomptes en ligne, rapprochement</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RG-ENC-06</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D-04</w:t>
            </w:r>
          </w:p>
        </w:tc>
        <w:tc>
          <w:tcPr>
            <w:tcW w:type="dxa" w:w="173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3 à 4 semaines</w:t>
            </w:r>
          </w:p>
        </w:tc>
      </w:tr>
      <w:tr>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 Administration</w:t>
            </w:r>
          </w:p>
        </w:tc>
        <w:tc>
          <w:tcPr>
            <w:tcW w:type="dxa" w:w="356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depuis la v2.0 : comptes, chambres et menu à l’écran. Reste : verrouillage de compte, PDF et envoi des factures, rapports financiers, changement de chambre d’un client installé, mode dégradé automatique</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RG-ADM-02, RG-FAC-15, RG-RAP-04, RG-PLA-05</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w:t>
            </w:r>
          </w:p>
        </w:tc>
        <w:tc>
          <w:tcPr>
            <w:tcW w:type="dxa" w:w="173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3 à 4 semaines (v2.1, au lieu de 4 à 5)</w:t>
            </w:r>
          </w:p>
        </w:tc>
      </w:tr>
      <w:tr>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5. Mobilité</w:t>
            </w:r>
          </w:p>
        </w:tc>
        <w:tc>
          <w:tcPr>
            <w:tcW w:type="dxa" w:w="356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depuis la v2.0 : temps réel, application mobile en ligne. Reste : mode hors ligne avec photos, notifications, arabe RTL dans l’application native, distribution (D-11)</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RG-MEN-05, RG-MEN-04</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D-11</w:t>
            </w:r>
          </w:p>
        </w:tc>
        <w:tc>
          <w:tcPr>
            <w:tcW w:type="dxa" w:w="173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3 à 4 semaines (v2.1, au lieu de 5 à 6)</w:t>
            </w:r>
          </w:p>
        </w:tc>
      </w:tr>
      <w:tr>
        <w:tc>
          <w:tcPr>
            <w:tcW w:type="dxa" w:w="144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6. Mise en production</w:t>
            </w:r>
          </w:p>
        </w:tc>
        <w:tc>
          <w:tcPr>
            <w:tcW w:type="dxa" w:w="356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Hébergement, sauvegarde continue, supervision, chiffrement des secrets MFA, test de charge, test d’intrusion, audit d’accessibilité, automatisation des vérifications manuelles</w:t>
            </w:r>
          </w:p>
        </w:tc>
        <w:tc>
          <w:tcPr>
            <w:tcW w:type="dxa" w:w="173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Sections 5.3, 7.1, 8.2</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D-07</w:t>
            </w:r>
          </w:p>
        </w:tc>
        <w:tc>
          <w:tcPr>
            <w:tcW w:type="dxa" w:w="173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3 à 4 semaines, en partie en parallèle</w:t>
            </w:r>
          </w:p>
        </w:tc>
      </w:tr>
    </w:tbl>
    <w:p>
      <w:pPr>
        <w:spacing w:after="80"/>
      </w:pPr>
    </w:p>
    <w:p>
      <w:pPr>
        <w:spacing w:after="120"/>
      </w:pPr>
      <w:r>
        <w:t xml:space="preserve">Avec deux équipes en parallèle, ces lots représentent environ 3 à 4 mois (4 à 5 en v2.0). Suivent la recette utilisateurs (3 à 4 semaines), la migration (2 semaines), la formation (2 semaines) et le déploiement progressif (3 semaines), comme prévu en v1.1.</w:t>
      </w:r>
    </w:p>
    <w:p>
      <w:pPr>
        <w:pStyle w:val="Heading2"/>
      </w:pPr>
      <w:r>
        <w:t xml:space="preserve">9.2 Versions suivantes</w:t>
      </w:r>
    </w:p>
    <w:p>
      <w:pPr>
        <w:pStyle w:val="ListParagraph"/>
        <w:numPr>
          <w:ilvl w:val="0"/>
          <w:numId w:val="2"/>
        </w:numPr>
        <w:spacing w:after="60"/>
      </w:pPr>
      <w:r>
        <w:rPr>
          <w:b/>
          <w:bCs/>
        </w:rPr>
        <w:t xml:space="preserve">V2</w:t>
      </w:r>
      <w:r>
        <w:t xml:space="preserve"> : restauration complète et carte dynamique, personnel, fidélité, SMS, clés électroniques, tarifs selon l’occupation, avoirs partiels, tableaux de bord personnalisables, historique des mises en maintenance.</w:t>
      </w:r>
    </w:p>
    <w:p>
      <w:pPr>
        <w:pStyle w:val="ListParagraph"/>
        <w:numPr>
          <w:ilvl w:val="0"/>
          <w:numId w:val="2"/>
        </w:numPr>
        <w:spacing w:after="60"/>
      </w:pPr>
      <w:r>
        <w:rPr>
          <w:b/>
          <w:bCs/>
        </w:rPr>
        <w:t xml:space="preserve">V3</w:t>
      </w:r>
      <w:r>
        <w:t xml:space="preserve"> : analyses prédictives, ouverture aux partenaires (clés d’API, webhooks), métriques avancées. Le scan QR, prévu en V3, est livré dans l’application mobile pour les chambres (v2.1).</w:t>
      </w:r>
    </w:p>
    <w:p>
      <w:pPr>
        <w:pStyle w:val="Heading2"/>
      </w:pPr>
      <w:r>
        <w:t xml:space="preserve">9.3 Budget</w:t>
      </w:r>
    </w:p>
    <w:p>
      <w:pPr>
        <w:spacing w:after="120"/>
      </w:pPr>
      <w:r>
        <w:t xml:space="preserve">Le budget couvre le développement des lots restants, l’infrastructure, les coûts récurrents des tiers (channel manager, commissions du prestataire de paiement, envoi de SMS, hébergement, éventuelle certification, comptes développeur des magasins d’applications), la formation, la maintenance et le support. La marge pour imprévus proposée est de </w:t>
      </w:r>
      <w:r>
        <w:rPr>
          <w:b/>
          <w:bCs/>
        </w:rPr>
        <w:t xml:space="preserve">15 à 20 %</w:t>
      </w:r>
      <w:r>
        <w:t xml:space="preserve"> (décision D-05).</w:t>
      </w:r>
    </w:p>
    <w:p>
      <w:pPr>
        <w:pStyle w:val="Heading2"/>
      </w:pPr>
      <w:r>
        <w:t xml:space="preserve">9.4 Risques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084"/>
        <w:gridCol w:w="3663"/>
      </w:tblGrid>
      <w:tr>
        <w:trPr>
          <w:tblHeader/>
        </w:trPr>
        <w:tc>
          <w:tcPr>
            <w:tcW w:type="dxa" w:w="2891"/>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Risque</w:t>
            </w:r>
          </w:p>
        </w:tc>
        <w:tc>
          <w:tcPr>
            <w:tcW w:type="dxa" w:w="3084"/>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Impact</w:t>
            </w:r>
          </w:p>
        </w:tc>
        <w:tc>
          <w:tcPr>
            <w:tcW w:type="dxa" w:w="3663"/>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Parade</w:t>
            </w:r>
          </w:p>
        </w:tc>
      </w:tr>
      <w:tr>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Règles fiscales non arrêtées</w:t>
            </w:r>
          </w:p>
        </w:tc>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Mise en service de la facturation impossible</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Décisions D-01 et D-03 en priorité ; paramètres déjà modifiables sans développement</w:t>
            </w:r>
          </w:p>
        </w:tc>
      </w:tr>
      <w:tr>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Raccordement au channel manager plus long que prévu (certification, API du tiers)</w:t>
            </w:r>
          </w:p>
        </w:tc>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Distribution en ligne retardée</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Choix précoce (D-06) ; période transitoire avec double saisie encadrée</w:t>
            </w:r>
          </w:p>
        </w:tc>
      </w:tr>
      <w:tr>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Passage à plusieurs instances du serveur web</w:t>
            </w:r>
          </w:p>
        </w:tc>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Déconnexions intempestives</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Traité (v2.1) : délai de grâce de 30 s sur le rafraîchissement de session, testé</w:t>
            </w:r>
          </w:p>
        </w:tc>
      </w:tr>
      <w:tr>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Passage à plusieurs instances de l’API (v2.1)</w:t>
            </w:r>
          </w:p>
        </w:tc>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Mises à jour en direct manquées sur certains postes : les événements restent en mémoire d’une instance</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Une seule instance tant que le volume le permet ; au-delà, diffusion des événements via PostgreSQL (LISTEN/NOTIFY) ou Redis</w:t>
            </w:r>
          </w:p>
        </w:tc>
      </w:tr>
      <w:tr>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Hébergement gratuit de la démonstration (v2.1)</w:t>
            </w:r>
          </w:p>
        </w:tc>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Lenteur au réveil, pas de sauvegarde ni de garantie de disponibilité</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Réservé à la démonstration ; production selon D-07</w:t>
            </w:r>
          </w:p>
        </w:tc>
      </w:tr>
      <w:tr>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Secrets MFA en clair (v2.1)</w:t>
            </w:r>
          </w:p>
        </w:tc>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Contournement de la double authentification en cas de fuite de la base</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Chiffrement avant la mise en service (lot 6)</w:t>
            </w:r>
          </w:p>
        </w:tc>
      </w:tr>
      <w:tr>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Mode hors ligne</w:t>
            </w:r>
          </w:p>
        </w:tc>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Conflits entre modifications</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Périmètre limité aux états de chambre, règles de conflit de la v1.1</w:t>
            </w:r>
          </w:p>
        </w:tc>
      </w:tr>
      <w:tr>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Adoption par le personnel</w:t>
            </w:r>
          </w:p>
        </w:tc>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Retour aux anciens outils</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Formation par profil, utilisateurs avancés, parcours déjà testés en arabe et sur téléphone, application mobile</w:t>
            </w:r>
          </w:p>
        </w:tc>
      </w:tr>
      <w:tr>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Qualité des données migrées</w:t>
            </w:r>
          </w:p>
        </w:tc>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Clients en double, historique incomplet</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Migration de test, contrôles de cohérence, validation par les référents</w:t>
            </w:r>
          </w:p>
        </w:tc>
      </w:tr>
      <w:tr>
        <w:tc>
          <w:tcPr>
            <w:tcW w:type="dxa" w:w="2891"/>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Vulnérabilité non détectée</w:t>
            </w:r>
          </w:p>
        </w:tc>
        <w:tc>
          <w:tcPr>
            <w:tcW w:type="dxa" w:w="3084"/>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Fuite de données personnelles</w:t>
            </w:r>
          </w:p>
        </w:tc>
        <w:tc>
          <w:tcPr>
            <w:tcW w:type="dxa" w:w="3663"/>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 d’intrusion avant mise en service, dépendances maintenues à jour</w:t>
            </w:r>
          </w:p>
        </w:tc>
      </w:tr>
    </w:tbl>
    <w:p>
      <w:pPr>
        <w:pStyle w:val="Heading1"/>
      </w:pPr>
      <w:r>
        <w:t xml:space="preserve">10. Mise en œuvre</w:t>
      </w:r>
    </w:p>
    <w:p>
      <w:pPr>
        <w:pStyle w:val="Heading2"/>
      </w:pPr>
      <w:r>
        <w:t xml:space="preserve">10.1 Migration des données</w:t>
      </w:r>
    </w:p>
    <w:p>
      <w:pPr>
        <w:pStyle w:val="ListParagraph"/>
        <w:numPr>
          <w:ilvl w:val="0"/>
          <w:numId w:val="2"/>
        </w:numPr>
        <w:spacing w:after="60"/>
      </w:pPr>
      <w:r>
        <w:rPr>
          <w:b/>
          <w:bCs/>
        </w:rPr>
        <w:t xml:space="preserve">Clients</w:t>
      </w:r>
      <w:r>
        <w:t xml:space="preserve"> : reprise avec dédoublonnage (nom et email), contrôle des nationalités et segments ; les clients inactifs au-delà de la durée de conservation ne sont pas repris.</w:t>
      </w:r>
    </w:p>
    <w:p>
      <w:pPr>
        <w:pStyle w:val="ListParagraph"/>
        <w:numPr>
          <w:ilvl w:val="0"/>
          <w:numId w:val="2"/>
        </w:numPr>
        <w:spacing w:after="60"/>
      </w:pPr>
      <w:r>
        <w:rPr>
          <w:b/>
          <w:bCs/>
        </w:rPr>
        <w:t xml:space="preserve">Réservations à venir</w:t>
      </w:r>
      <w:r>
        <w:t xml:space="preserve"> : reprises avec leur prix d’origine ; chaque import est contrôlé par les règles de disponibilité (un conflit est signalé, jamais forcé).</w:t>
      </w:r>
    </w:p>
    <w:p>
      <w:pPr>
        <w:pStyle w:val="ListParagraph"/>
        <w:numPr>
          <w:ilvl w:val="0"/>
          <w:numId w:val="2"/>
        </w:numPr>
        <w:spacing w:after="60"/>
      </w:pPr>
      <w:r>
        <w:rPr>
          <w:b/>
          <w:bCs/>
        </w:rPr>
        <w:t xml:space="preserve">Séjours en cours</w:t>
      </w:r>
      <w:r>
        <w:t xml:space="preserve"> : repris au moment de la bascule, chambre attribuée, compte du séjour ouvert à zéro avec report du solde de l’ancien système.</w:t>
      </w:r>
    </w:p>
    <w:p>
      <w:pPr>
        <w:pStyle w:val="ListParagraph"/>
        <w:numPr>
          <w:ilvl w:val="0"/>
          <w:numId w:val="2"/>
        </w:numPr>
        <w:spacing w:after="60"/>
      </w:pPr>
      <w:r>
        <w:rPr>
          <w:b/>
          <w:bCs/>
        </w:rPr>
        <w:t xml:space="preserve">Factures passées</w:t>
      </w:r>
      <w:r>
        <w:t xml:space="preserve"> : elles ne sont pas importées dans la chaîne du nouveau système, qui commence sa numérotation à la mise en service ; l’ancien système est conservé en lecture seule pour la durée légale d’archivage.</w:t>
      </w:r>
    </w:p>
    <w:p>
      <w:pPr>
        <w:pStyle w:val="ListParagraph"/>
        <w:numPr>
          <w:ilvl w:val="0"/>
          <w:numId w:val="2"/>
        </w:numPr>
        <w:spacing w:after="60"/>
      </w:pPr>
      <w:r>
        <w:rPr>
          <w:b/>
          <w:bCs/>
        </w:rPr>
        <w:t xml:space="preserve">Aucune donnée de carte</w:t>
      </w:r>
      <w:r>
        <w:t xml:space="preserve"> n’est reprise.</w:t>
      </w:r>
    </w:p>
    <w:p>
      <w:pPr>
        <w:pStyle w:val="ListParagraph"/>
        <w:numPr>
          <w:ilvl w:val="0"/>
          <w:numId w:val="2"/>
        </w:numPr>
        <w:spacing w:after="60"/>
      </w:pPr>
      <w:r>
        <w:t xml:space="preserve">Déroulement : migration de test, contrôle d’intégrité et validation par les référents, puis migration définitive en période creuse.</w:t>
      </w:r>
    </w:p>
    <w:p>
      <w:pPr>
        <w:pStyle w:val="Heading2"/>
      </w:pPr>
      <w:r>
        <w:t xml:space="preserve">10.2 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156"/>
        <w:gridCol w:w="6555"/>
      </w:tblGrid>
      <w:tr>
        <w:trPr>
          <w:tblHeader/>
        </w:trPr>
        <w:tc>
          <w:tcPr>
            <w:tcW w:type="dxa" w:w="1927"/>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Profil</w:t>
            </w:r>
          </w:p>
        </w:tc>
        <w:tc>
          <w:tcPr>
            <w:tcW w:type="dxa" w:w="1156"/>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Durée</w:t>
            </w:r>
          </w:p>
        </w:tc>
        <w:tc>
          <w:tcPr>
            <w:tcW w:type="dxa" w:w="655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Contenu</w:t>
            </w:r>
          </w:p>
        </w:tc>
      </w:tr>
      <w:tr>
        <w:tc>
          <w:tcPr>
            <w:tcW w:type="dxa" w:w="192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Tous</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2 h</w:t>
            </w:r>
          </w:p>
        </w:tc>
        <w:tc>
          <w:tcPr>
            <w:tcW w:type="dxa" w:w="655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Connexion et double authentification, menu, langue, tableau de bord, application mobile</w:t>
            </w:r>
          </w:p>
        </w:tc>
      </w:tr>
      <w:tr>
        <w:tc>
          <w:tcPr>
            <w:tcW w:type="dxa" w:w="192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Réception</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 h</w:t>
            </w:r>
          </w:p>
        </w:tc>
        <w:tc>
          <w:tcPr>
            <w:tcW w:type="dxa" w:w="655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Réservations, planning, arrivées, compte du séjour, encaissements, factures, départs</w:t>
            </w:r>
          </w:p>
        </w:tc>
      </w:tr>
      <w:tr>
        <w:tc>
          <w:tcPr>
            <w:tcW w:type="dxa" w:w="192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Ménage</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1 h 30</w:t>
            </w:r>
          </w:p>
        </w:tc>
        <w:tc>
          <w:tcPr>
            <w:tcW w:type="dxa" w:w="655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Application ou écran du ménage sur téléphone, priorités, changements d’état, scan QR</w:t>
            </w:r>
          </w:p>
        </w:tc>
      </w:tr>
      <w:tr>
        <w:tc>
          <w:tcPr>
            <w:tcW w:type="dxa" w:w="192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Restauration</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1 h</w:t>
            </w:r>
          </w:p>
        </w:tc>
        <w:tc>
          <w:tcPr>
            <w:tcW w:type="dxa" w:w="655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Facturation à la chambre depuis l’écran du restaurant</w:t>
            </w:r>
          </w:p>
        </w:tc>
      </w:tr>
      <w:tr>
        <w:tc>
          <w:tcPr>
            <w:tcW w:type="dxa" w:w="192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Comptabilité</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4 h</w:t>
            </w:r>
          </w:p>
        </w:tc>
        <w:tc>
          <w:tcPr>
            <w:tcW w:type="dxa" w:w="655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Factures et avoirs, contrôle d’intégrité, export, paramètres</w:t>
            </w:r>
          </w:p>
        </w:tc>
      </w:tr>
      <w:tr>
        <w:tc>
          <w:tcPr>
            <w:tcW w:type="dxa" w:w="1927"/>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Direction et IT</w:t>
            </w:r>
          </w:p>
        </w:tc>
        <w:tc>
          <w:tcPr>
            <w:tcW w:type="dxa" w:w="1156"/>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6 h</w:t>
            </w:r>
          </w:p>
        </w:tc>
        <w:tc>
          <w:tcPr>
            <w:tcW w:type="dxa" w:w="6555"/>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Rapports, dérogations, effacement RGPD, administration des comptes, du menu et des chambres, exploitation</w:t>
            </w:r>
          </w:p>
        </w:tc>
      </w:tr>
    </w:tbl>
    <w:p>
      <w:pPr>
        <w:spacing w:after="80"/>
      </w:pPr>
    </w:p>
    <w:p>
      <w:pPr>
        <w:spacing w:after="120"/>
      </w:pPr>
      <w:r>
        <w:t xml:space="preserve">La formation se fait sur l’environnement de démonstration, qui contient une journée type réaliste (clients présents, arrivées et départs, chambres à nettoyer, maintenance, départ en retard) et se réinitialise en une commande. Une démonstration est également accessible en ligne (section 5.4).</w:t>
      </w:r>
    </w:p>
    <w:p>
      <w:pPr>
        <w:pStyle w:val="Heading2"/>
      </w:pPr>
      <w:r>
        <w:t xml:space="preserve">10.3 Déploiement</w:t>
      </w:r>
    </w:p>
    <w:p>
      <w:pPr>
        <w:spacing w:after="120"/>
      </w:pPr>
      <w:r>
        <w:t xml:space="preserve">Déploiement progressif en trois semaines, comme prévu : ancien et nouveau systèmes en parallèle, puis nouveau système principal, puis bascule complète. Pendant la période parallèle, </w:t>
      </w:r>
      <w:r>
        <w:rPr>
          <w:b/>
          <w:bCs/>
        </w:rPr>
        <w:t xml:space="preserve">un seul système est raccordé au channel manager</w:t>
      </w:r>
      <w:r>
        <w:t xml:space="preserve"> et </w:t>
      </w:r>
      <w:r>
        <w:rPr>
          <w:b/>
          <w:bCs/>
        </w:rPr>
        <w:t xml:space="preserve">un seul émet les factures</w:t>
      </w:r>
      <w:r>
        <w:t xml:space="preserve">, pour éviter surréservations et doubles numérotations. L’application mobile est distribuée selon la décision D-11.</w:t>
      </w:r>
    </w:p>
    <w:p>
      <w:pPr>
        <w:pStyle w:val="Heading2"/>
      </w:pPr>
      <w:r>
        <w:t xml:space="preserve">10.4 Gouvernance</w:t>
      </w:r>
    </w:p>
    <w:p>
      <w:pPr>
        <w:spacing w:after="120"/>
      </w:pPr>
      <w:r>
        <w:t xml:space="preserve">Chef de projet, responsable technique, référents métier (réception, ménage, restauration, comptabilité), équipe de développement et formateurs. Toute modification d’une règle de gestion fait l’objet d’une demande écrite, d’une mise à jour de ce document et d’un test associé.</w:t>
      </w:r>
    </w:p>
    <w:p>
      <w:pPr>
        <w:pStyle w:val="Heading2"/>
      </w:pPr>
      <w:r>
        <w:t xml:space="preserve">10.5 Livrables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Livrable</w:t>
            </w:r>
          </w:p>
        </w:tc>
        <w:tc>
          <w:tcPr>
            <w:tcW w:type="dxa" w:w="4819"/>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État</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Code source documenté (API, application web, application mobile)</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 pour le socle ; application mobile ajoutée (v2.1)</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Contrat OpenAPI</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 contrôlé en intégration continue</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Tests automatisés (API et navigateur)</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Livrés : 66 tests API, 9 suites navigateur (v2.1)</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Conteneurs et intégration continue</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Livrés</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Base de démonstration avec journée type</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Livrée ; démonstration en ligne (v2.1)</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Application Android de démonstration (APK)</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Livrée (v2.1), signature de développement</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Charte graphique HOTELIA (couleurs, typographie, composants, écrans)</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bCs/>
                <w:color w:val="15803D"/>
              </w:rPr>
              <w:t xml:space="preserve">Livrée (v2.1)</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Documentation technique d’installation et de déploiement</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Livrée (fichiers README, configuration Render et Vercel) ; dossier d’exploitation à produire</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Manuels utilisateurs et supports de formation</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produire</w:t>
            </w:r>
          </w:p>
        </w:tc>
      </w:tr>
      <w:tr>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Procès-verbaux de recette, rapports de charge et d’intrusion</w:t>
            </w:r>
          </w:p>
        </w:tc>
        <w:tc>
          <w:tcPr>
            <w:tcW w:type="dxa" w:w="4819"/>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À produire</w:t>
            </w:r>
          </w:p>
        </w:tc>
      </w:tr>
    </w:tbl>
    <w:p>
      <w:pPr>
        <w:pStyle w:val="Heading1"/>
      </w:pPr>
      <w:r>
        <w:t xml:space="preserve">11. Validation</w:t>
      </w:r>
    </w:p>
    <w:p>
      <w:pPr>
        <w:spacing w:after="120"/>
      </w:pPr>
      <w:r>
        <w:t xml:space="preserve">La validation de la version 2.1 vaut accord sur les règles de gestion, sur les décisions actées (section 3.1, dont DA-10 à DA-12) et sur l’échéancier des décisions ouvertes (section 3.2, dont D-11).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2698"/>
        <w:gridCol w:w="1927"/>
        <w:gridCol w:w="2315"/>
      </w:tblGrid>
      <w:tr>
        <w:trPr>
          <w:tblHeader/>
        </w:trPr>
        <w:tc>
          <w:tcPr>
            <w:tcW w:type="dxa" w:w="2698"/>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Fonction</w:t>
            </w:r>
          </w:p>
        </w:tc>
        <w:tc>
          <w:tcPr>
            <w:tcW w:type="dxa" w:w="2698"/>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Nom</w:t>
            </w:r>
          </w:p>
        </w:tc>
        <w:tc>
          <w:tcPr>
            <w:tcW w:type="dxa" w:w="1927"/>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Date</w:t>
            </w:r>
          </w:p>
        </w:tc>
        <w:tc>
          <w:tcPr>
            <w:tcW w:type="dxa" w:w="2315"/>
            <w:tcBorders>
              <w:top w:val="single" w:color="BFC5CE" w:sz="4"/>
              <w:left w:val="single" w:color="BFC5CE" w:sz="4"/>
              <w:bottom w:val="single" w:color="BFC5CE" w:sz="4"/>
              <w:right w:val="single" w:color="BFC5CE" w:sz="4"/>
            </w:tcBorders>
            <w:shd w:fill="E8EBF0" w:color="auto" w:val="clear"/>
            <w:tcMar>
              <w:top w:type="dxa" w:w="60"/>
              <w:left w:type="dxa" w:w="100"/>
              <w:bottom w:type="dxa" w:w="60"/>
              <w:right w:type="dxa" w:w="100"/>
            </w:tcMar>
          </w:tcPr>
          <w:p>
            <w:r>
              <w:rPr>
                <w:b/>
                <w:bCs/>
              </w:rPr>
              <w:t xml:space="preserve">Signature</w:t>
            </w: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Direction</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tc>
        <w:tc>
          <w:tcPr>
            <w:tcW w:type="dxa" w:w="1927"/>
            <w:tcBorders>
              <w:top w:val="single" w:color="BFC5CE" w:sz="4"/>
              <w:left w:val="single" w:color="BFC5CE" w:sz="4"/>
              <w:bottom w:val="single" w:color="BFC5CE" w:sz="4"/>
              <w:right w:val="single" w:color="BFC5CE" w:sz="4"/>
            </w:tcBorders>
            <w:tcMar>
              <w:top w:type="dxa" w:w="60"/>
              <w:left w:type="dxa" w:w="100"/>
              <w:bottom w:type="dxa" w:w="60"/>
              <w:right w:type="dxa" w:w="100"/>
            </w:tcMar>
          </w:tcPr>
          <w:p/>
        </w:tc>
        <w:tc>
          <w:tcPr>
            <w:tcW w:type="dxa" w:w="2315"/>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Responsable IT</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tc>
        <w:tc>
          <w:tcPr>
            <w:tcW w:type="dxa" w:w="1927"/>
            <w:tcBorders>
              <w:top w:val="single" w:color="BFC5CE" w:sz="4"/>
              <w:left w:val="single" w:color="BFC5CE" w:sz="4"/>
              <w:bottom w:val="single" w:color="BFC5CE" w:sz="4"/>
              <w:right w:val="single" w:color="BFC5CE" w:sz="4"/>
            </w:tcBorders>
            <w:tcMar>
              <w:top w:type="dxa" w:w="60"/>
              <w:left w:type="dxa" w:w="100"/>
              <w:bottom w:type="dxa" w:w="60"/>
              <w:right w:type="dxa" w:w="100"/>
            </w:tcMar>
          </w:tcPr>
          <w:p/>
        </w:tc>
        <w:tc>
          <w:tcPr>
            <w:tcW w:type="dxa" w:w="2315"/>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Référent réception</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tc>
        <w:tc>
          <w:tcPr>
            <w:tcW w:type="dxa" w:w="1927"/>
            <w:tcBorders>
              <w:top w:val="single" w:color="BFC5CE" w:sz="4"/>
              <w:left w:val="single" w:color="BFC5CE" w:sz="4"/>
              <w:bottom w:val="single" w:color="BFC5CE" w:sz="4"/>
              <w:right w:val="single" w:color="BFC5CE" w:sz="4"/>
            </w:tcBorders>
            <w:tcMar>
              <w:top w:type="dxa" w:w="60"/>
              <w:left w:type="dxa" w:w="100"/>
              <w:bottom w:type="dxa" w:w="60"/>
              <w:right w:type="dxa" w:w="100"/>
            </w:tcMar>
          </w:tcPr>
          <w:p/>
        </w:tc>
        <w:tc>
          <w:tcPr>
            <w:tcW w:type="dxa" w:w="2315"/>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Référent comptabilité</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tc>
        <w:tc>
          <w:tcPr>
            <w:tcW w:type="dxa" w:w="1927"/>
            <w:tcBorders>
              <w:top w:val="single" w:color="BFC5CE" w:sz="4"/>
              <w:left w:val="single" w:color="BFC5CE" w:sz="4"/>
              <w:bottom w:val="single" w:color="BFC5CE" w:sz="4"/>
              <w:right w:val="single" w:color="BFC5CE" w:sz="4"/>
            </w:tcBorders>
            <w:tcMar>
              <w:top w:type="dxa" w:w="60"/>
              <w:left w:type="dxa" w:w="100"/>
              <w:bottom w:type="dxa" w:w="60"/>
              <w:right w:type="dxa" w:w="100"/>
            </w:tcMar>
          </w:tcPr>
          <w:p/>
        </w:tc>
        <w:tc>
          <w:tcPr>
            <w:tcW w:type="dxa" w:w="2315"/>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r>
              <w:t xml:space="preserve">Chef de projet</w:t>
            </w:r>
          </w:p>
        </w:tc>
        <w:tc>
          <w:tcPr>
            <w:tcW w:type="dxa" w:w="2698"/>
            <w:tcBorders>
              <w:top w:val="single" w:color="BFC5CE" w:sz="4"/>
              <w:left w:val="single" w:color="BFC5CE" w:sz="4"/>
              <w:bottom w:val="single" w:color="BFC5CE" w:sz="4"/>
              <w:right w:val="single" w:color="BFC5CE" w:sz="4"/>
            </w:tcBorders>
            <w:tcMar>
              <w:top w:type="dxa" w:w="60"/>
              <w:left w:type="dxa" w:w="100"/>
              <w:bottom w:type="dxa" w:w="60"/>
              <w:right w:type="dxa" w:w="100"/>
            </w:tcMar>
          </w:tcPr>
          <w:p/>
        </w:tc>
        <w:tc>
          <w:tcPr>
            <w:tcW w:type="dxa" w:w="1927"/>
            <w:tcBorders>
              <w:top w:val="single" w:color="BFC5CE" w:sz="4"/>
              <w:left w:val="single" w:color="BFC5CE" w:sz="4"/>
              <w:bottom w:val="single" w:color="BFC5CE" w:sz="4"/>
              <w:right w:val="single" w:color="BFC5CE" w:sz="4"/>
            </w:tcBorders>
            <w:tcMar>
              <w:top w:type="dxa" w:w="60"/>
              <w:left w:type="dxa" w:w="100"/>
              <w:bottom w:type="dxa" w:w="60"/>
              <w:right w:type="dxa" w:w="100"/>
            </w:tcMar>
          </w:tcPr>
          <w:p/>
        </w:tc>
        <w:tc>
          <w:tcPr>
            <w:tcW w:type="dxa" w:w="2315"/>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B8492"/>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B8492"/>
        <w:sz w:val="16"/>
        <w:szCs w:val="16"/>
      </w:rPr>
      <w:t xml:space="preserve">Cahier des charges PMS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0D182A"/>
      <w:sz w:val="40"/>
      <w:szCs w:val="40"/>
    </w:rPr>
  </w:style>
  <w:style w:type="paragraph" w:styleId="Heading1">
    <w:name w:val="Heading 1"/>
    <w:basedOn w:val="Normal"/>
    <w:next w:val="Normal"/>
    <w:qFormat/>
    <w:pPr>
      <w:keepNext/>
      <w:spacing w:after="160" w:before="360"/>
      <w:outlineLvl w:val="0"/>
    </w:pPr>
    <w:rPr>
      <w:b/>
      <w:bCs/>
      <w:color w:val="0D182A"/>
      <w:sz w:val="30"/>
      <w:szCs w:val="30"/>
    </w:rPr>
  </w:style>
  <w:style w:type="paragraph" w:styleId="Heading2">
    <w:name w:val="Heading 2"/>
    <w:basedOn w:val="Normal"/>
    <w:next w:val="Normal"/>
    <w:qFormat/>
    <w:pPr>
      <w:keepNext/>
      <w:spacing w:after="120" w:before="240"/>
      <w:outlineLvl w:val="1"/>
    </w:pPr>
    <w:rPr>
      <w:b/>
      <w:bCs/>
      <w:color w:val="0D182A"/>
      <w:sz w:val="24"/>
      <w:szCs w:val="24"/>
    </w:rPr>
  </w:style>
  <w:style w:type="paragraph" w:styleId="Heading3">
    <w:name w:val="Heading 3"/>
    <w:basedOn w:val="Normal"/>
    <w:next w:val="Normal"/>
    <w:qFormat/>
    <w:pPr>
      <w:keepNext/>
      <w:spacing w:after="100" w:before="200"/>
      <w:outlineLvl w:val="2"/>
    </w:pPr>
    <w:rPr>
      <w:b/>
      <w:bCs/>
      <w:color w:val="B8912A"/>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Système de gestion hôtelière (v2.1)</dc:title>
  <dc:creator>Marwen Bannour</dc:creator>
  <cp:lastModifiedBy>Un-named</cp:lastModifiedBy>
  <cp:revision>1</cp:revision>
  <dcterms:created xsi:type="dcterms:W3CDTF">2026-10-10T12:21:37.497Z</dcterms:created>
  <dcterms:modified xsi:type="dcterms:W3CDTF">2026-10-10T12:21:37.498Z</dcterms:modified>
</cp:coreProperties>
</file>

<file path=docProps/custom.xml><?xml version="1.0" encoding="utf-8"?>
<Properties xmlns="http://schemas.openxmlformats.org/officeDocument/2006/custom-properties" xmlns:vt="http://schemas.openxmlformats.org/officeDocument/2006/docPropsVTypes"/>
</file>