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/>
        <w:rPr/>
      </w:pPr>
      <w:r>
        <w:t xml:space="preserve">Assignment01</w:t>
      </w:r>
      <w:r/>
    </w:p>
    <w:p>
      <w:pPr>
        <w:pStyle w:val="729"/>
        <w:pBdr/>
        <w:spacing/>
        <w:ind/>
        <w:rPr/>
      </w:pPr>
      <w:r>
        <w:rPr>
          <w:rStyle w:val="747"/>
        </w:rPr>
        <w:t xml:space="preserve">library</w:t>
      </w:r>
      <w:r>
        <w:rPr>
          <w:rStyle w:val="760"/>
        </w:rPr>
        <w:t xml:space="preserve">(ggplot2)</w:t>
      </w:r>
      <w:r>
        <w:br/>
      </w:r>
      <w:r>
        <w:rPr>
          <w:rStyle w:val="747"/>
        </w:rPr>
        <w:t xml:space="preserve">library</w:t>
      </w:r>
      <w:r>
        <w:rPr>
          <w:rStyle w:val="760"/>
        </w:rPr>
        <w:t xml:space="preserve">(kableExtra)</w:t>
      </w:r>
      <w:r/>
    </w:p>
    <w:p>
      <w:pPr>
        <w:pStyle w:val="729"/>
        <w:pBdr/>
        <w:spacing/>
        <w:ind/>
        <w:rPr/>
      </w:pPr>
      <w:r>
        <w:rPr>
          <w:rStyle w:val="760"/>
        </w:rPr>
        <w:t xml:space="preserve">mydata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read.csv</w:t>
      </w:r>
      <w:r>
        <w:rPr>
          <w:rStyle w:val="760"/>
        </w:rPr>
        <w:t xml:space="preserve">(</w:t>
      </w:r>
      <w:r>
        <w:rPr>
          <w:rStyle w:val="738"/>
        </w:rPr>
        <w:t xml:space="preserve">"../data/mydata.csv"</w:t>
      </w:r>
      <w:r>
        <w:rPr>
          <w:rStyle w:val="760"/>
        </w:rPr>
        <w:t xml:space="preserve">)</w:t>
      </w:r>
      <w:r/>
    </w:p>
    <w:p>
      <w:pPr>
        <w:pStyle w:val="693"/>
        <w:pBdr/>
        <w:spacing/>
        <w:ind/>
        <w:rPr/>
      </w:pPr>
      <w:r/>
      <w:bookmarkStart w:id="20" w:name="question-1"/>
      <w:r>
        <w:t xml:space="preserve">Question 1</w:t>
      </w:r>
      <w:r/>
    </w:p>
    <w:p>
      <w:pPr>
        <w:pStyle w:val="682"/>
        <w:pBdr/>
        <w:spacing/>
        <w:ind/>
        <w:rPr/>
      </w:pPr>
      <w:r>
        <w:t xml:space="preserve">The dataset comprises longitudinal data from a sample of 227 participants suffering rom in</w:t>
      </w:r>
      <w:r>
        <w:t xml:space="preserve">somnia complaints who completed repeated assessments of insomnia severity, anxiety, and depression at three distinct occasions: baseline, 6 weeks (post-treatment), and 6 months (follow-up). Each participant was randomized to one of three groups: (a) ACT-I;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= 76, (b) CBT-I;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= 76, or (c) Wait List;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= 75.</w:t>
      </w:r>
      <w:r/>
    </w:p>
    <w:p>
      <w:pPr>
        <w:pStyle w:val="681"/>
        <w:pBdr/>
        <w:spacing/>
        <w:ind/>
        <w:rPr/>
      </w:pPr>
      <w:r>
        <w:t xml:space="preserve">In total, there were 173 (76%) female participants and the mean age was 40.6 years (SD = 10.2).</w:t>
      </w:r>
      <w:bookmarkEnd w:id="20"/>
      <w:r/>
    </w:p>
    <w:p>
      <w:pPr>
        <w:pStyle w:val="693"/>
        <w:pBdr/>
        <w:spacing/>
        <w:ind/>
        <w:rPr/>
      </w:pPr>
      <w:r/>
      <w:bookmarkStart w:id="21" w:name="question-2"/>
      <w:r>
        <w:t xml:space="preserve">Question 2</w:t>
      </w:r>
      <w:r/>
    </w:p>
    <w:p>
      <w:pPr>
        <w:pStyle w:val="682"/>
        <w:pBdr/>
        <w:spacing/>
        <w:ind/>
        <w:rPr/>
      </w:pPr>
      <w:r>
        <w:t xml:space="preserve">For the time varying variables we can look at Insomnia Severity. Higher scores mean more insomnia symptoms.</w:t>
      </w:r>
      <w:bookmarkEnd w:id="21"/>
      <w:r/>
    </w:p>
    <w:p>
      <w:pPr>
        <w:pStyle w:val="693"/>
        <w:pBdr/>
        <w:spacing/>
        <w:ind/>
        <w:rPr/>
      </w:pPr>
      <w:r/>
      <w:bookmarkStart w:id="25" w:name="question-3"/>
      <w:r>
        <w:t xml:space="preserve">Question 3</w:t>
      </w:r>
      <w:r/>
    </w:p>
    <w:p>
      <w:pPr>
        <w:pStyle w:val="729"/>
        <w:pBdr/>
        <w:spacing/>
        <w:ind/>
        <w:rPr/>
      </w:pPr>
      <w:r>
        <w:rPr>
          <w:rStyle w:val="760"/>
        </w:rPr>
        <w:t xml:space="preserve">sel_data </w:t>
      </w:r>
      <w:r>
        <w:rPr>
          <w:rStyle w:val="746"/>
        </w:rPr>
        <w:t xml:space="preserve">&lt;-</w:t>
      </w:r>
      <w:r>
        <w:rPr>
          <w:rStyle w:val="760"/>
        </w:rPr>
        <w:t xml:space="preserve"> mydata[, </w:t>
      </w:r>
      <w:r>
        <w:rPr>
          <w:rStyle w:val="747"/>
        </w:rPr>
        <w:t xml:space="preserve">c</w:t>
      </w:r>
      <w:r>
        <w:rPr>
          <w:rStyle w:val="760"/>
        </w:rPr>
        <w:t xml:space="preserve">(</w:t>
      </w:r>
      <w:r>
        <w:rPr>
          <w:rStyle w:val="738"/>
        </w:rPr>
        <w:t xml:space="preserve">"record_id"</w:t>
      </w:r>
      <w:r>
        <w:rPr>
          <w:rStyle w:val="760"/>
        </w:rPr>
        <w:t xml:space="preserve">, </w:t>
      </w:r>
      <w:r>
        <w:rPr>
          <w:rStyle w:val="738"/>
        </w:rPr>
        <w:t xml:space="preserve">"redcap_event_name"</w:t>
      </w:r>
      <w:r>
        <w:rPr>
          <w:rStyle w:val="760"/>
        </w:rPr>
        <w:t xml:space="preserve">, </w:t>
      </w:r>
      <w:r>
        <w:rPr>
          <w:rStyle w:val="738"/>
        </w:rPr>
        <w:t xml:space="preserve">"insomina_severity"</w:t>
      </w:r>
      <w:r>
        <w:rPr>
          <w:rStyle w:val="760"/>
        </w:rPr>
        <w:t xml:space="preserve">)]</w:t>
      </w:r>
      <w:r>
        <w:br/>
      </w:r>
      <w:r>
        <w:br/>
      </w:r>
      <w:r>
        <w:br/>
      </w:r>
      <w:r>
        <w:rPr>
          <w:rStyle w:val="760"/>
        </w:rPr>
        <w:t xml:space="preserve">mydata2_wide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reshape</w:t>
      </w:r>
      <w:r>
        <w:rPr>
          <w:rStyle w:val="760"/>
        </w:rPr>
        <w:t xml:space="preserve">(sel_data,</w:t>
      </w:r>
      <w:r>
        <w:br/>
      </w:r>
      <w:r>
        <w:rPr>
          <w:rStyle w:val="760"/>
        </w:rPr>
        <w:t xml:space="preserve">                   </w:t>
      </w:r>
      <w:r>
        <w:rPr>
          <w:rStyle w:val="754"/>
        </w:rPr>
        <w:t xml:space="preserve">timevar =</w:t>
      </w:r>
      <w:r>
        <w:rPr>
          <w:rStyle w:val="760"/>
        </w:rPr>
        <w:t xml:space="preserve"> </w:t>
      </w:r>
      <w:r>
        <w:rPr>
          <w:rStyle w:val="738"/>
        </w:rPr>
        <w:t xml:space="preserve">"redcap_event_name"</w:t>
      </w:r>
      <w:r>
        <w:rPr>
          <w:rStyle w:val="760"/>
        </w:rPr>
        <w:t xml:space="preserve">,</w:t>
      </w:r>
      <w:r>
        <w:br/>
      </w:r>
      <w:r>
        <w:rPr>
          <w:rStyle w:val="760"/>
        </w:rPr>
        <w:t xml:space="preserve">                   </w:t>
      </w:r>
      <w:r>
        <w:rPr>
          <w:rStyle w:val="754"/>
        </w:rPr>
        <w:t xml:space="preserve">idvar =</w:t>
      </w:r>
      <w:r>
        <w:rPr>
          <w:rStyle w:val="760"/>
        </w:rPr>
        <w:t xml:space="preserve"> </w:t>
      </w:r>
      <w:r>
        <w:rPr>
          <w:rStyle w:val="738"/>
        </w:rPr>
        <w:t xml:space="preserve">"record_id"</w:t>
      </w:r>
      <w:r>
        <w:rPr>
          <w:rStyle w:val="760"/>
        </w:rPr>
        <w:t xml:space="preserve">,</w:t>
      </w:r>
      <w:r>
        <w:br/>
      </w:r>
      <w:r>
        <w:rPr>
          <w:rStyle w:val="760"/>
        </w:rPr>
        <w:t xml:space="preserve">                   </w:t>
      </w:r>
      <w:r>
        <w:rPr>
          <w:rStyle w:val="754"/>
        </w:rPr>
        <w:t xml:space="preserve">direction =</w:t>
      </w:r>
      <w:r>
        <w:rPr>
          <w:rStyle w:val="760"/>
        </w:rPr>
        <w:t xml:space="preserve"> </w:t>
      </w:r>
      <w:r>
        <w:rPr>
          <w:rStyle w:val="738"/>
        </w:rPr>
        <w:t xml:space="preserve">"wide"</w:t>
      </w:r>
      <w:r>
        <w:rPr>
          <w:rStyle w:val="760"/>
        </w:rPr>
        <w:t xml:space="preserve">)</w:t>
      </w:r>
      <w:r>
        <w:br/>
      </w:r>
      <w:r>
        <w:br/>
      </w:r>
      <w:r>
        <w:rPr>
          <w:rStyle w:val="760"/>
        </w:rPr>
        <w:t xml:space="preserve">psych</w:t>
      </w:r>
      <w:r>
        <w:rPr>
          <w:rStyle w:val="737"/>
        </w:rPr>
        <w:t xml:space="preserve">::</w:t>
      </w:r>
      <w:r>
        <w:rPr>
          <w:rStyle w:val="747"/>
        </w:rPr>
        <w:t xml:space="preserve">describe</w:t>
      </w:r>
      <w:r>
        <w:rPr>
          <w:rStyle w:val="760"/>
        </w:rPr>
        <w:t xml:space="preserve">(mydata2_wide[, </w:t>
      </w:r>
      <w:r>
        <w:rPr>
          <w:rStyle w:val="747"/>
        </w:rPr>
        <w:t xml:space="preserve">c</w:t>
      </w:r>
      <w:r>
        <w:rPr>
          <w:rStyle w:val="760"/>
        </w:rPr>
        <w:t xml:space="preserve">(</w:t>
      </w:r>
      <w:r>
        <w:rPr>
          <w:rStyle w:val="732"/>
        </w:rPr>
        <w:t xml:space="preserve">2</w:t>
      </w:r>
      <w:r>
        <w:rPr>
          <w:rStyle w:val="760"/>
        </w:rPr>
        <w:t xml:space="preserve">,</w:t>
      </w:r>
      <w:r>
        <w:rPr>
          <w:rStyle w:val="732"/>
        </w:rPr>
        <w:t xml:space="preserve">3</w:t>
      </w:r>
      <w:r>
        <w:rPr>
          <w:rStyle w:val="760"/>
        </w:rPr>
        <w:t xml:space="preserve">,</w:t>
      </w:r>
      <w:r>
        <w:rPr>
          <w:rStyle w:val="732"/>
        </w:rPr>
        <w:t xml:space="preserve">4</w:t>
      </w:r>
      <w:r>
        <w:rPr>
          <w:rStyle w:val="760"/>
        </w:rPr>
        <w:t xml:space="preserve">)])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kable</w:t>
      </w:r>
      <w:r>
        <w:rPr>
          <w:rStyle w:val="760"/>
        </w:rPr>
        <w:t xml:space="preserve">(</w:t>
      </w:r>
      <w:r>
        <w:rPr>
          <w:rStyle w:val="754"/>
        </w:rPr>
        <w:t xml:space="preserve">digits=</w:t>
      </w:r>
      <w:r>
        <w:rPr>
          <w:rStyle w:val="732"/>
        </w:rPr>
        <w:t xml:space="preserve">2</w:t>
      </w:r>
      <w:r>
        <w:rPr>
          <w:rStyle w:val="760"/>
        </w:rPr>
        <w:t xml:space="preserve">)</w:t>
      </w:r>
      <w:r/>
    </w:p>
    <w:tbl>
      <w:tblPr>
        <w:tblStyle w:val="715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957"/>
        <w:gridCol w:w="993"/>
        <w:gridCol w:w="921"/>
        <w:gridCol w:w="957"/>
        <w:gridCol w:w="957"/>
        <w:gridCol w:w="957"/>
        <w:gridCol w:w="957"/>
        <w:gridCol w:w="779"/>
        <w:gridCol w:w="1135"/>
        <w:gridCol w:w="957"/>
      </w:tblGrid>
      <w:tr>
        <w:trPr>
          <w:tblHeader/>
        </w:trPr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rPr/>
            </w:pPr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mean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sd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min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max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range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skew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kurtosis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se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227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19.30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4.08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-0.15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-0.51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0.27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T2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199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12.38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5.82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0.13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-0.40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0.41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T3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191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12.19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6.13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27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0.24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-0.72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0.44</w:t>
            </w:r>
            <w:r/>
          </w:p>
        </w:tc>
      </w:tr>
    </w:tbl>
    <w:p>
      <w:pPr>
        <w:pStyle w:val="729"/>
        <w:pBdr/>
        <w:spacing/>
        <w:ind/>
        <w:rPr/>
      </w:pPr>
      <w:r>
        <w:rPr>
          <w:rStyle w:val="747"/>
        </w:rPr>
        <w:t xml:space="preserve">cor</w:t>
      </w:r>
      <w:r>
        <w:rPr>
          <w:rStyle w:val="760"/>
        </w:rPr>
        <w:t xml:space="preserve">(mydata2_wide[, </w:t>
      </w:r>
      <w:r>
        <w:rPr>
          <w:rStyle w:val="747"/>
        </w:rPr>
        <w:t xml:space="preserve">c</w:t>
      </w:r>
      <w:r>
        <w:rPr>
          <w:rStyle w:val="760"/>
        </w:rPr>
        <w:t xml:space="preserve">(</w:t>
      </w:r>
      <w:r>
        <w:rPr>
          <w:rStyle w:val="732"/>
        </w:rPr>
        <w:t xml:space="preserve">2</w:t>
      </w:r>
      <w:r>
        <w:rPr>
          <w:rStyle w:val="760"/>
        </w:rPr>
        <w:t xml:space="preserve">,</w:t>
      </w:r>
      <w:r>
        <w:rPr>
          <w:rStyle w:val="732"/>
        </w:rPr>
        <w:t xml:space="preserve">3</w:t>
      </w:r>
      <w:r>
        <w:rPr>
          <w:rStyle w:val="760"/>
        </w:rPr>
        <w:t xml:space="preserve">,</w:t>
      </w:r>
      <w:r>
        <w:rPr>
          <w:rStyle w:val="732"/>
        </w:rPr>
        <w:t xml:space="preserve">4</w:t>
      </w:r>
      <w:r>
        <w:rPr>
          <w:rStyle w:val="760"/>
        </w:rPr>
        <w:t xml:space="preserve">)], </w:t>
      </w:r>
      <w:r>
        <w:rPr>
          <w:rStyle w:val="754"/>
        </w:rPr>
        <w:t xml:space="preserve">use =</w:t>
      </w:r>
      <w:r>
        <w:rPr>
          <w:rStyle w:val="760"/>
        </w:rPr>
        <w:t xml:space="preserve"> </w:t>
      </w:r>
      <w:r>
        <w:rPr>
          <w:rStyle w:val="738"/>
        </w:rPr>
        <w:t xml:space="preserve">"complete.obs"</w:t>
      </w:r>
      <w:r>
        <w:rPr>
          <w:rStyle w:val="760"/>
        </w:rPr>
        <w:t xml:space="preserve">)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kable</w:t>
      </w:r>
      <w:r>
        <w:rPr>
          <w:rStyle w:val="760"/>
        </w:rPr>
        <w:t xml:space="preserve">(</w:t>
      </w:r>
      <w:r>
        <w:rPr>
          <w:rStyle w:val="754"/>
        </w:rPr>
        <w:t xml:space="preserve">digits=</w:t>
      </w:r>
      <w:r>
        <w:rPr>
          <w:rStyle w:val="732"/>
        </w:rPr>
        <w:t xml:space="preserve">2</w:t>
      </w:r>
      <w:r>
        <w:rPr>
          <w:rStyle w:val="760"/>
        </w:rPr>
        <w:t xml:space="preserve">)</w:t>
      </w:r>
      <w:r/>
    </w:p>
    <w:tbl>
      <w:tblPr>
        <w:tblStyle w:val="715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1980"/>
        <w:gridCol w:w="1980"/>
        <w:gridCol w:w="1980"/>
        <w:gridCol w:w="1980"/>
      </w:tblGrid>
      <w:tr>
        <w:trPr>
          <w:tblHeader/>
        </w:trPr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rPr/>
            </w:pPr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T1</w:t>
            </w:r>
            <w:r/>
            <w:r/>
            <w:r/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</w:t>
            </w:r>
            <w:r/>
            <w:r>
              <w:t xml:space="preserve">2</w:t>
            </w:r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T3</w:t>
            </w:r>
            <w:r/>
            <w:r/>
            <w:r/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T1</w:t>
            </w:r>
            <w:r/>
            <w:r/>
            <w:r/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1.00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0.44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0.51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T2</w:t>
            </w:r>
            <w:r/>
            <w:r/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0.44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1.00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0.77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left"/>
              <w:rPr/>
            </w:pPr>
            <w:r>
              <w:t xml:space="preserve">ISI T3</w:t>
            </w:r>
            <w:r/>
            <w:r/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0.51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0.77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683"/>
              <w:pBdr/>
              <w:spacing/>
              <w:ind/>
              <w:jc w:val="right"/>
              <w:rPr/>
            </w:pPr>
            <w:r>
              <w:t xml:space="preserve">1.00</w:t>
            </w:r>
            <w:r/>
          </w:p>
        </w:tc>
      </w:tr>
    </w:tbl>
    <w:p>
      <w:pPr>
        <w:pStyle w:val="729"/>
        <w:pBdr/>
        <w:spacing/>
        <w:ind/>
        <w:rPr/>
      </w:pPr>
      <w:r>
        <w:rPr>
          <w:rStyle w:val="760"/>
        </w:rPr>
        <w:t xml:space="preserve">mydata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tidyr</w:t>
      </w:r>
      <w:r>
        <w:rPr>
          <w:rStyle w:val="737"/>
        </w:rPr>
        <w:t xml:space="preserve">::</w:t>
      </w:r>
      <w:r>
        <w:rPr>
          <w:rStyle w:val="747"/>
        </w:rPr>
        <w:t xml:space="preserve">pivot_longer</w:t>
      </w:r>
      <w:r>
        <w:rPr>
          <w:rStyle w:val="760"/>
        </w:rPr>
        <w:t xml:space="preserve">(</w:t>
      </w:r>
      <w:r>
        <w:rPr>
          <w:rStyle w:val="754"/>
        </w:rPr>
        <w:t xml:space="preserve">cols =</w:t>
      </w:r>
      <w:r>
        <w:rPr>
          <w:rStyle w:val="760"/>
        </w:rPr>
        <w:t xml:space="preserve"> insomina_severity</w:t>
      </w:r>
      <w:r>
        <w:rPr>
          <w:rStyle w:val="737"/>
        </w:rPr>
        <w:t xml:space="preserve">:</w:t>
      </w:r>
      <w:r>
        <w:rPr>
          <w:rStyle w:val="760"/>
        </w:rPr>
        <w:t xml:space="preserve">anxiety,</w:t>
      </w:r>
      <w:r>
        <w:br/>
      </w:r>
      <w:r>
        <w:rPr>
          <w:rStyle w:val="760"/>
        </w:rPr>
        <w:t xml:space="preserve">                      </w:t>
      </w:r>
      <w:r>
        <w:rPr>
          <w:rStyle w:val="754"/>
        </w:rPr>
        <w:t xml:space="preserve">names_to =</w:t>
      </w:r>
      <w:r>
        <w:rPr>
          <w:rStyle w:val="760"/>
        </w:rPr>
        <w:t xml:space="preserve"> </w:t>
      </w:r>
      <w:r>
        <w:rPr>
          <w:rStyle w:val="738"/>
        </w:rPr>
        <w:t xml:space="preserve">"symptom"</w:t>
      </w:r>
      <w:r>
        <w:rPr>
          <w:rStyle w:val="760"/>
        </w:rPr>
        <w:t xml:space="preserve">, </w:t>
      </w:r>
      <w:r>
        <w:rPr>
          <w:rStyle w:val="754"/>
        </w:rPr>
        <w:t xml:space="preserve">values_to =</w:t>
      </w:r>
      <w:r>
        <w:rPr>
          <w:rStyle w:val="760"/>
        </w:rPr>
        <w:t xml:space="preserve"> </w:t>
      </w:r>
      <w:r>
        <w:rPr>
          <w:rStyle w:val="738"/>
        </w:rPr>
        <w:t xml:space="preserve">"score"</w:t>
      </w:r>
      <w:r>
        <w:rPr>
          <w:rStyle w:val="760"/>
        </w:rPr>
        <w:t xml:space="preserve">)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dplyr</w:t>
      </w:r>
      <w:r>
        <w:rPr>
          <w:rStyle w:val="737"/>
        </w:rPr>
        <w:t xml:space="preserve">::</w:t>
      </w:r>
      <w:r>
        <w:rPr>
          <w:rStyle w:val="747"/>
        </w:rPr>
        <w:t xml:space="preserve">filter</w:t>
      </w:r>
      <w:r>
        <w:rPr>
          <w:rStyle w:val="760"/>
        </w:rPr>
        <w:t xml:space="preserve">(symptom </w:t>
      </w:r>
      <w:r>
        <w:rPr>
          <w:rStyle w:val="737"/>
        </w:rPr>
        <w:t xml:space="preserve">!=</w:t>
      </w:r>
      <w:r>
        <w:rPr>
          <w:rStyle w:val="760"/>
        </w:rPr>
        <w:t xml:space="preserve"> </w:t>
      </w:r>
      <w:r>
        <w:rPr>
          <w:rStyle w:val="738"/>
        </w:rPr>
        <w:t xml:space="preserve">"insomina_severity"</w:t>
      </w:r>
      <w:r>
        <w:rPr>
          <w:rStyle w:val="760"/>
        </w:rPr>
        <w:t xml:space="preserve">)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ggplot</w:t>
      </w:r>
      <w:r>
        <w:rPr>
          <w:rStyle w:val="760"/>
        </w:rPr>
        <w:t xml:space="preserve">(</w:t>
      </w:r>
      <w:r>
        <w:rPr>
          <w:rStyle w:val="747"/>
        </w:rPr>
        <w:t xml:space="preserve">aes</w:t>
      </w:r>
      <w:r>
        <w:rPr>
          <w:rStyle w:val="760"/>
        </w:rPr>
        <w:t xml:space="preserve">( </w:t>
      </w:r>
      <w:r>
        <w:rPr>
          <w:rStyle w:val="754"/>
        </w:rPr>
        <w:t xml:space="preserve">x =</w:t>
      </w:r>
      <w:r>
        <w:rPr>
          <w:rStyle w:val="760"/>
        </w:rPr>
        <w:t xml:space="preserve"> redcap_event_name, </w:t>
      </w:r>
      <w:r>
        <w:rPr>
          <w:rStyle w:val="754"/>
        </w:rPr>
        <w:t xml:space="preserve">y =</w:t>
      </w:r>
      <w:r>
        <w:rPr>
          <w:rStyle w:val="760"/>
        </w:rPr>
        <w:t xml:space="preserve"> score, </w:t>
      </w:r>
      <w:r>
        <w:rPr>
          <w:rStyle w:val="754"/>
        </w:rPr>
        <w:t xml:space="preserve">group =</w:t>
      </w:r>
      <w:r>
        <w:rPr>
          <w:rStyle w:val="760"/>
        </w:rPr>
        <w:t xml:space="preserve"> record_id))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geom_point</w:t>
      </w:r>
      <w:r>
        <w:rPr>
          <w:rStyle w:val="760"/>
        </w:rPr>
        <w:t xml:space="preserve">() </w:t>
      </w:r>
      <w:r>
        <w:rPr>
          <w:rStyle w:val="737"/>
        </w:rPr>
        <w:t xml:space="preserve">+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geom_line</w:t>
      </w:r>
      <w:r>
        <w:rPr>
          <w:rStyle w:val="760"/>
        </w:rPr>
        <w:t xml:space="preserve">()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facet_wrap</w:t>
      </w:r>
      <w:r>
        <w:rPr>
          <w:rStyle w:val="760"/>
        </w:rPr>
        <w:t xml:space="preserve">(</w:t>
      </w:r>
      <w:r>
        <w:rPr>
          <w:rStyle w:val="738"/>
        </w:rPr>
        <w:t xml:space="preserve">"symptom"</w:t>
      </w:r>
      <w:r>
        <w:rPr>
          <w:rStyle w:val="760"/>
        </w:rPr>
        <w:t xml:space="preserve">)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labs</w:t>
      </w:r>
      <w:r>
        <w:rPr>
          <w:rStyle w:val="760"/>
        </w:rPr>
        <w:t xml:space="preserve">(</w:t>
      </w:r>
      <w:r>
        <w:rPr>
          <w:rStyle w:val="754"/>
        </w:rPr>
        <w:t xml:space="preserve">x =</w:t>
      </w:r>
      <w:r>
        <w:rPr>
          <w:rStyle w:val="760"/>
        </w:rPr>
        <w:t xml:space="preserve"> </w:t>
      </w:r>
      <w:r>
        <w:rPr>
          <w:rStyle w:val="738"/>
        </w:rPr>
        <w:t xml:space="preserve">"Time"</w:t>
      </w:r>
      <w:r>
        <w:rPr>
          <w:rStyle w:val="760"/>
        </w:rPr>
        <w:t xml:space="preserve">, </w:t>
      </w:r>
      <w:r>
        <w:rPr>
          <w:rStyle w:val="754"/>
        </w:rPr>
        <w:t xml:space="preserve">y =</w:t>
      </w:r>
      <w:r>
        <w:rPr>
          <w:rStyle w:val="760"/>
        </w:rPr>
        <w:t xml:space="preserve"> </w:t>
      </w:r>
      <w:r>
        <w:rPr>
          <w:rStyle w:val="738"/>
        </w:rPr>
        <w:t xml:space="preserve">"Insomnia Severity"</w:t>
      </w:r>
      <w:r>
        <w:rPr>
          <w:rStyle w:val="760"/>
        </w:rPr>
        <w:t xml:space="preserve">)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scale_x_continuous</w:t>
      </w:r>
      <w:r>
        <w:rPr>
          <w:rStyle w:val="760"/>
        </w:rPr>
        <w:t xml:space="preserve">(</w:t>
      </w:r>
      <w:r>
        <w:rPr>
          <w:rStyle w:val="754"/>
        </w:rPr>
        <w:t xml:space="preserve">breaks =</w:t>
      </w:r>
      <w:r>
        <w:rPr>
          <w:rStyle w:val="760"/>
        </w:rPr>
        <w:t xml:space="preserve"> </w:t>
      </w:r>
      <w:r>
        <w:rPr>
          <w:rStyle w:val="747"/>
        </w:rPr>
        <w:t xml:space="preserve">c</w:t>
      </w:r>
      <w:r>
        <w:rPr>
          <w:rStyle w:val="760"/>
        </w:rPr>
        <w:t xml:space="preserve">(</w:t>
      </w:r>
      <w:r>
        <w:rPr>
          <w:rStyle w:val="732"/>
        </w:rPr>
        <w:t xml:space="preserve">1</w:t>
      </w:r>
      <w:r>
        <w:rPr>
          <w:rStyle w:val="760"/>
        </w:rPr>
        <w:t xml:space="preserve">,</w:t>
      </w:r>
      <w:r>
        <w:rPr>
          <w:rStyle w:val="732"/>
        </w:rPr>
        <w:t xml:space="preserve">2</w:t>
      </w:r>
      <w:r>
        <w:rPr>
          <w:rStyle w:val="760"/>
        </w:rPr>
        <w:t xml:space="preserve">,</w:t>
      </w:r>
      <w:r>
        <w:rPr>
          <w:rStyle w:val="732"/>
        </w:rPr>
        <w:t xml:space="preserve">3</w:t>
      </w:r>
      <w:r>
        <w:rPr>
          <w:rStyle w:val="760"/>
        </w:rPr>
        <w:t xml:space="preserve">))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</w:t>
      </w:r>
      <w:r>
        <w:rPr>
          <w:rStyle w:val="747"/>
        </w:rPr>
        <w:t xml:space="preserve">theme_minimal</w:t>
      </w:r>
      <w:r>
        <w:rPr>
          <w:rStyle w:val="760"/>
        </w:rPr>
        <w:t xml:space="preserve">()</w:t>
      </w:r>
      <w:r/>
    </w:p>
    <w:p>
      <w:pPr>
        <w:pStyle w:val="68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3556000"/>
                <wp:effectExtent l="0" t="0" r="0" b="0"/>
                <wp:docPr id="1" name="Picture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" descr="Assignment01_files/figure-docx/unnamed-chunk-5-1.png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34000" cy="355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0.00pt;height:280.00pt;mso-wrap-distance-left:0.00pt;mso-wrap-distance-top:0.00pt;mso-wrap-distance-right:0.00pt;mso-wrap-distance-bottom:0.00pt;z-index:1;" stroked="f" strokeweight="0.75pt">
                <v:imagedata r:id="rId9" o:title=""/>
                <o:lock v:ext="edit" rotation="t"/>
              </v:shape>
            </w:pict>
          </mc:Fallback>
        </mc:AlternateContent>
      </w:r>
      <w:bookmarkEnd w:id="25"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162">
    <w:name w:val="Quote"/>
    <w:basedOn w:val="680"/>
    <w:next w:val="6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0"/>
    <w:next w:val="6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4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4"/>
    <w:link w:val="177"/>
    <w:uiPriority w:val="99"/>
    <w:pPr>
      <w:pBdr/>
      <w:spacing/>
      <w:ind/>
    </w:pPr>
  </w:style>
  <w:style w:type="character" w:styleId="181">
    <w:name w:val="Footnote Text Char"/>
    <w:basedOn w:val="714"/>
    <w:link w:val="712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</w:pPr>
  </w:style>
  <w:style w:type="paragraph" w:styleId="681">
    <w:name w:val="Body Text"/>
    <w:basedOn w:val="680"/>
    <w:link w:val="723"/>
    <w:qFormat/>
    <w:pPr>
      <w:pBdr/>
      <w:spacing w:after="180" w:before="180"/>
      <w:ind/>
    </w:pPr>
  </w:style>
  <w:style w:type="paragraph" w:styleId="682" w:customStyle="1">
    <w:name w:val="First Paragraph"/>
    <w:basedOn w:val="681"/>
    <w:next w:val="681"/>
    <w:qFormat/>
    <w:pPr>
      <w:pBdr/>
      <w:spacing/>
      <w:ind/>
    </w:pPr>
  </w:style>
  <w:style w:type="paragraph" w:styleId="683" w:customStyle="1">
    <w:name w:val="Compact"/>
    <w:basedOn w:val="681"/>
    <w:qFormat/>
    <w:pPr>
      <w:pBdr/>
      <w:spacing w:after="36" w:before="36"/>
      <w:ind/>
    </w:pPr>
  </w:style>
  <w:style w:type="paragraph" w:styleId="684">
    <w:name w:val="Title"/>
    <w:basedOn w:val="680"/>
    <w:next w:val="681"/>
    <w:link w:val="685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5" w:customStyle="1">
    <w:name w:val="Title Char"/>
    <w:basedOn w:val="714"/>
    <w:link w:val="68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6">
    <w:name w:val="Subtitle"/>
    <w:basedOn w:val="684"/>
    <w:next w:val="681"/>
    <w:link w:val="68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spacing w:val="15"/>
      <w:sz w:val="28"/>
      <w:szCs w:val="28"/>
    </w:rPr>
  </w:style>
  <w:style w:type="character" w:styleId="687" w:customStyle="1">
    <w:name w:val="Subtitle Char"/>
    <w:basedOn w:val="714"/>
    <w:link w:val="6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8" w:customStyle="1">
    <w:name w:val="Author"/>
    <w:next w:val="681"/>
    <w:qFormat/>
    <w:pPr>
      <w:keepNext w:val="true"/>
      <w:keepLines w:val="true"/>
      <w:pBdr/>
      <w:spacing/>
      <w:ind/>
      <w:jc w:val="center"/>
    </w:pPr>
  </w:style>
  <w:style w:type="paragraph" w:styleId="689">
    <w:name w:val="Date"/>
    <w:next w:val="681"/>
    <w:qFormat/>
    <w:pPr>
      <w:keepNext w:val="true"/>
      <w:keepLines w:val="true"/>
      <w:pBdr/>
      <w:spacing/>
      <w:ind/>
      <w:jc w:val="center"/>
    </w:pPr>
  </w:style>
  <w:style w:type="paragraph" w:styleId="690" w:customStyle="1">
    <w:name w:val="Abstract Title"/>
    <w:basedOn w:val="680"/>
    <w:next w:val="691"/>
    <w:qFormat/>
    <w:pPr>
      <w:keepNext w:val="true"/>
      <w:keepLines w:val="true"/>
      <w:pBdr/>
      <w:spacing w:after="0" w:before="300"/>
      <w:ind/>
      <w:jc w:val="center"/>
    </w:pPr>
    <w:rPr>
      <w:b/>
      <w:sz w:val="20"/>
      <w:szCs w:val="20"/>
    </w:rPr>
  </w:style>
  <w:style w:type="paragraph" w:styleId="691" w:customStyle="1">
    <w:name w:val="Abstract"/>
    <w:basedOn w:val="680"/>
    <w:next w:val="681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92">
    <w:name w:val="Bibliography"/>
    <w:basedOn w:val="680"/>
    <w:next w:val="692"/>
    <w:qFormat/>
    <w:pPr>
      <w:pBdr/>
      <w:spacing/>
      <w:ind/>
    </w:pPr>
  </w:style>
  <w:style w:type="paragraph" w:styleId="693">
    <w:name w:val="Heading 1"/>
    <w:basedOn w:val="680"/>
    <w:next w:val="681"/>
    <w:link w:val="7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94">
    <w:name w:val="Heading 2"/>
    <w:basedOn w:val="680"/>
    <w:next w:val="681"/>
    <w:link w:val="70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95">
    <w:name w:val="Heading 3"/>
    <w:basedOn w:val="680"/>
    <w:next w:val="681"/>
    <w:link w:val="70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96">
    <w:name w:val="Heading 4"/>
    <w:basedOn w:val="680"/>
    <w:next w:val="681"/>
    <w:link w:val="70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97">
    <w:name w:val="Heading 5"/>
    <w:basedOn w:val="680"/>
    <w:next w:val="681"/>
    <w:link w:val="70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98">
    <w:name w:val="Heading 6"/>
    <w:basedOn w:val="680"/>
    <w:next w:val="681"/>
    <w:link w:val="70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99">
    <w:name w:val="Heading 7"/>
    <w:basedOn w:val="680"/>
    <w:next w:val="681"/>
    <w:link w:val="70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00">
    <w:name w:val="Heading 8"/>
    <w:basedOn w:val="680"/>
    <w:next w:val="681"/>
    <w:link w:val="70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01">
    <w:name w:val="Heading 9"/>
    <w:basedOn w:val="680"/>
    <w:next w:val="681"/>
    <w:link w:val="71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02" w:customStyle="1">
    <w:name w:val="Heading 1 Char"/>
    <w:basedOn w:val="714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03" w:customStyle="1">
    <w:name w:val="Heading 2 Char"/>
    <w:basedOn w:val="714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04" w:customStyle="1">
    <w:name w:val="Heading 3 Char"/>
    <w:basedOn w:val="714"/>
    <w:link w:val="69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05" w:customStyle="1">
    <w:name w:val="Heading 4 Char"/>
    <w:basedOn w:val="714"/>
    <w:link w:val="69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06" w:customStyle="1">
    <w:name w:val="Heading 5 Char"/>
    <w:basedOn w:val="714"/>
    <w:link w:val="69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07" w:customStyle="1">
    <w:name w:val="Heading 6 Char"/>
    <w:basedOn w:val="714"/>
    <w:link w:val="69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08" w:customStyle="1">
    <w:name w:val="Heading 7 Char"/>
    <w:basedOn w:val="714"/>
    <w:link w:val="69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9" w:customStyle="1">
    <w:name w:val="Heading 8 Char"/>
    <w:basedOn w:val="714"/>
    <w:link w:val="70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10" w:customStyle="1">
    <w:name w:val="Heading 9 Char"/>
    <w:basedOn w:val="714"/>
    <w:link w:val="70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11">
    <w:name w:val="Block Text"/>
    <w:basedOn w:val="681"/>
    <w:next w:val="681"/>
    <w:uiPriority w:val="9"/>
    <w:unhideWhenUsed/>
    <w:qFormat/>
    <w:pPr>
      <w:pBdr/>
      <w:spacing w:after="100" w:before="100"/>
      <w:ind w:right="480" w:firstLine="0" w:left="480"/>
    </w:pPr>
  </w:style>
  <w:style w:type="paragraph" w:styleId="712">
    <w:name w:val="footnote text"/>
    <w:basedOn w:val="680"/>
    <w:next w:val="712"/>
    <w:uiPriority w:val="9"/>
    <w:unhideWhenUsed/>
    <w:qFormat/>
    <w:pPr>
      <w:pBdr/>
      <w:spacing/>
      <w:ind/>
    </w:pPr>
  </w:style>
  <w:style w:type="paragraph" w:styleId="713">
    <w:name w:val="Footnote Block Text"/>
    <w:basedOn w:val="712"/>
    <w:next w:val="712"/>
    <w:uiPriority w:val="9"/>
    <w:unhideWhenUsed/>
    <w:qFormat/>
    <w:pPr>
      <w:pBdr/>
      <w:spacing w:after="100" w:before="100"/>
      <w:ind w:right="480" w:firstLine="0" w:left="480"/>
    </w:pPr>
  </w:style>
  <w:style w:type="character" w:styleId="714" w:default="1">
    <w:name w:val="Default Paragraph Font"/>
    <w:semiHidden/>
    <w:unhideWhenUsed/>
    <w:pPr>
      <w:pBdr/>
      <w:spacing/>
      <w:ind/>
    </w:pPr>
  </w:style>
  <w:style w:type="table" w:styleId="715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6" w:customStyle="1">
    <w:name w:val="Definition Term"/>
    <w:basedOn w:val="680"/>
    <w:next w:val="717"/>
    <w:pPr>
      <w:keepNext w:val="true"/>
      <w:keepLines w:val="true"/>
      <w:pBdr/>
      <w:spacing w:after="0"/>
      <w:ind/>
    </w:pPr>
    <w:rPr>
      <w:b/>
    </w:rPr>
  </w:style>
  <w:style w:type="paragraph" w:styleId="717" w:customStyle="1">
    <w:name w:val="Definition"/>
    <w:basedOn w:val="680"/>
    <w:pPr>
      <w:pBdr/>
      <w:spacing/>
      <w:ind/>
    </w:pPr>
  </w:style>
  <w:style w:type="paragraph" w:styleId="718">
    <w:name w:val="Caption"/>
    <w:basedOn w:val="680"/>
    <w:link w:val="723"/>
    <w:pPr>
      <w:pBdr/>
      <w:spacing w:after="120" w:before="0"/>
      <w:ind/>
    </w:pPr>
    <w:rPr>
      <w:i/>
    </w:rPr>
  </w:style>
  <w:style w:type="paragraph" w:styleId="719" w:customStyle="1">
    <w:name w:val="Table Caption"/>
    <w:basedOn w:val="718"/>
    <w:pPr>
      <w:keepNext w:val="true"/>
      <w:pBdr/>
      <w:spacing/>
      <w:ind/>
    </w:pPr>
  </w:style>
  <w:style w:type="paragraph" w:styleId="720" w:customStyle="1">
    <w:name w:val="Image Caption"/>
    <w:basedOn w:val="718"/>
    <w:pPr>
      <w:pBdr/>
      <w:spacing/>
      <w:ind/>
    </w:pPr>
  </w:style>
  <w:style w:type="paragraph" w:styleId="721" w:customStyle="1">
    <w:name w:val="Figure"/>
    <w:basedOn w:val="680"/>
    <w:pPr>
      <w:pBdr/>
      <w:spacing/>
      <w:ind/>
    </w:pPr>
  </w:style>
  <w:style w:type="paragraph" w:styleId="722" w:customStyle="1">
    <w:name w:val="Captioned Figure"/>
    <w:basedOn w:val="721"/>
    <w:pPr>
      <w:keepNext w:val="true"/>
      <w:pBdr/>
      <w:spacing/>
      <w:ind/>
    </w:pPr>
  </w:style>
  <w:style w:type="character" w:styleId="723" w:customStyle="1">
    <w:name w:val="Body Text Char"/>
    <w:basedOn w:val="714"/>
    <w:link w:val="681"/>
    <w:pPr>
      <w:pBdr/>
      <w:spacing/>
      <w:ind/>
    </w:pPr>
  </w:style>
  <w:style w:type="character" w:styleId="724" w:customStyle="1">
    <w:name w:val="Verbatim Char"/>
    <w:basedOn w:val="723"/>
    <w:pPr>
      <w:pBdr/>
      <w:spacing/>
      <w:ind/>
    </w:pPr>
    <w:rPr>
      <w:rFonts w:ascii="Consolas" w:hAnsi="Consolas"/>
      <w:sz w:val="22"/>
    </w:rPr>
  </w:style>
  <w:style w:type="character" w:styleId="725" w:customStyle="1">
    <w:name w:val="Section Number"/>
    <w:basedOn w:val="723"/>
    <w:pPr>
      <w:pBdr/>
      <w:spacing/>
      <w:ind/>
    </w:pPr>
  </w:style>
  <w:style w:type="character" w:styleId="726">
    <w:name w:val="footnote reference"/>
    <w:basedOn w:val="723"/>
    <w:pPr>
      <w:pBdr/>
      <w:spacing/>
      <w:ind/>
    </w:pPr>
    <w:rPr>
      <w:vertAlign w:val="superscript"/>
    </w:rPr>
  </w:style>
  <w:style w:type="character" w:styleId="727">
    <w:name w:val="Hyperlink"/>
    <w:basedOn w:val="723"/>
    <w:pPr>
      <w:pBdr/>
      <w:spacing/>
      <w:ind/>
    </w:pPr>
    <w:rPr>
      <w:color w:val="4f81bd" w:themeColor="accent1"/>
    </w:rPr>
  </w:style>
  <w:style w:type="paragraph" w:styleId="728">
    <w:name w:val="TOC Heading"/>
    <w:basedOn w:val="693"/>
    <w:next w:val="68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29" w:customStyle="1">
    <w:name w:val="Source Code"/>
    <w:basedOn w:val="680"/>
    <w:link w:val="724"/>
    <w:pPr>
      <w:pBdr/>
      <w:shd w:val="clear" w:color="auto" w:fill="f8f8f8"/>
      <w:spacing/>
      <w:ind/>
    </w:pPr>
  </w:style>
  <w:style w:type="character" w:styleId="730" w:customStyle="1">
    <w:name w:val="Keyword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31" w:customStyle="1">
    <w:name w:val="DataTypeTok"/>
    <w:basedOn w:val="724"/>
    <w:pPr>
      <w:pBdr/>
      <w:spacing/>
      <w:ind/>
    </w:pPr>
    <w:rPr>
      <w:color w:val="204a87"/>
      <w:shd w:val="clear" w:color="auto" w:fill="f8f8f8"/>
    </w:rPr>
  </w:style>
  <w:style w:type="character" w:styleId="732" w:customStyle="1">
    <w:name w:val="DecVal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3" w:customStyle="1">
    <w:name w:val="BaseN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4" w:customStyle="1">
    <w:name w:val="Float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5" w:customStyle="1">
    <w:name w:val="ConstantTok"/>
    <w:basedOn w:val="724"/>
    <w:pPr>
      <w:pBdr/>
      <w:spacing/>
      <w:ind/>
    </w:pPr>
    <w:rPr>
      <w:color w:val="8f5902"/>
      <w:shd w:val="clear" w:color="auto" w:fill="f8f8f8"/>
    </w:rPr>
  </w:style>
  <w:style w:type="character" w:styleId="736" w:customStyle="1">
    <w:name w:val="Char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37" w:customStyle="1">
    <w:name w:val="SpecialCharTok"/>
    <w:basedOn w:val="724"/>
    <w:pPr>
      <w:pBdr/>
      <w:spacing/>
      <w:ind/>
    </w:pPr>
    <w:rPr>
      <w:b/>
      <w:color w:val="ce5c00"/>
      <w:shd w:val="clear" w:color="auto" w:fill="f8f8f8"/>
    </w:rPr>
  </w:style>
  <w:style w:type="character" w:styleId="738" w:customStyle="1">
    <w:name w:val="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39" w:customStyle="1">
    <w:name w:val="Verbatim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40" w:customStyle="1">
    <w:name w:val="Special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41" w:customStyle="1">
    <w:name w:val="ImportTok"/>
    <w:basedOn w:val="724"/>
    <w:pPr>
      <w:pBdr/>
      <w:spacing/>
      <w:ind/>
    </w:pPr>
    <w:rPr>
      <w:shd w:val="clear" w:color="auto" w:fill="f8f8f8"/>
    </w:rPr>
  </w:style>
  <w:style w:type="character" w:styleId="742" w:customStyle="1">
    <w:name w:val="CommentTok"/>
    <w:basedOn w:val="724"/>
    <w:pPr>
      <w:pBdr/>
      <w:spacing/>
      <w:ind/>
    </w:pPr>
    <w:rPr>
      <w:i/>
      <w:color w:val="8f5902"/>
      <w:shd w:val="clear" w:color="auto" w:fill="f8f8f8"/>
    </w:rPr>
  </w:style>
  <w:style w:type="character" w:styleId="743" w:customStyle="1">
    <w:name w:val="Document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4" w:customStyle="1">
    <w:name w:val="Annot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5" w:customStyle="1">
    <w:name w:val="CommentVar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6" w:customStyle="1">
    <w:name w:val="OtherTok"/>
    <w:basedOn w:val="724"/>
    <w:pPr>
      <w:pBdr/>
      <w:spacing/>
      <w:ind/>
    </w:pPr>
    <w:rPr>
      <w:color w:val="8f5902"/>
      <w:shd w:val="clear" w:color="auto" w:fill="f8f8f8"/>
    </w:rPr>
  </w:style>
  <w:style w:type="character" w:styleId="747" w:customStyle="1">
    <w:name w:val="Function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48" w:customStyle="1">
    <w:name w:val="VariableTok"/>
    <w:basedOn w:val="724"/>
    <w:pPr>
      <w:pBdr/>
      <w:spacing/>
      <w:ind/>
    </w:pPr>
    <w:rPr>
      <w:color w:val="000000"/>
      <w:shd w:val="clear" w:color="auto" w:fill="f8f8f8"/>
    </w:rPr>
  </w:style>
  <w:style w:type="character" w:styleId="749" w:customStyle="1">
    <w:name w:val="ControlFlow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50" w:customStyle="1">
    <w:name w:val="OperatorTok"/>
    <w:basedOn w:val="724"/>
    <w:pPr>
      <w:pBdr/>
      <w:spacing/>
      <w:ind/>
    </w:pPr>
    <w:rPr>
      <w:b/>
      <w:color w:val="ce5c00"/>
      <w:shd w:val="clear" w:color="auto" w:fill="f8f8f8"/>
    </w:rPr>
  </w:style>
  <w:style w:type="character" w:styleId="751" w:customStyle="1">
    <w:name w:val="BuiltInTok"/>
    <w:basedOn w:val="724"/>
    <w:pPr>
      <w:pBdr/>
      <w:spacing/>
      <w:ind/>
    </w:pPr>
    <w:rPr>
      <w:shd w:val="clear" w:color="auto" w:fill="f8f8f8"/>
    </w:rPr>
  </w:style>
  <w:style w:type="character" w:styleId="752" w:customStyle="1">
    <w:name w:val="ExtensionTok"/>
    <w:basedOn w:val="724"/>
    <w:pPr>
      <w:pBdr/>
      <w:spacing/>
      <w:ind/>
    </w:pPr>
    <w:rPr>
      <w:shd w:val="clear" w:color="auto" w:fill="f8f8f8"/>
    </w:rPr>
  </w:style>
  <w:style w:type="character" w:styleId="753" w:customStyle="1">
    <w:name w:val="PreprocessorTok"/>
    <w:basedOn w:val="724"/>
    <w:pPr>
      <w:pBdr/>
      <w:spacing/>
      <w:ind/>
    </w:pPr>
    <w:rPr>
      <w:i/>
      <w:color w:val="8f5902"/>
      <w:shd w:val="clear" w:color="auto" w:fill="f8f8f8"/>
    </w:rPr>
  </w:style>
  <w:style w:type="character" w:styleId="754" w:customStyle="1">
    <w:name w:val="AttributeTok"/>
    <w:basedOn w:val="724"/>
    <w:pPr>
      <w:pBdr/>
      <w:spacing/>
      <w:ind/>
    </w:pPr>
    <w:rPr>
      <w:color w:val="204a87"/>
      <w:shd w:val="clear" w:color="auto" w:fill="f8f8f8"/>
    </w:rPr>
  </w:style>
  <w:style w:type="character" w:styleId="755" w:customStyle="1">
    <w:name w:val="RegionMarkerTok"/>
    <w:basedOn w:val="724"/>
    <w:pPr>
      <w:pBdr/>
      <w:spacing/>
      <w:ind/>
    </w:pPr>
    <w:rPr>
      <w:shd w:val="clear" w:color="auto" w:fill="f8f8f8"/>
    </w:rPr>
  </w:style>
  <w:style w:type="character" w:styleId="756" w:customStyle="1">
    <w:name w:val="Inform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57" w:customStyle="1">
    <w:name w:val="Warning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58" w:customStyle="1">
    <w:name w:val="AlertTok"/>
    <w:basedOn w:val="724"/>
    <w:pPr>
      <w:pBdr/>
      <w:spacing/>
      <w:ind/>
    </w:pPr>
    <w:rPr>
      <w:color w:val="ef2929"/>
      <w:shd w:val="clear" w:color="auto" w:fill="f8f8f8"/>
    </w:rPr>
  </w:style>
  <w:style w:type="character" w:styleId="759" w:customStyle="1">
    <w:name w:val="ErrorTok"/>
    <w:basedOn w:val="724"/>
    <w:pPr>
      <w:pBdr/>
      <w:spacing/>
      <w:ind/>
    </w:pPr>
    <w:rPr>
      <w:b/>
      <w:color w:val="a40000"/>
      <w:shd w:val="clear" w:color="auto" w:fill="f8f8f8"/>
    </w:rPr>
  </w:style>
  <w:style w:type="character" w:styleId="760" w:customStyle="1">
    <w:name w:val="NormalTok"/>
    <w:basedOn w:val="724"/>
    <w:pPr>
      <w:pBdr/>
      <w:spacing/>
      <w:ind/>
    </w:pPr>
    <w:rPr>
      <w:shd w:val="clear" w:color="auto" w:fill="f8f8f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Assignment01</dc:title>
  <dc:creator/>
  <cp:keywords/>
  <cp:revision>1</cp:revision>
  <dcterms:created xsi:type="dcterms:W3CDTF">2025-04-16T07:28:44Z</dcterms:created>
  <dcterms:modified xsi:type="dcterms:W3CDTF">2025-04-16T07:31:04Z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