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>
          <w:rStyle w:val="Emphasis"/>
        </w:rPr>
      </w:pPr>
      <w:r>
        <w:rPr>
          <w:rStyle w:val="Strong"/>
          <w:b/>
          <w:bCs/>
        </w:rPr>
        <w:t>Predicting Future Reliability of AIMS at Mbarara University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1. Background</w:t>
      </w:r>
    </w:p>
    <w:p>
      <w:pPr>
        <w:pStyle w:val="BodyText"/>
        <w:bidi w:val="0"/>
        <w:jc w:val="start"/>
        <w:rPr/>
      </w:pPr>
      <w:r>
        <w:rPr/>
        <w:t xml:space="preserve">Since 1996, Mbarara University of Science and Technology (MUST) has relied on the </w:t>
      </w:r>
      <w:r>
        <w:rPr>
          <w:rStyle w:val="Strong"/>
        </w:rPr>
        <w:t>Academic Information Management System (AIMS)</w:t>
      </w:r>
      <w:r>
        <w:rPr/>
        <w:t xml:space="preserve"> to manage academic records.</w:t>
        <w:br/>
        <w:t xml:space="preserve">However, AIMS has experienced </w:t>
      </w:r>
      <w:r>
        <w:rPr>
          <w:rStyle w:val="Strong"/>
        </w:rPr>
        <w:t>recurrent annual module failures</w:t>
      </w:r>
      <w:r>
        <w:rPr/>
        <w:t xml:space="preserve"> due to poor maintenance and limited pre-deployment testing.</w:t>
        <w:br/>
        <w:t xml:space="preserve">Management now seeks to decide whether to </w:t>
      </w:r>
      <w:r>
        <w:rPr>
          <w:rStyle w:val="Strong"/>
        </w:rPr>
        <w:t>retain AIMS</w:t>
      </w:r>
      <w:r>
        <w:rPr/>
        <w:t xml:space="preserve"> or </w:t>
      </w:r>
      <w:r>
        <w:rPr>
          <w:rStyle w:val="Strong"/>
        </w:rPr>
        <w:t>fund a new Student Information Management System (SIMS)</w:t>
      </w:r>
      <w:r>
        <w:rPr/>
        <w:t>.</w:t>
        <w:br/>
        <w:t xml:space="preserve">Historical module failure data (1996–2025) were provided to develop a </w:t>
      </w:r>
      <w:r>
        <w:rPr>
          <w:rStyle w:val="Strong"/>
        </w:rPr>
        <w:t>10-year reliability forecast (2026–2035)</w:t>
      </w:r>
      <w:r>
        <w:rPr/>
        <w:t>.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2. Problem Definition</w:t>
      </w:r>
    </w:p>
    <w:p>
      <w:pPr>
        <w:pStyle w:val="BodyText"/>
        <w:bidi w:val="0"/>
        <w:jc w:val="start"/>
        <w:rPr/>
      </w:pPr>
      <w:r>
        <w:rPr/>
        <w:t xml:space="preserve">Predict the </w:t>
      </w:r>
      <w:r>
        <w:rPr>
          <w:rStyle w:val="Strong"/>
        </w:rPr>
        <w:t>future percentage failure</w:t>
      </w:r>
      <w:r>
        <w:rPr/>
        <w:t xml:space="preserve"> of AIMS using historical annual failure data to support an informed management decision on the system’s sustainability.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3. Data &amp; Visualization</w:t>
      </w:r>
    </w:p>
    <w:p>
      <w:pPr>
        <w:pStyle w:val="BodyText"/>
        <w:bidi w:val="0"/>
        <w:jc w:val="start"/>
        <w:rPr/>
      </w:pPr>
      <w:r>
        <w:rPr/>
        <w:t>Dataset: Annual percentage failures (1996–2025) for four major modules — Application, Admission, Academic, and Student Portal.</w:t>
      </w:r>
    </w:p>
    <w:p>
      <w:pPr>
        <w:pStyle w:val="BodyText"/>
        <w:bidi w:val="0"/>
        <w:jc w:val="start"/>
        <w:rPr/>
      </w:pPr>
      <w:r>
        <w:rPr/>
        <mc:AlternateContent>
          <mc:Choice Requires="wps">
            <w:drawing>
              <wp:anchor behindDoc="0" distT="0" distB="635" distL="635" distR="0" simplePos="0" locked="0" layoutInCell="1" allowOverlap="1" relativeHeight="2">
                <wp:simplePos x="0" y="0"/>
                <wp:positionH relativeFrom="column">
                  <wp:posOffset>-224790</wp:posOffset>
                </wp:positionH>
                <wp:positionV relativeFrom="paragraph">
                  <wp:posOffset>25400</wp:posOffset>
                </wp:positionV>
                <wp:extent cx="6537325" cy="2594610"/>
                <wp:effectExtent l="635" t="0" r="0" b="635"/>
                <wp:wrapNone/>
                <wp:docPr id="1" name="Freeform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7240" cy="2594520"/>
                        </a:xfrm>
                        <a:custGeom>
                          <a:avLst/>
                          <a:gdLst>
                            <a:gd name="textAreaLeft" fmla="*/ 0 w 3706200"/>
                            <a:gd name="textAreaRight" fmla="*/ 3706920 w 3706200"/>
                            <a:gd name="textAreaTop" fmla="*/ 0 h 1470960"/>
                            <a:gd name="textAreaBottom" fmla="*/ 1471680 h 1470960"/>
                          </a:gdLst>
                          <a:ahLst/>
                          <a:rect l="textAreaLeft" t="textAreaTop" r="textAreaRight" b="textAreaBottom"/>
                          <a:pathLst>
                            <a:path w="9388762" h="6759909">
                              <a:moveTo>
                                <a:pt x="0" y="0"/>
                              </a:moveTo>
                              <a:lnTo>
                                <a:pt x="9388762" y="0"/>
                              </a:lnTo>
                              <a:lnTo>
                                <a:pt x="9388762" y="6759909"/>
                              </a:lnTo>
                              <a:lnTo>
                                <a:pt x="0" y="675990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Freeform 7" o:allowincell="f" style="position:absolute;margin-left:-17.7pt;margin-top:2pt;width:514.7pt;height:204.25pt" type="_x0000_t75">
                <v:imagedata r:id="rId3"/>
                <w10:wrap type="none"/>
              </v:shape>
            </w:pict>
          </mc:Fallback>
        </mc:AlternateConten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b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4. Modeling Journey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  <w:b w:val="false"/>
          <w:bCs w:val="false"/>
        </w:rPr>
        <w:t>We began with a gappy, 24-year dataset (Summary_data_system_Failures.xlsx) of AIMS module failures. After linear interpolation and re-indexing to 1996–2024, we created a complete 29-year time series for Application, Admision, Academic, and student_Portal.</w:t>
      </w:r>
    </w:p>
    <w:p>
      <w:pPr>
        <w:pStyle w:val="BodyText"/>
        <w:ind w:hanging="0" w:start="0" w:end="0"/>
        <w:rPr/>
      </w:pPr>
      <w:r>
        <w:rPr>
          <w:rStyle w:val="Strong"/>
          <w:rFonts w:ascii="Times New Roman" w:hAnsi="Times New Roman"/>
          <w:b/>
          <w:bCs/>
        </w:rPr>
        <w:t>EDA</w:t>
      </w:r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 w:val="false"/>
          <w:bCs w:val="false"/>
        </w:rPr>
        <w:t xml:space="preserve">revealed </w:t>
      </w:r>
      <w:r>
        <w:rPr>
          <w:rStyle w:val="Strong"/>
          <w:rFonts w:ascii="Times New Roman" w:hAnsi="Times New Roman"/>
          <w:b w:val="false"/>
          <w:bCs w:val="false"/>
        </w:rPr>
        <w:t>independent module behaviors</w:t>
      </w:r>
      <w:r>
        <w:rPr>
          <w:rFonts w:ascii="Times New Roman" w:hAnsi="Times New Roman"/>
          <w:b w:val="false"/>
          <w:bCs w:val="false"/>
        </w:rPr>
        <w:t xml:space="preserve"> — no cross-correlation — ruling out multivariate modeling. We evaluated </w:t>
      </w:r>
      <w:r>
        <w:rPr>
          <w:rStyle w:val="Strong"/>
          <w:rFonts w:ascii="Times New Roman" w:hAnsi="Times New Roman"/>
          <w:b w:val="false"/>
          <w:bCs w:val="false"/>
        </w:rPr>
        <w:t>five models</w:t>
      </w:r>
      <w:r>
        <w:rPr>
          <w:rFonts w:ascii="Times New Roman" w:hAnsi="Times New Roman"/>
          <w:b w:val="false"/>
          <w:bCs w:val="false"/>
        </w:rPr>
        <w:t xml:space="preserve"> (Linear Regression, SES, Gradient Boosting, Random Forest, ARIMA) per module using </w:t>
      </w:r>
      <w:r>
        <w:rPr>
          <w:rStyle w:val="Strong"/>
          <w:rFonts w:ascii="Times New Roman" w:hAnsi="Times New Roman"/>
          <w:b w:val="false"/>
          <w:bCs w:val="false"/>
        </w:rPr>
        <w:t>80/20 train-test split</w:t>
      </w:r>
      <w:r>
        <w:rPr>
          <w:rFonts w:ascii="Times New Roman" w:hAnsi="Times New Roman"/>
          <w:b w:val="false"/>
          <w:bCs w:val="false"/>
        </w:rPr>
        <w:t xml:space="preserve"> and </w:t>
      </w:r>
      <w:r>
        <w:rPr>
          <w:rStyle w:val="Strong"/>
          <w:rFonts w:ascii="Times New Roman" w:hAnsi="Times New Roman"/>
          <w:b w:val="false"/>
          <w:bCs w:val="false"/>
        </w:rPr>
        <w:t>MSE selection</w:t>
      </w:r>
      <w:r>
        <w:rPr>
          <w:rFonts w:ascii="Times New Roman" w:hAnsi="Times New Roman"/>
          <w:b w:val="false"/>
          <w:bCs w:val="false"/>
        </w:rPr>
        <w:t>.</w:t>
      </w:r>
    </w:p>
    <w:p>
      <w:pPr>
        <w:pStyle w:val="BodyText"/>
        <w:ind w:hanging="0" w:start="0" w:end="0"/>
        <w:rPr/>
      </w:pPr>
      <w:r>
        <w:rPr>
          <w:rStyle w:val="Strong"/>
          <w:rFonts w:ascii="Times New Roman" w:hAnsi="Times New Roman"/>
          <w:b w:val="false"/>
          <w:bCs w:val="false"/>
        </w:rPr>
        <w:t>ARIMA</w:t>
      </w:r>
      <w:r>
        <w:rPr>
          <w:rStyle w:val="Strong"/>
          <w:rFonts w:ascii="Times New Roman" w:hAnsi="Times New Roman"/>
          <w:b w:val="false"/>
          <w:bCs w:val="false"/>
        </w:rPr>
        <w:t xml:space="preserve"> dominated</w:t>
      </w:r>
      <w:r>
        <w:rPr>
          <w:rFonts w:ascii="Times New Roman" w:hAnsi="Times New Roman"/>
          <w:b w:val="false"/>
          <w:bCs w:val="false"/>
        </w:rPr>
        <w:t xml:space="preserve"> (</w:t>
      </w:r>
      <w:r>
        <w:rPr>
          <w:rFonts w:ascii="Times New Roman" w:hAnsi="Times New Roman"/>
          <w:b w:val="false"/>
          <w:bCs w:val="false"/>
        </w:rPr>
        <w:t>2</w:t>
      </w:r>
      <w:r>
        <w:rPr>
          <w:rFonts w:ascii="Times New Roman" w:hAnsi="Times New Roman"/>
          <w:b w:val="false"/>
          <w:bCs w:val="false"/>
        </w:rPr>
        <w:t xml:space="preserve">/4 modules) </w:t>
      </w:r>
    </w:p>
    <w:p>
      <w:pPr>
        <w:pStyle w:val="BodyText"/>
        <w:ind w:hanging="0" w:start="0" w:end="0"/>
        <w:rPr/>
      </w:pPr>
      <w:r>
        <w:rPr>
          <w:rFonts w:ascii="Times New Roman" w:hAnsi="Times New Roman"/>
          <w:b w:val="false"/>
          <w:bCs w:val="false"/>
        </w:rPr>
        <w:t xml:space="preserve">For </w:t>
      </w:r>
      <w:r>
        <w:rPr>
          <w:rStyle w:val="Strong"/>
          <w:rFonts w:ascii="Times New Roman" w:hAnsi="Times New Roman"/>
          <w:b w:val="false"/>
          <w:bCs w:val="false"/>
        </w:rPr>
        <w:t>10-year forecasting (2025–2034)</w:t>
      </w:r>
      <w:r>
        <w:rPr>
          <w:rFonts w:ascii="Times New Roman" w:hAnsi="Times New Roman"/>
          <w:b w:val="false"/>
          <w:bCs w:val="false"/>
        </w:rPr>
        <w:t xml:space="preserve">, we </w:t>
      </w:r>
      <w:r>
        <w:rPr>
          <w:rStyle w:val="Strong"/>
          <w:rFonts w:ascii="Times New Roman" w:hAnsi="Times New Roman"/>
          <w:b w:val="false"/>
          <w:bCs w:val="false"/>
        </w:rPr>
        <w:t>refit best models on full data</w:t>
      </w:r>
      <w:r>
        <w:rPr>
          <w:rFonts w:ascii="Times New Roman" w:hAnsi="Times New Roman"/>
          <w:b w:val="false"/>
          <w:bCs w:val="false"/>
        </w:rPr>
        <w:t xml:space="preserve">, generated </w:t>
      </w:r>
      <w:r>
        <w:rPr>
          <w:rStyle w:val="Strong"/>
          <w:rFonts w:ascii="Times New Roman" w:hAnsi="Times New Roman"/>
          <w:b w:val="false"/>
          <w:bCs w:val="false"/>
        </w:rPr>
        <w:t>95% confidence intervals</w:t>
      </w:r>
      <w:r>
        <w:rPr>
          <w:rFonts w:ascii="Times New Roman" w:hAnsi="Times New Roman"/>
          <w:b w:val="false"/>
          <w:bCs w:val="false"/>
        </w:rPr>
        <w:t xml:space="preserve">, and </w:t>
      </w:r>
      <w:r>
        <w:rPr>
          <w:rStyle w:val="Strong"/>
          <w:rFonts w:ascii="Times New Roman" w:hAnsi="Times New Roman"/>
          <w:b w:val="false"/>
          <w:bCs w:val="false"/>
        </w:rPr>
        <w:t>capped ARIMA at 3 years</w:t>
      </w:r>
      <w:r>
        <w:rPr>
          <w:rFonts w:ascii="Times New Roman" w:hAnsi="Times New Roman"/>
          <w:b w:val="false"/>
          <w:bCs w:val="false"/>
        </w:rPr>
        <w:t xml:space="preserve"> (repeating 2027 value + widening CI). The </w:t>
      </w:r>
      <w:r>
        <w:rPr>
          <w:rStyle w:val="Strong"/>
          <w:rFonts w:ascii="Times New Roman" w:hAnsi="Times New Roman"/>
          <w:b w:val="false"/>
          <w:bCs w:val="false"/>
        </w:rPr>
        <w:t>system-level AIMS risk</w:t>
      </w:r>
      <w:r>
        <w:rPr>
          <w:rFonts w:ascii="Times New Roman" w:hAnsi="Times New Roman"/>
          <w:b w:val="false"/>
          <w:bCs w:val="false"/>
        </w:rPr>
        <w:t xml:space="preserve"> — </w:t>
      </w:r>
      <w:r>
        <w:rPr>
          <w:rStyle w:val="Strong"/>
          <w:rFonts w:ascii="Times New Roman" w:hAnsi="Times New Roman"/>
          <w:b w:val="false"/>
          <w:bCs w:val="false"/>
        </w:rPr>
        <w:t>equal-weighted average</w:t>
      </w:r>
      <w:r>
        <w:rPr>
          <w:rFonts w:ascii="Times New Roman" w:hAnsi="Times New Roman"/>
          <w:b w:val="false"/>
          <w:bCs w:val="false"/>
        </w:rPr>
        <w:t xml:space="preserve"> — declined from </w:t>
      </w:r>
      <w:r>
        <w:rPr>
          <w:rStyle w:val="Strong"/>
          <w:rFonts w:ascii="Times New Roman" w:hAnsi="Times New Roman"/>
          <w:b w:val="false"/>
          <w:bCs w:val="false"/>
        </w:rPr>
        <w:t>68.2% (2025)</w:t>
      </w:r>
      <w:r>
        <w:rPr>
          <w:rFonts w:ascii="Times New Roman" w:hAnsi="Times New Roman"/>
          <w:b w:val="false"/>
          <w:bCs w:val="false"/>
        </w:rPr>
        <w:t xml:space="preserve"> to </w:t>
      </w:r>
      <w:r>
        <w:rPr>
          <w:rStyle w:val="Strong"/>
          <w:rFonts w:ascii="Times New Roman" w:hAnsi="Times New Roman"/>
          <w:b w:val="false"/>
          <w:bCs w:val="false"/>
        </w:rPr>
        <w:t>64.9% (2034)</w:t>
      </w:r>
      <w:r>
        <w:rPr>
          <w:rFonts w:ascii="Times New Roman" w:hAnsi="Times New Roman"/>
          <w:b w:val="false"/>
          <w:bCs w:val="false"/>
        </w:rPr>
        <w:t xml:space="preserve">, with </w:t>
      </w:r>
      <w:r>
        <w:rPr>
          <w:rStyle w:val="Strong"/>
          <w:rFonts w:ascii="Times New Roman" w:hAnsi="Times New Roman"/>
          <w:b w:val="false"/>
          <w:bCs w:val="false"/>
        </w:rPr>
        <w:t xml:space="preserve">upper CI </w:t>
      </w:r>
      <w:r>
        <w:rPr>
          <w:rStyle w:val="Strong"/>
          <w:rFonts w:ascii="Times New Roman" w:hAnsi="Times New Roman"/>
          <w:b w:val="false"/>
          <w:bCs w:val="false"/>
        </w:rPr>
        <w:t xml:space="preserve">widening after </w:t>
      </w:r>
    </w:p>
    <w:p>
      <w:pPr>
        <w:pStyle w:val="BodyText"/>
        <w:ind w:hanging="0" w:start="0" w:end="0"/>
        <w:rPr/>
      </w:pPr>
      <w:r>
        <w:rPr>
          <w:rStyle w:val="Strong"/>
          <w:rFonts w:ascii="Times New Roman" w:hAnsi="Times New Roman"/>
          <w:b w:val="false"/>
          <w:bCs w:val="false"/>
        </w:rPr>
        <w:t>Recommendation</w:t>
      </w:r>
      <w:r>
        <w:rPr>
          <w:rFonts w:ascii="Times New Roman" w:hAnsi="Times New Roman"/>
          <w:b w:val="false"/>
          <w:bCs w:val="false"/>
        </w:rPr>
        <w:t xml:space="preserve">: </w:t>
      </w:r>
      <w:r>
        <w:rPr>
          <w:rStyle w:val="Strong"/>
          <w:rFonts w:ascii="Times New Roman" w:hAnsi="Times New Roman"/>
          <w:b w:val="false"/>
          <w:bCs w:val="false"/>
        </w:rPr>
        <w:t>Retain AIMS</w:t>
      </w:r>
      <w:r>
        <w:rPr>
          <w:rFonts w:ascii="Times New Roman" w:hAnsi="Times New Roman"/>
          <w:b w:val="false"/>
          <w:bCs w:val="false"/>
        </w:rPr>
        <w:t xml:space="preserve"> with targeted fixes; risk stays below </w:t>
      </w:r>
      <w:r>
        <w:rPr>
          <w:rStyle w:val="Strong"/>
          <w:rFonts w:ascii="Times New Roman" w:hAnsi="Times New Roman"/>
          <w:b w:val="false"/>
          <w:bCs w:val="false"/>
        </w:rPr>
        <w:t>70% threshold</w:t>
      </w:r>
      <w:r>
        <w:rPr>
          <w:rFonts w:ascii="Times New Roman" w:hAnsi="Times New Roman"/>
          <w:b w:val="false"/>
          <w:bCs w:val="false"/>
        </w:rPr>
        <w:t>.</w:t>
      </w:r>
    </w:p>
    <w:p>
      <w:pPr>
        <w:pStyle w:val="BodyText"/>
        <w:ind w:hanging="0" w:start="0" w:end="0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Outputs: best_models_summary.csv, AIMS_10year_risk.csv, forecast plot.</w:t>
      </w:r>
    </w:p>
    <w:p>
      <w:pPr>
        <w:pStyle w:val="BodyText"/>
        <w:bidi w:val="0"/>
        <w:jc w:val="start"/>
        <w:rPr>
          <w:rStyle w:val="Strong"/>
          <w:b/>
          <w:bCs/>
        </w:rPr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5. Evaluation &amp; Results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 xml:space="preserve">Metrics </w:t>
      </w:r>
    </w:p>
    <w:p>
      <w:pPr>
        <w:pStyle w:val="BodyText"/>
        <w:bidi w:val="0"/>
        <w:jc w:val="start"/>
        <w:rPr>
          <w:rStyle w:val="Strong"/>
          <w:b/>
          <w:bCs/>
        </w:rPr>
      </w:pPr>
      <w:r>
        <w:rPr/>
      </w:r>
    </w:p>
    <w:tbl>
      <w:tblPr>
        <w:tblW w:w="9638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01"/>
        <w:gridCol w:w="1353"/>
        <w:gridCol w:w="2176"/>
        <w:gridCol w:w="4808"/>
      </w:tblGrid>
      <w:tr>
        <w:trPr>
          <w:tblHeader w:val="true"/>
        </w:trPr>
        <w:tc>
          <w:tcPr>
            <w:tcW w:w="1301" w:type="dxa"/>
            <w:tcBorders/>
            <w:vAlign w:val="center"/>
          </w:tcPr>
          <w:p>
            <w:pPr>
              <w:pStyle w:val="TableHeading"/>
              <w:ind w:hanging="0" w:start="0" w:end="0"/>
              <w:rPr/>
            </w:pPr>
            <w:r>
              <w:rPr/>
              <w:t>Module</w:t>
            </w:r>
          </w:p>
        </w:tc>
        <w:tc>
          <w:tcPr>
            <w:tcW w:w="1353" w:type="dxa"/>
            <w:tcBorders/>
            <w:vAlign w:val="center"/>
          </w:tcPr>
          <w:p>
            <w:pPr>
              <w:pStyle w:val="TableHeading"/>
              <w:ind w:hanging="0" w:start="0" w:end="0"/>
              <w:rPr/>
            </w:pPr>
            <w:r>
              <w:rPr/>
              <w:t>Best_Model</w:t>
            </w:r>
          </w:p>
        </w:tc>
        <w:tc>
          <w:tcPr>
            <w:tcW w:w="2176" w:type="dxa"/>
            <w:tcBorders/>
            <w:vAlign w:val="center"/>
          </w:tcPr>
          <w:p>
            <w:pPr>
              <w:pStyle w:val="TableHeading"/>
              <w:ind w:hanging="0" w:start="0" w:end="0"/>
              <w:rPr/>
            </w:pPr>
            <w:r>
              <w:rPr/>
              <w:t>MSE</w:t>
            </w:r>
          </w:p>
        </w:tc>
        <w:tc>
          <w:tcPr>
            <w:tcW w:w="4808" w:type="dxa"/>
            <w:tcBorders/>
            <w:vAlign w:val="center"/>
          </w:tcPr>
          <w:p>
            <w:pPr>
              <w:pStyle w:val="TableHeading"/>
              <w:ind w:hanging="0" w:start="0" w:end="0"/>
              <w:rPr/>
            </w:pPr>
            <w:r>
              <w:rPr/>
              <w:t>RMSE</w:t>
            </w:r>
          </w:p>
        </w:tc>
      </w:tr>
      <w:tr>
        <w:trPr/>
        <w:tc>
          <w:tcPr>
            <w:tcW w:w="130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Application</w:t>
            </w:r>
          </w:p>
        </w:tc>
        <w:tc>
          <w:tcPr>
            <w:tcW w:w="135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ARIMA</w:t>
            </w:r>
          </w:p>
        </w:tc>
        <w:tc>
          <w:tcPr>
            <w:tcW w:w="217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123.01328080952297</w:t>
            </w:r>
          </w:p>
        </w:tc>
        <w:tc>
          <w:tcPr>
            <w:tcW w:w="480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11.091135235381588</w:t>
            </w:r>
          </w:p>
        </w:tc>
      </w:tr>
      <w:tr>
        <w:trPr/>
        <w:tc>
          <w:tcPr>
            <w:tcW w:w="130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student_Portal</w:t>
            </w:r>
          </w:p>
        </w:tc>
        <w:tc>
          <w:tcPr>
            <w:tcW w:w="135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Random Forest</w:t>
            </w:r>
          </w:p>
        </w:tc>
        <w:tc>
          <w:tcPr>
            <w:tcW w:w="217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260.3138530949932</w:t>
            </w:r>
          </w:p>
        </w:tc>
        <w:tc>
          <w:tcPr>
            <w:tcW w:w="480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16.134244732710396</w:t>
            </w:r>
          </w:p>
        </w:tc>
      </w:tr>
      <w:tr>
        <w:trPr/>
        <w:tc>
          <w:tcPr>
            <w:tcW w:w="130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Academic</w:t>
            </w:r>
          </w:p>
        </w:tc>
        <w:tc>
          <w:tcPr>
            <w:tcW w:w="135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ARIMA</w:t>
            </w:r>
          </w:p>
        </w:tc>
        <w:tc>
          <w:tcPr>
            <w:tcW w:w="217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16.75078841318558</w:t>
            </w:r>
          </w:p>
        </w:tc>
        <w:tc>
          <w:tcPr>
            <w:tcW w:w="480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4.092772704803625</w:t>
            </w:r>
          </w:p>
        </w:tc>
      </w:tr>
      <w:tr>
        <w:trPr>
          <w:trHeight w:val="646" w:hRule="atLeast"/>
        </w:trPr>
        <w:tc>
          <w:tcPr>
            <w:tcW w:w="130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Admision</w:t>
            </w:r>
          </w:p>
        </w:tc>
        <w:tc>
          <w:tcPr>
            <w:tcW w:w="135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Linear Regression</w:t>
            </w:r>
          </w:p>
        </w:tc>
        <w:tc>
          <w:tcPr>
            <w:tcW w:w="217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1612.4979928320365</w:t>
            </w:r>
          </w:p>
        </w:tc>
        <w:tc>
          <w:tcPr>
            <w:tcW w:w="480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40.15592101835091</w:t>
            </w:r>
          </w:p>
        </w:tc>
      </w:tr>
    </w:tbl>
    <w:p>
      <w:pPr>
        <w:pStyle w:val="BodyText"/>
        <w:bidi w:val="0"/>
        <w:jc w:val="start"/>
        <w:rPr>
          <w:rStyle w:val="Emphasis"/>
        </w:rPr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 xml:space="preserve">Ten-Year Forecast (2026–2035) </w:t>
      </w:r>
    </w:p>
    <w:tbl>
      <w:tblPr>
        <w:tblW w:w="5436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71"/>
        <w:gridCol w:w="1650"/>
        <w:gridCol w:w="1102"/>
        <w:gridCol w:w="1089"/>
        <w:gridCol w:w="1024"/>
      </w:tblGrid>
      <w:tr>
        <w:trPr>
          <w:tblHeader w:val="true"/>
        </w:trPr>
        <w:tc>
          <w:tcPr>
            <w:tcW w:w="571" w:type="dxa"/>
            <w:tcBorders/>
            <w:vAlign w:val="center"/>
          </w:tcPr>
          <w:p>
            <w:pPr>
              <w:pStyle w:val="TableHeading"/>
              <w:ind w:hanging="0" w:start="0" w:end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TableHeading"/>
              <w:ind w:hanging="0" w:start="0" w:end="0"/>
              <w:rPr/>
            </w:pPr>
            <w:r>
              <w:rPr/>
              <w:t>AIMS_Risk_%</w:t>
            </w:r>
          </w:p>
        </w:tc>
        <w:tc>
          <w:tcPr>
            <w:tcW w:w="1102" w:type="dxa"/>
            <w:tcBorders/>
            <w:vAlign w:val="center"/>
          </w:tcPr>
          <w:p>
            <w:pPr>
              <w:pStyle w:val="TableHeading"/>
              <w:ind w:hanging="0" w:start="0" w:end="0"/>
              <w:rPr/>
            </w:pPr>
            <w:r>
              <w:rPr/>
              <w:t>Lower_95</w:t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Heading"/>
              <w:ind w:hanging="0" w:start="0" w:end="0"/>
              <w:rPr/>
            </w:pPr>
            <w:r>
              <w:rPr/>
              <w:t>Upper_95</w:t>
            </w:r>
          </w:p>
        </w:tc>
        <w:tc>
          <w:tcPr>
            <w:tcW w:w="1024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Replace?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2025</w:t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71.58</w:t>
            </w:r>
          </w:p>
        </w:tc>
        <w:tc>
          <w:tcPr>
            <w:tcW w:w="11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44.84</w:t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98.32</w:t>
            </w:r>
          </w:p>
        </w:tc>
        <w:tc>
          <w:tcPr>
            <w:tcW w:w="102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True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2026</w:t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70.87</w:t>
            </w:r>
          </w:p>
        </w:tc>
        <w:tc>
          <w:tcPr>
            <w:tcW w:w="11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42.15</w:t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99.58</w:t>
            </w:r>
          </w:p>
        </w:tc>
        <w:tc>
          <w:tcPr>
            <w:tcW w:w="102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True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2027</w:t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70.76</w:t>
            </w:r>
          </w:p>
        </w:tc>
        <w:tc>
          <w:tcPr>
            <w:tcW w:w="11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38.91</w:t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102.61</w:t>
            </w:r>
          </w:p>
        </w:tc>
        <w:tc>
          <w:tcPr>
            <w:tcW w:w="102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True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2028</w:t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70.43</w:t>
            </w:r>
          </w:p>
        </w:tc>
        <w:tc>
          <w:tcPr>
            <w:tcW w:w="11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38.58</w:t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102.28</w:t>
            </w:r>
          </w:p>
        </w:tc>
        <w:tc>
          <w:tcPr>
            <w:tcW w:w="102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True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2029</w:t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70.1</w:t>
            </w:r>
          </w:p>
        </w:tc>
        <w:tc>
          <w:tcPr>
            <w:tcW w:w="11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34.82</w:t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111.21</w:t>
            </w:r>
          </w:p>
        </w:tc>
        <w:tc>
          <w:tcPr>
            <w:tcW w:w="102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True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2030</w:t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69.78</w:t>
            </w:r>
          </w:p>
        </w:tc>
        <w:tc>
          <w:tcPr>
            <w:tcW w:w="11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31.05</w:t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120.13</w:t>
            </w:r>
          </w:p>
        </w:tc>
        <w:tc>
          <w:tcPr>
            <w:tcW w:w="102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False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2031</w:t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69.45</w:t>
            </w:r>
          </w:p>
        </w:tc>
        <w:tc>
          <w:tcPr>
            <w:tcW w:w="11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27.29</w:t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129.06</w:t>
            </w:r>
          </w:p>
        </w:tc>
        <w:tc>
          <w:tcPr>
            <w:tcW w:w="102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False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2032</w:t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69.12</w:t>
            </w:r>
          </w:p>
        </w:tc>
        <w:tc>
          <w:tcPr>
            <w:tcW w:w="11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23.52</w:t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137.98</w:t>
            </w:r>
          </w:p>
        </w:tc>
        <w:tc>
          <w:tcPr>
            <w:tcW w:w="102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False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2033</w:t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68.79</w:t>
            </w:r>
          </w:p>
        </w:tc>
        <w:tc>
          <w:tcPr>
            <w:tcW w:w="11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19.76</w:t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146.91</w:t>
            </w:r>
          </w:p>
        </w:tc>
        <w:tc>
          <w:tcPr>
            <w:tcW w:w="102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False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2034</w:t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68.47</w:t>
            </w:r>
          </w:p>
        </w:tc>
        <w:tc>
          <w:tcPr>
            <w:tcW w:w="11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15.99</w:t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155.83</w:t>
            </w:r>
          </w:p>
        </w:tc>
        <w:tc>
          <w:tcPr>
            <w:tcW w:w="102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False</w:t>
            </w:r>
          </w:p>
        </w:tc>
      </w:tr>
    </w:tbl>
    <w:p>
      <w:pPr>
        <w:pStyle w:val="BodyText"/>
        <w:bidi w:val="0"/>
        <w:jc w:val="start"/>
        <w:rPr>
          <w:rStyle w:val="Emphasis"/>
          <w:b/>
          <w:bCs/>
        </w:rPr>
      </w:pPr>
      <w:r>
        <w:rPr/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System-Level Risk Score</w:t>
      </w:r>
    </w:p>
    <w:p>
      <w:pPr>
        <w:pStyle w:val="BodyText"/>
        <w:ind w:hanging="0" w:start="0" w:end="0"/>
        <w:rPr/>
      </w:pPr>
      <w:r>
        <w:rPr/>
        <w:t xml:space="preserve">Computed as </w:t>
      </w:r>
      <w:r>
        <w:rPr>
          <w:rStyle w:val="Strong"/>
        </w:rPr>
        <w:t>equal-weighted average</w:t>
      </w:r>
      <w:r>
        <w:rPr/>
        <w:t xml:space="preserve"> of module forecasts:</w:t>
      </w:r>
    </w:p>
    <w:p>
      <w:pPr>
        <w:pStyle w:val="BodyText"/>
        <w:spacing w:before="0" w:after="0"/>
        <w:rPr/>
      </w:pPr>
      <w:r>
        <w:rPr/>
        <w:t xml:space="preserve">AIMS_Risk_% = (App + Adm + Aca + SP) / 4     </w:t>
      </w:r>
    </w:p>
    <w:p>
      <w:pPr>
        <w:pStyle w:val="BodyText"/>
        <w:spacing w:before="0" w:after="0"/>
        <w:rPr/>
      </w:pPr>
      <w:r>
        <w:rPr/>
        <w:t>App – Application</w:t>
      </w:r>
    </w:p>
    <w:p>
      <w:pPr>
        <w:pStyle w:val="BodyText"/>
        <w:spacing w:before="0" w:after="0"/>
        <w:rPr/>
      </w:pPr>
      <w:r>
        <w:rPr/>
        <w:t>Adm – Admision</w:t>
      </w:r>
    </w:p>
    <w:p>
      <w:pPr>
        <w:pStyle w:val="BodyText"/>
        <w:spacing w:before="0" w:after="0"/>
        <w:rPr/>
      </w:pPr>
      <w:r>
        <w:rPr/>
        <w:t>Aca – Academic</w:t>
      </w:r>
    </w:p>
    <w:p>
      <w:pPr>
        <w:pStyle w:val="BodyText"/>
        <w:spacing w:before="0" w:after="0"/>
        <w:rPr/>
      </w:pPr>
      <w:r>
        <w:rPr/>
        <w:t>SP – Student Portal</w:t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bidi w:val="0"/>
        <w:jc w:val="start"/>
        <w:rPr>
          <w:rStyle w:val="Emphasis"/>
          <w:b/>
          <w:bCs/>
        </w:rPr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6. </w:t>
      </w:r>
      <w:r>
        <w:rPr>
          <w:rStyle w:val="Strong"/>
          <w:b/>
          <w:bCs/>
          <w:sz w:val="36"/>
          <w:szCs w:val="36"/>
        </w:rPr>
        <w:t xml:space="preserve">Why We Aggregated into </w:t>
      </w:r>
      <w:r>
        <w:rPr>
          <w:rStyle w:val="Emphasis"/>
          <w:sz w:val="36"/>
          <w:szCs w:val="36"/>
        </w:rPr>
        <w:t>System-Level Risk</w:t>
      </w:r>
      <w:r>
        <w:rPr>
          <w:rStyle w:val="Strong"/>
          <w:b/>
          <w:bCs/>
          <w:sz w:val="36"/>
          <w:szCs w:val="36"/>
        </w:rPr>
        <w:t xml:space="preserve"> (Equal-Weighted Average)</w:t>
      </w:r>
    </w:p>
    <w:p>
      <w:pPr>
        <w:pStyle w:val="BodyText"/>
        <w:bidi w:val="0"/>
        <w:jc w:val="start"/>
        <w:rPr>
          <w:rStyle w:val="Strong"/>
          <w:b/>
          <w:bCs/>
        </w:rPr>
      </w:pPr>
      <w:r>
        <w:rPr/>
      </w:r>
    </w:p>
    <w:tbl>
      <w:tblPr>
        <w:tblW w:w="9638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39"/>
        <w:gridCol w:w="7399"/>
      </w:tblGrid>
      <w:tr>
        <w:trPr>
          <w:tblHeader w:val="true"/>
        </w:trPr>
        <w:tc>
          <w:tcPr>
            <w:tcW w:w="2239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Decision</w:t>
            </w:r>
          </w:p>
        </w:tc>
        <w:tc>
          <w:tcPr>
            <w:tcW w:w="7399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Rationale</w:t>
            </w:r>
          </w:p>
        </w:tc>
      </w:tr>
      <w:tr>
        <w:trPr/>
        <w:tc>
          <w:tcPr>
            <w:tcW w:w="223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Equal weights (25% each)</w:t>
            </w:r>
          </w:p>
        </w:tc>
        <w:tc>
          <w:tcPr>
            <w:tcW w:w="739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- No data on module criticality. - Simplest, most defensible. - Avoids bias.</w:t>
            </w:r>
          </w:p>
        </w:tc>
      </w:tr>
      <w:tr>
        <w:trPr/>
        <w:tc>
          <w:tcPr>
            <w:tcW w:w="223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95% Confidence Intervals</w:t>
            </w:r>
          </w:p>
        </w:tc>
        <w:tc>
          <w:tcPr>
            <w:tcW w:w="739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- Shows </w:t>
            </w:r>
            <w:r>
              <w:rPr>
                <w:rStyle w:val="Strong"/>
              </w:rPr>
              <w:t>uncertainty</w:t>
            </w:r>
            <w:r>
              <w:rPr/>
              <w:t xml:space="preserve"> (especially for 10-year horizon). - Standard in reliability engineering (Musa, 1998).</w:t>
            </w:r>
          </w:p>
        </w:tc>
      </w:tr>
      <w:tr>
        <w:trPr/>
        <w:tc>
          <w:tcPr>
            <w:tcW w:w="223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70% Threshold</w:t>
            </w:r>
          </w:p>
        </w:tc>
        <w:tc>
          <w:tcPr>
            <w:tcW w:w="739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- Common for critical systems. </w:t>
            </w:r>
          </w:p>
        </w:tc>
      </w:tr>
    </w:tbl>
    <w:p>
      <w:pPr>
        <w:pStyle w:val="BodyText"/>
        <w:bidi w:val="0"/>
        <w:jc w:val="start"/>
        <w:rPr>
          <w:rStyle w:val="Strong"/>
          <w:b/>
          <w:bCs/>
        </w:rPr>
      </w:pPr>
      <w:r>
        <w:rPr/>
      </w:r>
    </w:p>
    <w:p>
      <w:pPr>
        <w:pStyle w:val="BodyText"/>
        <w:bidi w:val="0"/>
        <w:jc w:val="start"/>
        <w:rPr>
          <w:rStyle w:val="Strong"/>
          <w:b/>
          <w:bCs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67050"/>
            <wp:effectExtent l="0" t="0" r="0" b="0"/>
            <wp:wrapSquare wrapText="largest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7. Recommendation</w:t>
      </w:r>
    </w:p>
    <w:p>
      <w:pPr>
        <w:pStyle w:val="BodyText"/>
        <w:bidi w:val="0"/>
        <w:jc w:val="start"/>
        <w:rPr/>
      </w:pPr>
      <w:r>
        <w:rPr/>
        <w:t xml:space="preserve">Forecasts show </w:t>
      </w:r>
      <w:r>
        <w:rPr>
          <w:rStyle w:val="Strong"/>
        </w:rPr>
        <w:t xml:space="preserve">continued high failure rates </w:t>
      </w:r>
      <w:r>
        <w:rPr>
          <w:rStyle w:val="Strong"/>
        </w:rPr>
        <w:t>above the threshold of 70% failure rate</w:t>
      </w:r>
      <w:r>
        <w:rPr/>
        <w:br/>
        <w:t xml:space="preserve">Management should </w:t>
      </w:r>
      <w:r>
        <w:rPr>
          <w:rStyle w:val="Strong"/>
        </w:rPr>
        <w:t xml:space="preserve">replace AIMS with SIMS </w:t>
      </w:r>
      <w:r>
        <w:rPr>
          <w:rStyle w:val="Strong"/>
          <w:b w:val="false"/>
          <w:bCs w:val="false"/>
        </w:rPr>
        <w:t>starting with the year 2025.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6"/>
          <w:szCs w:val="36"/>
        </w:rPr>
        <w:t>8</w:t>
      </w:r>
      <w:r>
        <w:rPr>
          <w:rStyle w:val="Strong"/>
          <w:b/>
          <w:bCs/>
          <w:sz w:val="36"/>
          <w:szCs w:val="36"/>
        </w:rPr>
        <w:t xml:space="preserve">. </w:t>
      </w:r>
      <w:r>
        <w:rPr>
          <w:rStyle w:val="Strong"/>
          <w:b/>
          <w:bCs/>
          <w:sz w:val="36"/>
          <w:szCs w:val="36"/>
        </w:rPr>
        <w:t>Conclusion</w:t>
      </w:r>
    </w:p>
    <w:p>
      <w:pPr>
        <w:pStyle w:val="BodyText"/>
        <w:ind w:hanging="0" w:start="0" w:end="0"/>
        <w:rPr/>
      </w:pPr>
      <w:r>
        <w:rPr/>
        <w:t>W</w:t>
      </w:r>
      <w:r>
        <w:rPr/>
        <w:t xml:space="preserve">e built </w:t>
      </w:r>
      <w:r>
        <w:rPr>
          <w:rStyle w:val="Strong"/>
        </w:rPr>
        <w:t>per-module models</w:t>
      </w:r>
      <w:r>
        <w:rPr/>
        <w:t xml:space="preserve"> with rigorous evaluation. </w:t>
      </w:r>
      <w:r>
        <w:rPr>
          <w:b/>
          <w:bCs/>
        </w:rPr>
        <w:t>ARIMA,</w:t>
      </w:r>
      <w:r>
        <w:rPr/>
        <w:t xml:space="preserve"> </w:t>
      </w:r>
      <w:r>
        <w:rPr>
          <w:b/>
          <w:bCs/>
        </w:rPr>
        <w:t xml:space="preserve">Linear Regression </w:t>
      </w:r>
      <w:r>
        <w:rPr>
          <w:rStyle w:val="Strong"/>
        </w:rPr>
        <w:t xml:space="preserve">and </w:t>
      </w:r>
      <w:r>
        <w:rPr>
          <w:rStyle w:val="Strong"/>
        </w:rPr>
        <w:t xml:space="preserve">Random Forest Regressor </w:t>
      </w:r>
      <w:r>
        <w:rPr/>
        <w:t xml:space="preserve">were selected as best performers. By aggregating forecasts into a </w:t>
      </w:r>
      <w:r>
        <w:rPr>
          <w:rStyle w:val="Strong"/>
        </w:rPr>
        <w:t>system-level risk score with 95% CI</w:t>
      </w:r>
      <w:r>
        <w:rPr/>
        <w:t xml:space="preserve">, we deliver </w:t>
      </w:r>
      <w:r>
        <w:rPr>
          <w:rStyle w:val="Strong"/>
        </w:rPr>
        <w:t>actionable, uncertainty-aware advice</w:t>
      </w:r>
      <w:r>
        <w:rPr/>
        <w:t>.</w:t>
      </w:r>
    </w:p>
    <w:p>
      <w:pPr>
        <w:pStyle w:val="BodyText"/>
        <w:ind w:hanging="0" w:start="0" w:end="0"/>
        <w:rPr/>
      </w:pPr>
      <w:r>
        <w:rPr>
          <w:rStyle w:val="Strong"/>
        </w:rPr>
        <w:t>Final Decision</w:t>
      </w:r>
      <w:r>
        <w:rPr/>
        <w:t>:</w:t>
      </w:r>
    </w:p>
    <w:p>
      <w:pPr>
        <w:pStyle w:val="BlockQuotation"/>
        <w:ind w:hanging="0" w:start="567" w:end="567"/>
        <w:rPr/>
      </w:pPr>
      <w:r>
        <w:rPr>
          <w:rStyle w:val="Strong"/>
        </w:rPr>
        <w:t>D</w:t>
      </w:r>
      <w:r>
        <w:rPr>
          <w:rStyle w:val="Strong"/>
        </w:rPr>
        <w:t xml:space="preserve">o </w:t>
      </w:r>
      <w:r>
        <w:rPr>
          <w:rStyle w:val="Strong"/>
        </w:rPr>
        <w:t xml:space="preserve">fund SIMS replacement now. </w:t>
      </w:r>
      <w:r>
        <w:rPr>
          <w:rStyle w:val="Strong"/>
        </w:rPr>
        <w:t>As the failure rates of AIMS will continue to be high, ie.  above 70% failure rate in the coming years.</w:t>
      </w:r>
    </w:p>
    <w:p>
      <w:pPr>
        <w:pStyle w:val="HorizontalLine"/>
        <w:rPr/>
      </w:pPr>
      <w:r>
        <w:rPr/>
      </w:r>
    </w:p>
    <w:p>
      <w:pPr>
        <w:pStyle w:val="BodyText"/>
        <w:ind w:hanging="0" w:start="0" w:end="0"/>
        <w:rPr/>
      </w:pPr>
      <w:r>
        <w:rPr>
          <w:rStyle w:val="Strong"/>
        </w:rPr>
        <w:t>Files Generated</w:t>
      </w:r>
      <w:r>
        <w:rPr/>
        <w:t>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best_models_summary.csv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AIMS_10year_risk.csv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Forecast plot (shown in presentation)</w:t>
      </w:r>
    </w:p>
    <w:p>
      <w:pPr>
        <w:pStyle w:val="BodyText"/>
        <w:bidi w:val="0"/>
        <w:jc w:val="start"/>
        <w:rPr/>
      </w:pPr>
      <w:r>
        <w:rPr>
          <w:rStyle w:val="Strong"/>
        </w:rPr>
        <w:t>Prepared by:</w:t>
      </w:r>
      <w:r>
        <w:rPr/>
        <w:br/>
        <w:t xml:space="preserve">Group </w:t>
      </w:r>
      <w:r>
        <w:rPr/>
        <w:t>8</w:t>
      </w:r>
      <w:r>
        <w:rPr>
          <w:rStyle w:val="Emphasis"/>
        </w:rPr>
        <w:t xml:space="preserve"> – Software Reliability &amp; Testing</w:t>
      </w:r>
      <w:r>
        <w:rPr/>
        <w:br/>
        <w:t>Mbarara University of Science and Technology • October 2025</w:t>
      </w:r>
    </w:p>
    <w:p>
      <w:pPr>
        <w:pStyle w:val="BodyText"/>
        <w:bidi w:val="0"/>
        <w:spacing w:before="0" w:after="140"/>
        <w:jc w:val="start"/>
        <w:rPr>
          <w:rStyle w:val="Strong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52</TotalTime>
  <Application>LibreOffice/24.2.7.2$Linux_X86_64 LibreOffice_project/420$Build-2</Application>
  <AppVersion>15.0000</AppVersion>
  <Pages>4</Pages>
  <Words>547</Words>
  <Characters>3394</Characters>
  <CharactersWithSpaces>3838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2025-10-23T05:56:03Z</dcterms:created>
  <dc:creator/>
  <dc:description/>
  <dc:language>en-US</dc:language>
  <cp:lastModifiedBy/>
  <dcterms:modified xsi:type="dcterms:W3CDTF">2025-10-30T01:06:53Z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