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1219200"/>
            <wp:effectExtent t="0" r="0" b="0" l="0"/>
            <wp:docPr id="1" name="logo-upt" descr="Escudo de la Universidad Privada de Tacna" title="Logo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219200"/>
                    </a:xfrm>
                    <a:prstGeom prst="rect">
                      <a:avLst/>
                    </a:prstGeom>
                  </pic:spPr>
                </pic:pic>
              </a:graphicData>
            </a:graphic>
          </wp:inline>
        </w:drawing>
      </w:r>
    </w:p>
    <w:p>
      <w:pPr>
        <w:spacing w:before="240"/>
        <w:jc w:val="center"/>
      </w:pPr>
      <w:r>
        <w:rPr>
          <w:rFonts w:ascii="Times New Roman" w:cs="Times New Roman" w:eastAsia="Times New Roman" w:hAnsi="Times New Roman"/>
          <w:b/>
          <w:bCs/>
          <w:sz w:val="28"/>
          <w:szCs w:val="28"/>
        </w:rPr>
        <w:t xml:space="preserve">UNIVERSIDAD PRIVADA DE TACNA</w:t>
      </w:r>
    </w:p>
    <w:p>
      <w:pPr>
        <w:jc w:val="center"/>
      </w:pPr>
      <w:r>
        <w:rPr>
          <w:rFonts w:ascii="Times New Roman" w:cs="Times New Roman" w:eastAsia="Times New Roman" w:hAnsi="Times New Roman"/>
          <w:b/>
          <w:bCs/>
          <w:sz w:val="26"/>
          <w:szCs w:val="26"/>
        </w:rPr>
        <w:t xml:space="preserve">FACULTAD DE INGENIERÍA</w:t>
      </w:r>
    </w:p>
    <w:p>
      <w:pPr>
        <w:jc w:val="center"/>
      </w:pPr>
      <w:r>
        <w:rPr>
          <w:rFonts w:ascii="Times New Roman" w:cs="Times New Roman" w:eastAsia="Times New Roman" w:hAnsi="Times New Roman"/>
          <w:b/>
          <w:bCs/>
          <w:sz w:val="26"/>
          <w:szCs w:val="26"/>
        </w:rPr>
        <w:t xml:space="preserve">Escuela Profesional de Ingeniería de Sistemas</w:t>
      </w:r>
    </w:p>
    <w:p>
      <w:pPr>
        <w:spacing w:before="480"/>
        <w:jc w:val="center"/>
      </w:pPr>
      <w:r>
        <w:rPr>
          <w:rFonts w:ascii="Times New Roman" w:cs="Times New Roman" w:eastAsia="Times New Roman" w:hAnsi="Times New Roman"/>
          <w:b/>
          <w:bCs/>
          <w:i/>
          <w:iCs/>
          <w:sz w:val="26"/>
          <w:szCs w:val="26"/>
        </w:rPr>
        <w:t xml:space="preserve">Proyecto: Analizador de Vulnerabilidades Web</w:t>
      </w:r>
    </w:p>
    <w:p>
      <w:pPr>
        <w:spacing w:before="360"/>
        <w:jc w:val="center"/>
      </w:pPr>
      <w:r>
        <w:rPr>
          <w:rFonts w:ascii="Times New Roman" w:cs="Times New Roman" w:eastAsia="Times New Roman" w:hAnsi="Times New Roman"/>
          <w:sz w:val="24"/>
          <w:szCs w:val="24"/>
        </w:rPr>
        <w:t xml:space="preserve">Curso: Calidad y Pruebas de Software</w:t>
      </w:r>
    </w:p>
    <w:p>
      <w:pPr>
        <w:jc w:val="center"/>
      </w:pPr>
      <w:r>
        <w:rPr>
          <w:rFonts w:ascii="Times New Roman" w:cs="Times New Roman" w:eastAsia="Times New Roman" w:hAnsi="Times New Roman"/>
          <w:sz w:val="24"/>
          <w:szCs w:val="24"/>
        </w:rPr>
        <w:t xml:space="preserve">Docente: Ing. Patrick Jose Cuadros Quiroga</w:t>
      </w:r>
    </w:p>
    <w:p>
      <w:pPr>
        <w:spacing w:before="360"/>
        <w:jc w:val="center"/>
      </w:pPr>
      <w:r>
        <w:rPr>
          <w:rFonts w:ascii="Times New Roman" w:cs="Times New Roman" w:eastAsia="Times New Roman" w:hAnsi="Times New Roman"/>
          <w:b/>
          <w:bCs/>
          <w:sz w:val="24"/>
          <w:szCs w:val="24"/>
        </w:rPr>
        <w:t xml:space="preserve">Integrantes:</w:t>
      </w:r>
    </w:p>
    <w:p>
      <w:pPr>
        <w:jc w:val="center"/>
      </w:pPr>
      <w:r>
        <w:rPr>
          <w:rFonts w:ascii="Times New Roman" w:cs="Times New Roman" w:eastAsia="Times New Roman" w:hAnsi="Times New Roman"/>
          <w:sz w:val="24"/>
          <w:szCs w:val="24"/>
        </w:rPr>
        <w:t xml:space="preserve">Ramos Loza, Mariela Estefany (2023077478)</w:t>
      </w:r>
    </w:p>
    <w:p>
      <w:pPr>
        <w:jc w:val="center"/>
      </w:pPr>
      <w:r>
        <w:rPr>
          <w:rFonts w:ascii="Times New Roman" w:cs="Times New Roman" w:eastAsia="Times New Roman" w:hAnsi="Times New Roman"/>
          <w:sz w:val="24"/>
          <w:szCs w:val="24"/>
        </w:rPr>
        <w:t xml:space="preserve">Calloticona Chambilla, Marymar D. (2023076791)</w:t>
      </w:r>
    </w:p>
    <w:p>
      <w:pPr>
        <w:spacing w:before="600"/>
        <w:jc w:val="center"/>
      </w:pPr>
      <w:r>
        <w:rPr>
          <w:rFonts w:ascii="Times New Roman" w:cs="Times New Roman" w:eastAsia="Times New Roman" w:hAnsi="Times New Roman"/>
          <w:b/>
          <w:bCs/>
          <w:sz w:val="24"/>
          <w:szCs w:val="24"/>
        </w:rPr>
        <w:t xml:space="preserve">Tacna – Perú</w:t>
      </w:r>
    </w:p>
    <w:p>
      <w:pPr>
        <w:jc w:val="center"/>
      </w:pPr>
      <w:r>
        <w:rPr>
          <w:rFonts w:ascii="Times New Roman" w:cs="Times New Roman" w:eastAsia="Times New Roman" w:hAnsi="Times New Roman"/>
          <w:b/>
          <w:bCs/>
          <w:sz w:val="24"/>
          <w:szCs w:val="24"/>
        </w:rPr>
        <w:t xml:space="preserve">2026</w:t>
      </w:r>
    </w:p>
    <w:p>
      <w:r>
        <w:br w:type="page"/>
      </w:r>
    </w:p>
    <w:p>
      <w:pPr>
        <w:jc w:val="center"/>
      </w:pPr>
      <w:r>
        <w:rPr>
          <w:rFonts w:ascii="Times New Roman" w:cs="Times New Roman" w:eastAsia="Times New Roman" w:hAnsi="Times New Roman"/>
          <w:b/>
          <w:bCs/>
          <w:sz w:val="28"/>
          <w:szCs w:val="28"/>
        </w:rPr>
        <w:t xml:space="preserve">Analizador de Vulnerabilidades Web</w:t>
      </w:r>
    </w:p>
    <w:p>
      <w:pPr>
        <w:spacing w:before="240"/>
        <w:jc w:val="center"/>
      </w:pPr>
      <w:r>
        <w:rPr>
          <w:rFonts w:ascii="Times New Roman" w:cs="Times New Roman" w:eastAsia="Times New Roman" w:hAnsi="Times New Roman"/>
          <w:b/>
          <w:bCs/>
          <w:sz w:val="28"/>
          <w:szCs w:val="28"/>
          <w:u w:val="single"/>
        </w:rPr>
        <w:t xml:space="preserve">Diccionario de Datos</w:t>
      </w:r>
    </w:p>
    <w:p>
      <w:pPr>
        <w:spacing w:before="240"/>
        <w:jc w:val="center"/>
      </w:pPr>
      <w:r>
        <w:rPr>
          <w:rFonts w:ascii="Times New Roman" w:cs="Times New Roman" w:eastAsia="Times New Roman" w:hAnsi="Times New Roman"/>
          <w:sz w:val="24"/>
          <w:szCs w:val="24"/>
        </w:rPr>
        <w:t xml:space="preserve">Versión 1.0</w:t>
      </w:r>
    </w:p>
    <w:p>
      <w:pPr>
        <w:spacing w:after="160" w:before="200"/>
      </w:pPr>
      <w:r>
        <w:rPr>
          <w:rFonts w:ascii="Times New Roman" w:cs="Times New Roman" w:eastAsia="Times New Roman" w:hAnsi="Times New Roman"/>
          <w:b/>
          <w:bCs/>
          <w:sz w:val="22"/>
          <w:szCs w:val="22"/>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600"/>
        <w:gridCol w:w="1400"/>
        <w:gridCol w:w="2260"/>
      </w:tblGrid>
      <w:t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Versión</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Hecha por</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Revisada por</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Aprobada por</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Fecha</w:t>
            </w:r>
          </w:p>
        </w:tc>
        <w:tc>
          <w:tcPr>
            <w:tcW w:type="dxa" w:w="226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Motivo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Grupo de trabajo</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4/7/2026</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Versión original</w:t>
            </w:r>
          </w:p>
        </w:tc>
      </w:tr>
    </w:tbl>
    <w:p>
      <w:r>
        <w:br w:type="page"/>
      </w:r>
    </w:p>
    <w:p>
      <w:pPr>
        <w:pStyle w:val="Heading1"/>
        <w:spacing w:after="160" w:before="300"/>
      </w:pPr>
      <w:r>
        <w:rPr>
          <w:rFonts w:ascii="Times New Roman" w:cs="Times New Roman" w:eastAsia="Times New Roman" w:hAnsi="Times New Roman"/>
        </w:rPr>
        <w:t xml:space="preserve">1. Introducción</w:t>
      </w:r>
    </w:p>
    <w:p>
      <w:pPr>
        <w:spacing w:after="160"/>
      </w:pPr>
      <w:r>
        <w:rPr>
          <w:rFonts w:ascii="Times New Roman" w:cs="Times New Roman" w:eastAsia="Times New Roman" w:hAnsi="Times New Roman"/>
          <w:sz w:val="22"/>
          <w:szCs w:val="22"/>
        </w:rPr>
        <w:t xml:space="preserve">El presente documento describe la estructura de la base de datos del sistema “Analizador de Vulnerabilidades Web” (Web Vulnerability Scanner). Su objetivo es servir como referencia técnica de las tablas, campos, tipos de datos, restricciones y relaciones utilizadas por el backend (FastAPI + SQLAlchemy) sobre una base de datos MySQL/MariaDB.</w:t>
      </w:r>
    </w:p>
    <w:p>
      <w:pPr>
        <w:spacing w:after="160"/>
      </w:pPr>
      <w:r>
        <w:rPr>
          <w:rFonts w:ascii="Times New Roman" w:cs="Times New Roman" w:eastAsia="Times New Roman" w:hAnsi="Times New Roman"/>
          <w:sz w:val="22"/>
          <w:szCs w:val="22"/>
        </w:rPr>
        <w:t xml:space="preserve">La base de datos está compuesta por cuatro tablas principales: users, api_keys, scans y vulnerabilities, descritas en las siguientes secciones.</w:t>
      </w:r>
    </w:p>
    <w:p>
      <w:pPr>
        <w:pStyle w:val="Heading1"/>
        <w:spacing w:after="160" w:before="300"/>
      </w:pPr>
      <w:r>
        <w:rPr>
          <w:rFonts w:ascii="Times New Roman" w:cs="Times New Roman" w:eastAsia="Times New Roman" w:hAnsi="Times New Roman"/>
        </w:rPr>
        <w:t xml:space="preserve">2. Modelo de Datos (Diagrama Entidad-Relación)</w:t>
      </w:r>
    </w:p>
    <w:p>
      <w:pPr>
        <w:jc w:val="center"/>
      </w:pPr>
      <w:r>
        <w:drawing>
          <wp:inline distT="0" distB="0" distL="0" distR="0">
            <wp:extent cx="4572000" cy="4094922"/>
            <wp:effectExtent t="0" r="0" b="0" l="0"/>
            <wp:docPr id="1" name="er-diagram" descr="Diagrama de relaciones entre tablas"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94922"/>
                    </a:xfrm>
                    <a:prstGeom prst="rect">
                      <a:avLst/>
                    </a:prstGeom>
                  </pic:spPr>
                </pic:pic>
              </a:graphicData>
            </a:graphic>
          </wp:inline>
        </w:drawing>
      </w:r>
    </w:p>
    <w:p>
      <w:pPr>
        <w:spacing w:after="160"/>
      </w:pPr>
      <w:r>
        <w:rPr>
          <w:rFonts w:ascii="Times New Roman" w:cs="Times New Roman" w:eastAsia="Times New Roman" w:hAnsi="Times New Roman"/>
          <w:sz w:val="22"/>
          <w:szCs w:val="22"/>
        </w:rPr>
        <w:t xml:space="preserve">Relaciones:</w:t>
      </w:r>
    </w:p>
    <w:p>
      <w:pPr>
        <w:pStyle w:val="ListParagraph"/>
        <w:numPr>
          <w:ilvl w:val="0"/>
          <w:numId w:val="2"/>
        </w:numPr>
      </w:pPr>
      <w:r>
        <w:rPr>
          <w:rFonts w:ascii="Times New Roman" w:cs="Times New Roman" w:eastAsia="Times New Roman" w:hAnsi="Times New Roman"/>
          <w:sz w:val="22"/>
          <w:szCs w:val="22"/>
        </w:rPr>
        <w:t xml:space="preserve">users (1) — (N) scans: un usuario puede tener muchos escaneos; cada escaneo pertenece a un único usuario.</w:t>
      </w:r>
    </w:p>
    <w:p>
      <w:pPr>
        <w:pStyle w:val="ListParagraph"/>
        <w:numPr>
          <w:ilvl w:val="0"/>
          <w:numId w:val="2"/>
        </w:numPr>
      </w:pPr>
      <w:r>
        <w:rPr>
          <w:rFonts w:ascii="Times New Roman" w:cs="Times New Roman" w:eastAsia="Times New Roman" w:hAnsi="Times New Roman"/>
          <w:sz w:val="22"/>
          <w:szCs w:val="22"/>
        </w:rPr>
        <w:t xml:space="preserve">users (1) — (N) api_keys: un usuario puede tener múltiples API keys activas o revocadas.</w:t>
      </w:r>
    </w:p>
    <w:p>
      <w:pPr>
        <w:pStyle w:val="ListParagraph"/>
        <w:numPr>
          <w:ilvl w:val="0"/>
          <w:numId w:val="2"/>
        </w:numPr>
      </w:pPr>
      <w:r>
        <w:rPr>
          <w:rFonts w:ascii="Times New Roman" w:cs="Times New Roman" w:eastAsia="Times New Roman" w:hAnsi="Times New Roman"/>
          <w:sz w:val="22"/>
          <w:szCs w:val="22"/>
        </w:rPr>
        <w:t xml:space="preserve">scans (1) — (N) vulnerabilities: un escaneo puede generar múltiples hallazgos de vulnerabilidad.</w:t>
      </w:r>
    </w:p>
    <w:p>
      <w:pPr>
        <w:spacing w:after="160"/>
      </w:pPr>
      <w:r>
        <w:rPr>
          <w:rFonts w:ascii="Times New Roman" w:cs="Times New Roman" w:eastAsia="Times New Roman" w:hAnsi="Times New Roman"/>
          <w:sz w:val="22"/>
          <w:szCs w:val="22"/>
        </w:rPr>
        <w:t xml:space="preserve">Todas las relaciones usan borrado en cascada (ON DELETE CASCADE): al eliminar un usuario se eliminan sus escaneos y api keys; al eliminar un escaneo se eliminan sus vulnerabilidades asociadas.</w:t>
      </w:r>
    </w:p>
    <w:p>
      <w:r>
        <w:br w:type="page"/>
      </w:r>
    </w:p>
    <w:p>
      <w:pPr>
        <w:pStyle w:val="Heading1"/>
        <w:spacing w:after="160" w:before="300"/>
      </w:pPr>
      <w:r>
        <w:rPr>
          <w:rFonts w:ascii="Times New Roman" w:cs="Times New Roman" w:eastAsia="Times New Roman" w:hAnsi="Times New Roman"/>
        </w:rPr>
        <w:t xml:space="preserve">3. Descripción Detallada de Tablas</w:t>
      </w:r>
    </w:p>
    <w:p>
      <w:pPr>
        <w:pStyle w:val="Heading2"/>
        <w:spacing w:after="120" w:before="220"/>
      </w:pPr>
      <w:r>
        <w:rPr>
          <w:rFonts w:ascii="Times New Roman" w:cs="Times New Roman" w:eastAsia="Times New Roman" w:hAnsi="Times New Roman"/>
        </w:rPr>
        <w:t xml:space="preserve">Tabla: users</w:t>
      </w:r>
    </w:p>
    <w:p>
      <w:pPr>
        <w:spacing w:after="160"/>
      </w:pPr>
      <w:r>
        <w:rPr>
          <w:rFonts w:ascii="Times New Roman" w:cs="Times New Roman" w:eastAsia="Times New Roman" w:hAnsi="Times New Roman"/>
          <w:sz w:val="22"/>
          <w:szCs w:val="22"/>
        </w:rPr>
        <w:t xml:space="preserve">Almacena las cuentas de usuario registradas en la plataforma, junto con sus credenciales y rol.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700"/>
        <w:gridCol w:w="700"/>
        <w:gridCol w:w="3700"/>
      </w:tblGrid>
      <w:tr>
        <w:tc>
          <w:tcPr>
            <w:tcW w:type="dxa" w:w="15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Campo</w:t>
            </w:r>
          </w:p>
        </w:tc>
        <w:tc>
          <w:tcPr>
            <w:tcW w:type="dxa" w:w="14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Tipo de dato</w:t>
            </w:r>
          </w:p>
        </w:tc>
        <w:tc>
          <w:tcPr>
            <w:tcW w:type="dxa" w:w="9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Tamaño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Nulo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Clave</w:t>
            </w:r>
          </w:p>
        </w:tc>
        <w:tc>
          <w:tcPr>
            <w:tcW w:type="dxa" w:w="3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Descripción</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PK</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Identificador único del usuario, autoincremental.</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email</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255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UNIQUE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Correo electrónico del usuario, usado para iniciar sesión.</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username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100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Nombre de usuario visible dentro de la plataforma.</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password_hash</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255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Hash de la contraseña generado con bcrypt (nunca se guarda en texto plano).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is_admin</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BOOLEAN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false)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Indica si el usuario tiene privilegios de administrador.</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created_at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y hora de creación de la cuenta (asignada por el servidor).</w:t>
            </w:r>
          </w:p>
        </w:tc>
      </w:tr>
    </w:tbl>
    <w:p>
      <w:pPr>
        <w:spacing w:after="240"/>
      </w:pPr>
    </w:p>
    <w:p>
      <w:pPr>
        <w:pStyle w:val="Heading2"/>
        <w:spacing w:after="120" w:before="220"/>
      </w:pPr>
      <w:r>
        <w:rPr>
          <w:rFonts w:ascii="Times New Roman" w:cs="Times New Roman" w:eastAsia="Times New Roman" w:hAnsi="Times New Roman"/>
        </w:rPr>
        <w:t xml:space="preserve">Tabla: api_keys</w:t>
      </w:r>
    </w:p>
    <w:p>
      <w:pPr>
        <w:spacing w:after="160"/>
      </w:pPr>
      <w:r>
        <w:rPr>
          <w:rFonts w:ascii="Times New Roman" w:cs="Times New Roman" w:eastAsia="Times New Roman" w:hAnsi="Times New Roman"/>
          <w:sz w:val="22"/>
          <w:szCs w:val="22"/>
        </w:rPr>
        <w:t xml:space="preserve">Almacena las credenciales de integración (API keys) que permiten el acceso programático a la API (usadas por la Skill de Claude Code, la extensión de VS Code y el agente de GitHub Copilot).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700"/>
        <w:gridCol w:w="700"/>
        <w:gridCol w:w="3700"/>
      </w:tblGrid>
      <w:tr>
        <w:tc>
          <w:tcPr>
            <w:tcW w:type="dxa" w:w="15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Campo</w:t>
            </w:r>
          </w:p>
        </w:tc>
        <w:tc>
          <w:tcPr>
            <w:tcW w:type="dxa" w:w="14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Tipo de dato</w:t>
            </w:r>
          </w:p>
        </w:tc>
        <w:tc>
          <w:tcPr>
            <w:tcW w:type="dxa" w:w="9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Tamaño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Nulo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Clave</w:t>
            </w:r>
          </w:p>
        </w:tc>
        <w:tc>
          <w:tcPr>
            <w:tcW w:type="dxa" w:w="3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Descripción</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PK</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Identificador único de la API key.</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user_id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FK -&gt; users.id</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Usuario propietario de la key (ON DELETE CASCADE).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name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120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Nombre descriptivo asignado por el usuario (ej. "claude-skill").</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key_prefix</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Primeros caracteres de la key, usados para identificarla sin exponerla completa.</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key_hash</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64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UNIQUE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Hash SHA-256 de la API key completa; la key en texto plano no se almacena.</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scopes</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JSON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Lista de permisos otorgados: scans:read, scans:write, stats:read.</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is_active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BOOLEAN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true)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Indica si la key sigue vigente para autenticar peticiones.</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created_at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de creación de la key.</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last_used_at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Última vez que la key fue usada para autenticar una petición.</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expires_at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de expiración opcional definida al crear la key.</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revoked_at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en la que la key fue revocada manualmente, si aplica.</w:t>
            </w:r>
          </w:p>
        </w:tc>
      </w:tr>
    </w:tbl>
    <w:p>
      <w:pPr>
        <w:spacing w:after="240"/>
      </w:pPr>
    </w:p>
    <w:p>
      <w:r>
        <w:br w:type="page"/>
      </w:r>
    </w:p>
    <w:p>
      <w:pPr>
        <w:pStyle w:val="Heading2"/>
        <w:spacing w:after="120" w:before="220"/>
      </w:pPr>
      <w:r>
        <w:rPr>
          <w:rFonts w:ascii="Times New Roman" w:cs="Times New Roman" w:eastAsia="Times New Roman" w:hAnsi="Times New Roman"/>
        </w:rPr>
        <w:t xml:space="preserve">Tabla: scans</w:t>
      </w:r>
    </w:p>
    <w:p>
      <w:pPr>
        <w:spacing w:after="160"/>
      </w:pPr>
      <w:r>
        <w:rPr>
          <w:rFonts w:ascii="Times New Roman" w:cs="Times New Roman" w:eastAsia="Times New Roman" w:hAnsi="Times New Roman"/>
          <w:sz w:val="22"/>
          <w:szCs w:val="22"/>
        </w:rPr>
        <w:t xml:space="preserve">Registra cada solicitud de escaneo de seguridad realizada sobre una URL objetivo, junto con su configuración, estado y resultado agregado.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700"/>
        <w:gridCol w:w="700"/>
        <w:gridCol w:w="3700"/>
      </w:tblGrid>
      <w:tr>
        <w:tc>
          <w:tcPr>
            <w:tcW w:type="dxa" w:w="15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Campo</w:t>
            </w:r>
          </w:p>
        </w:tc>
        <w:tc>
          <w:tcPr>
            <w:tcW w:type="dxa" w:w="14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Tipo de dato</w:t>
            </w:r>
          </w:p>
        </w:tc>
        <w:tc>
          <w:tcPr>
            <w:tcW w:type="dxa" w:w="9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Tamaño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Nulo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Clave</w:t>
            </w:r>
          </w:p>
        </w:tc>
        <w:tc>
          <w:tcPr>
            <w:tcW w:type="dxa" w:w="3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Descripción</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PK</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Identificador único del escaneo.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user_id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FK -&gt; users.id</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Usuario que solicitó el escaneo (ON DELETE CASCADE).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target_url</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2048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URL objetivo que se analiza en busca de vulnerabilidades.</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status</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32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pending)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Estado del escaneo: pending, running, completed o failed.</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modules</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JSON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Módulos ejecutados: xss, sqli, headers, csrf, open_redirect, info_disclosure.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depth</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Profundidad de rastreo del sitio (rango 0 a 3).</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timeout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10)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Tiempo máximo de espera por petición HTTP, en segundos.</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progress</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Porcentaje de avance del escaneo (0 a 100).</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risk_score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 (def. 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Puntaje de riesgo calculado en función de las vulnerabilidades halladas (0 a 100).</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ai_summary</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TEXT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Resumen del escaneo generado por IA (DeepSeek) o de forma local si no hay API key configurada.</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error_message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TEXT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Detalle del error si el escaneo terminó en estado failed.</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created_at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de creación del registro de escaneo.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started_at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en que el escaneo comenzó a ejecutarse.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completed_at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en que el escaneo finalizó (completado o fallido).</w:t>
            </w:r>
          </w:p>
        </w:tc>
      </w:tr>
    </w:tbl>
    <w:p>
      <w:pPr>
        <w:spacing w:after="240"/>
      </w:pPr>
    </w:p>
    <w:p>
      <w:r>
        <w:br w:type="page"/>
      </w:r>
    </w:p>
    <w:p>
      <w:pPr>
        <w:pStyle w:val="Heading2"/>
        <w:spacing w:after="120" w:before="220"/>
      </w:pPr>
      <w:r>
        <w:rPr>
          <w:rFonts w:ascii="Times New Roman" w:cs="Times New Roman" w:eastAsia="Times New Roman" w:hAnsi="Times New Roman"/>
        </w:rPr>
        <w:t xml:space="preserve">Tabla: vulnerabilities</w:t>
      </w:r>
    </w:p>
    <w:p>
      <w:pPr>
        <w:spacing w:after="160"/>
      </w:pPr>
      <w:r>
        <w:rPr>
          <w:rFonts w:ascii="Times New Roman" w:cs="Times New Roman" w:eastAsia="Times New Roman" w:hAnsi="Times New Roman"/>
          <w:sz w:val="22"/>
          <w:szCs w:val="22"/>
        </w:rPr>
        <w:t xml:space="preserve">Almacena cada hallazgo individual detectado durante un escaneo, con su severidad, evidencia y recomendación de mitigación.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700"/>
        <w:gridCol w:w="700"/>
        <w:gridCol w:w="3700"/>
      </w:tblGrid>
      <w:tr>
        <w:tc>
          <w:tcPr>
            <w:tcW w:type="dxa" w:w="15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Campo</w:t>
            </w:r>
          </w:p>
        </w:tc>
        <w:tc>
          <w:tcPr>
            <w:tcW w:type="dxa" w:w="14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Tipo de dato</w:t>
            </w:r>
          </w:p>
        </w:tc>
        <w:tc>
          <w:tcPr>
            <w:tcW w:type="dxa" w:w="9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Tamaño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Nulo</w:t>
            </w:r>
          </w:p>
        </w:tc>
        <w:tc>
          <w:tcPr>
            <w:tcW w:type="dxa" w:w="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Clave</w:t>
            </w:r>
          </w:p>
        </w:tc>
        <w:tc>
          <w:tcPr>
            <w:tcW w:type="dxa" w:w="3700"/>
            <w:tcBorders>
              <w:top w:val="single" w:color="999999" w:sz="4"/>
              <w:left w:val="single" w:color="999999" w:sz="4"/>
              <w:bottom w:val="single" w:color="999999" w:sz="4"/>
              <w:right w:val="single" w:color="999999" w:sz="4"/>
            </w:tcBorders>
            <w:shd w:fill="2C5F8A"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Descripción</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PK</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Identificador único del hallazgo.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scan_id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INTEGER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FK -&gt; scans.id</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Escaneo al que pertenece el hallazgo (ON DELETE CASCADE).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module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64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Módulo que detectó el hallazgo (xss, sqli, headers, csrf, open_redirect, info_disclosure).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severity</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Nivel de severidad: critical, high, medium, low o info.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title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255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Título corto del hallazgo.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description</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TEXT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Descripción detallada de la vulnerabilidad encontrada.</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evidence</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TEXT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Evidencia del hallazgo: por ejemplo el payload reflejado en un XSS o el patrón de error en un SQLi.</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remediation</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TEXT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Recomendación para corregir o mitigar la vulnerabilidad.</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url</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2048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URL exacta donde se detectó el hallazgo.</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parameter</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VARCHAR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255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Sí</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Parámetro afectado, cuando aplica (por ejemplo, un parámetro de consulta vulnerable).</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created_at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DATETIME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No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sz w:val="18"/>
                <w:szCs w:val="18"/>
              </w:rPr>
              <w:t xml:space="preserve">Fecha de registro del hallazgo.</w:t>
            </w:r>
          </w:p>
        </w:tc>
      </w:tr>
    </w:tbl>
    <w:p>
      <w:pPr>
        <w:spacing w:after="240"/>
      </w:pPr>
    </w:p>
    <w:p>
      <w:pPr>
        <w:pStyle w:val="Heading1"/>
        <w:spacing w:after="160" w:before="300"/>
      </w:pPr>
      <w:r>
        <w:rPr>
          <w:rFonts w:ascii="Times New Roman" w:cs="Times New Roman" w:eastAsia="Times New Roman" w:hAnsi="Times New Roman"/>
        </w:rPr>
        <w:t xml:space="preserve">4. Convenciones de Nomenclatura de la Base de Datos</w:t>
      </w:r>
    </w:p>
    <w:p>
      <w:pPr>
        <w:pStyle w:val="ListParagraph"/>
        <w:numPr>
          <w:ilvl w:val="0"/>
          <w:numId w:val="2"/>
        </w:numPr>
      </w:pPr>
      <w:r>
        <w:rPr>
          <w:rFonts w:ascii="Times New Roman" w:cs="Times New Roman" w:eastAsia="Times New Roman" w:hAnsi="Times New Roman"/>
          <w:sz w:val="22"/>
          <w:szCs w:val="22"/>
        </w:rPr>
        <w:t xml:space="preserve">Nombres de tablas en plural y en inglés, en snake_case (users, api_keys, scans, vulnerabilities).</w:t>
      </w:r>
    </w:p>
    <w:p>
      <w:pPr>
        <w:pStyle w:val="ListParagraph"/>
        <w:numPr>
          <w:ilvl w:val="0"/>
          <w:numId w:val="2"/>
        </w:numPr>
      </w:pPr>
      <w:r>
        <w:rPr>
          <w:rFonts w:ascii="Times New Roman" w:cs="Times New Roman" w:eastAsia="Times New Roman" w:hAnsi="Times New Roman"/>
          <w:sz w:val="22"/>
          <w:szCs w:val="22"/>
        </w:rPr>
        <w:t xml:space="preserve">Nombres de columnas en snake_case (target_url, created_at, is_admin).</w:t>
      </w:r>
    </w:p>
    <w:p>
      <w:pPr>
        <w:pStyle w:val="ListParagraph"/>
        <w:numPr>
          <w:ilvl w:val="0"/>
          <w:numId w:val="2"/>
        </w:numPr>
      </w:pPr>
      <w:r>
        <w:rPr>
          <w:rFonts w:ascii="Times New Roman" w:cs="Times New Roman" w:eastAsia="Times New Roman" w:hAnsi="Times New Roman"/>
          <w:sz w:val="22"/>
          <w:szCs w:val="22"/>
        </w:rPr>
        <w:t xml:space="preserve">Las claves foráneas siguen el patrón &lt;tabla_singular&gt;_id (user_id, scan_id).</w:t>
      </w:r>
    </w:p>
    <w:p>
      <w:pPr>
        <w:pStyle w:val="ListParagraph"/>
        <w:numPr>
          <w:ilvl w:val="0"/>
          <w:numId w:val="2"/>
        </w:numPr>
      </w:pPr>
      <w:r>
        <w:rPr>
          <w:rFonts w:ascii="Times New Roman" w:cs="Times New Roman" w:eastAsia="Times New Roman" w:hAnsi="Times New Roman"/>
          <w:sz w:val="22"/>
          <w:szCs w:val="22"/>
        </w:rPr>
        <w:t xml:space="preserve">Las columnas de fecha usan el sufijo _at (created_at, started_at, completed_at, revoked_at).</w:t>
      </w:r>
    </w:p>
    <w:p>
      <w:pPr>
        <w:pStyle w:val="ListParagraph"/>
        <w:numPr>
          <w:ilvl w:val="0"/>
          <w:numId w:val="2"/>
        </w:numPr>
      </w:pPr>
      <w:r>
        <w:rPr>
          <w:rFonts w:ascii="Times New Roman" w:cs="Times New Roman" w:eastAsia="Times New Roman" w:hAnsi="Times New Roman"/>
          <w:sz w:val="22"/>
          <w:szCs w:val="22"/>
        </w:rPr>
        <w:t xml:space="preserve">Las columnas booleanas usan el prefijo is_ (is_admin, is_active).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09053680e528fa52977b0d4bc134f9f8b4b7f3.png"/><Relationship Id="rId8" Type="http://schemas.openxmlformats.org/officeDocument/2006/relationships/image" Target="media/2e7939c97978d85d649ecdaee53df552cb02a1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2026-07-04T17:24:20.037Z</dcterms:created>
  <dcterms:modified xsi:type="dcterms:W3CDTF">2026-07-04T17:24:20.037Z</dcterms:modified>
</cp:coreProperties>
</file>

<file path=docProps/custom.xml><?xml version="1.0" encoding="utf-8"?>
<Properties xmlns="http://schemas.openxmlformats.org/officeDocument/2006/custom-properties" xmlns:vt="http://schemas.openxmlformats.org/officeDocument/2006/docPropsVTypes"/>
</file>