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Best Performing Experiment:</w:t>
        <w:br w:type="textWrapping"/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The combination of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Random Forest with GridSearchCV and SMOTE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yielded the best performance, especially in terms of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F1-score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and </w:t>
      </w: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recall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, effectively handling the class imbalance.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Challenges Faced: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Dealing with imbalanced data impacted early model accuracy.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Selecting the right hyperparameters required multiple tuning iterations.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Interpreting the effects of L1 vs L2 regularization was nuanced.</w:t>
        <w:br w:type="textWrapping"/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Key Learnings from Each Experiment: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Feature Scaling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improved Logistic Regression but had little impact on tree-based models.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Train-Test Split Change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slightly influenced generalization, with 80/20 yielding slightly better results.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Regularization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helped reduce overfitting and improved interpretability in Logistic Regression.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SMOTE</w:t>
      </w:r>
      <w:r w:rsidDel="00000000" w:rsidR="00000000" w:rsidRPr="00000000">
        <w:rPr>
          <w:rFonts w:ascii="Montserrat" w:cs="Montserrat" w:eastAsia="Montserrat" w:hAnsi="Montserrat"/>
          <w:sz w:val="30"/>
          <w:szCs w:val="30"/>
          <w:rtl w:val="0"/>
        </w:rPr>
        <w:t xml:space="preserve"> significantly boosted performance for the minority class, especially in recall.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