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44"/>
          <w:szCs w:val="44"/>
        </w:rPr>
        <w:t xml:space="preserve">AIR QUALITY PREDICTION USING MACHINE LEARNING</w:t>
      </w:r>
    </w:p>
    <w:p>
      <w:pPr>
        <w:spacing w:after="800"/>
        <w:jc w:val="center"/>
      </w:pPr>
      <w:r>
        <w:rPr>
          <w:i/>
          <w:iCs/>
          <w:color w:val="595959"/>
          <w:sz w:val="26"/>
          <w:szCs w:val="26"/>
        </w:rPr>
        <w:t xml:space="preserve">A Multi-Class Classification Approach to Forecasting Air Quality Index Categories Across Indian Cities</w:t>
      </w:r>
    </w:p>
    <w:p>
      <w:pPr>
        <w:spacing w:after="200"/>
        <w:jc w:val="center"/>
      </w:pPr>
      <w:r>
        <w:rPr>
          <w:b/>
          <w:bCs/>
          <w:sz w:val="24"/>
          <w:szCs w:val="24"/>
        </w:rPr>
        <w:t xml:space="preserve">Final Project Documentation</w:t>
      </w:r>
    </w:p>
    <w:p>
      <w:pPr>
        <w:spacing w:after="3000"/>
        <w:jc w:val="center"/>
      </w:pPr>
      <w:r>
        <w:rPr>
          <w:color w:val="595959"/>
          <w:sz w:val="22"/>
          <w:szCs w:val="22"/>
        </w:rPr>
        <w:t xml:space="preserve">Machine Learning / Data Science Track</w:t>
      </w:r>
    </w:p>
    <w:p>
      <w:pPr>
        <w:spacing w:after="80"/>
        <w:jc w:val="center"/>
      </w:pPr>
      <w:r>
        <w:rPr>
          <w:sz w:val="20"/>
          <w:szCs w:val="20"/>
        </w:rPr>
        <w:t xml:space="preserve">Dataset: India Air Quality Dataset (2025–2026)</w:t>
      </w:r>
    </w:p>
    <w:p>
      <w:pPr>
        <w:spacing w:after="80"/>
        <w:jc w:val="center"/>
      </w:pPr>
      <w:r>
        <w:rPr>
          <w:sz w:val="20"/>
          <w:szCs w:val="20"/>
        </w:rPr>
        <w:t xml:space="preserve">Source: Kaggle — yogeshm01/india-air-quality-dataset-20252026</w:t>
      </w:r>
    </w:p>
    <w:p>
      <w:pPr>
        <w:jc w:val="center"/>
      </w:pPr>
      <w:r>
        <w:rPr>
          <w:sz w:val="20"/>
          <w:szCs w:val="20"/>
        </w:rPr>
        <w:t xml:space="preserve">Document prepared as academic project documentation</w:t>
      </w:r>
    </w:p>
    <w:p>
      <w:r>
        <w:br w:type="page"/>
      </w:r>
    </w:p>
    <w:p>
      <w:pPr>
        <w:pStyle w:val="Heading1"/>
        <w:pBdr>
          <w:bottom w:val="single" w:color="1F3864" w:sz="8" w:space="4"/>
        </w:pBdr>
        <w:spacing w:after="240" w:before="480"/>
      </w:pPr>
      <w:r>
        <w:rPr>
          <w:b/>
          <w:bCs/>
          <w:color w:val="1F3864"/>
          <w:sz w:val="32"/>
          <w:szCs w:val="32"/>
        </w:rPr>
        <w:t xml:space="preserve">1. Abstract</w:t>
      </w:r>
    </w:p>
    <w:p>
      <w:pPr>
        <w:spacing w:after="200" w:line="300"/>
        <w:jc w:val="both"/>
      </w:pPr>
      <w:r>
        <w:rPr>
          <w:sz w:val="22"/>
          <w:szCs w:val="22"/>
        </w:rPr>
        <w:t xml:space="preserve">Air pollution has emerged as one of the most pressing environmental and public-health challenges faced by rapidly urbanizing economies, and India — home to some of the most densely populated and heavily industrialized metropolitan regions in the world — is no exception. This project presents a complete, end-to-end machine learning pipeline for classifying air quality into standardized Air Quality Index (AQI) categories using a real-world, government-monitored pollution dataset comprising 10,521 observations collected across multiple Indian states and cities. The dataset integrates pollutant concentration readings (including PM2.5, PM10, NO2, SO2, CO, and Ozone), meteorological variables (temperature, humidity, and wind speed), and temporal attributes (year, month, day, hour, day of week, and season).</w:t>
      </w:r>
    </w:p>
    <w:p>
      <w:pPr>
        <w:spacing w:after="200" w:line="300"/>
        <w:jc w:val="both"/>
      </w:pPr>
      <w:r>
        <w:rPr>
          <w:sz w:val="22"/>
          <w:szCs w:val="22"/>
        </w:rPr>
        <w:t xml:space="preserve">The objective of the project is to build a supervised multi-class classification system capable of predicting the categorical AQI_Bucket label — Good, Moderate, Unhealthy for Sensitive Groups, Unhealthy, Very Unhealthy, or Hazardous — from the recorded pollutant and environmental features. The methodology follows a structured data-science workflow: exploratory data analysis to understand feature distributions and inter-variable relationships, data cleaning to address missing pollutant readings, categorical encoding of non-numeric attributes, and an 80/20 stratified train-test split to preserve class proportions. Five classification algorithms were implemented and benchmarked against one another: Random Forest, Gradient Boosting, Linear Support Vector Classification (LinearSVC), K-Nearest Neighbors (KNN), and Logistic Regression.</w:t>
      </w:r>
    </w:p>
    <w:p>
      <w:pPr>
        <w:spacing w:after="200" w:line="300"/>
        <w:jc w:val="both"/>
      </w:pPr>
      <w:r>
        <w:rPr>
          <w:sz w:val="22"/>
          <w:szCs w:val="22"/>
        </w:rPr>
        <w:t xml:space="preserve">Model performance was assessed using accuracy, precision, recall, F1-score, confusion matrices, and 5-fold stratified cross-validation. The results demonstrate that ensemble tree-based methods substantially outperform linear and distance-based classifiers on this task. The Gradient Boosting Classifier achieved the highest test-set accuracy at 99.90%, followed closely by the Random Forest Classifier at 99.14%, while K-Nearest Neighbors, LinearSVC, and Logistic Regression achieved 93.73%, 81.81%, and 81.66% respectively. Feature importance analysis confirmed that pollutant concentration statistics — particularly the average pollutant reading — are the dominant predictors of AQI category, which aligns with the domain knowledge that AQI is itself derived from pollutant concentrations. The best-performing model was subsequently serialized and deployed within an interactive Streamlit web application, allowing end users to input environmental conditions and receive a real-time AQI category prediction together with class probability estimates.</w:t>
      </w:r>
    </w:p>
    <w:p>
      <w:pPr>
        <w:pStyle w:val="Heading1"/>
        <w:pBdr>
          <w:bottom w:val="single" w:color="1F3864" w:sz="8" w:space="4"/>
        </w:pBdr>
        <w:spacing w:after="240" w:before="480"/>
      </w:pPr>
      <w:r>
        <w:rPr>
          <w:b/>
          <w:bCs/>
          <w:color w:val="1F3864"/>
          <w:sz w:val="32"/>
          <w:szCs w:val="32"/>
        </w:rPr>
        <w:t xml:space="preserve">2. Introduction</w:t>
      </w:r>
    </w:p>
    <w:p>
      <w:pPr>
        <w:pStyle w:val="Heading2"/>
        <w:spacing w:after="180" w:before="360"/>
      </w:pPr>
      <w:r>
        <w:rPr>
          <w:b/>
          <w:bCs/>
          <w:color w:val="2E75B6"/>
          <w:sz w:val="26"/>
          <w:szCs w:val="26"/>
        </w:rPr>
        <w:t xml:space="preserve">2.1 Air Pollution</w:t>
      </w:r>
    </w:p>
    <w:p>
      <w:pPr>
        <w:spacing w:after="200" w:line="300"/>
        <w:jc w:val="both"/>
      </w:pPr>
      <w:r>
        <w:rPr>
          <w:sz w:val="22"/>
          <w:szCs w:val="22"/>
        </w:rPr>
        <w:t xml:space="preserve">Air pollution refers to the contamination of the atmosphere by substances — gases, particulates, and biological molecules — that are harmful to human health, ecosystems, and the built environment. Major pollutants include particulate matter (PM2.5 and PM10), nitrogen dioxide (NO2), sulphur dioxide (SO2), carbon monoxide (CO), ozone (O3), and ammonia (NH3), all of which appear as monitored pollutant types within the dataset used in this project. These pollutants originate from a combination of vehicular emissions, industrial activity, construction dust, biomass and crop-residue burning, and meteorological factors that influence how pollutants disperse or accumulate in the atmosphere. In the Indian context, air pollution is strongly seasonal and geographically variable, with northern cities typically experiencing markedly elevated pollution levels during the winter months due to temperature inversions, reduced wind speeds, and increased biomass burning.</w:t>
      </w:r>
    </w:p>
    <w:p>
      <w:pPr>
        <w:pStyle w:val="Heading2"/>
        <w:spacing w:after="180" w:before="360"/>
      </w:pPr>
      <w:r>
        <w:rPr>
          <w:b/>
          <w:bCs/>
          <w:color w:val="2E75B6"/>
          <w:sz w:val="26"/>
          <w:szCs w:val="26"/>
        </w:rPr>
        <w:t xml:space="preserve">2.2 Air Quality Index (AQI)</w:t>
      </w:r>
    </w:p>
    <w:p>
      <w:pPr>
        <w:spacing w:after="200" w:line="300"/>
        <w:jc w:val="both"/>
      </w:pPr>
      <w:r>
        <w:rPr>
          <w:sz w:val="22"/>
          <w:szCs w:val="22"/>
        </w:rPr>
        <w:t xml:space="preserve">The Air Quality Index (AQI) is a standardized numerical scale used by regulatory bodies such as India's Central Pollution Control Board (CPCB) to communicate the health implications of ambient air pollution to the general public in an easily interpretable form. Rather than requiring citizens to interpret raw pollutant concentrations in micrograms per cubic metre, the AQI converts these measurements into a single index value, typically ranging from 0 to 500, which is further grouped into descriptive categories. Within the dataset analyzed in this project, the AQI is partitioned into six such categories, each associated with a defined numerical sub-range, as verified directly from the data:</w:t>
      </w:r>
    </w:p>
    <w:p>
      <w:pPr>
        <w:spacing w:after="80" w:before="200"/>
        <w:jc w:val="center"/>
      </w:pPr>
      <w:r>
        <w:drawing>
          <wp:inline distT="0" distB="0" distL="0" distR="0">
            <wp:extent cx="4762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47850"/>
                    </a:xfrm>
                    <a:prstGeom prst="rect">
                      <a:avLst/>
                    </a:prstGeom>
                  </pic:spPr>
                </pic:pic>
              </a:graphicData>
            </a:graphic>
          </wp:inline>
        </w:drawing>
      </w:r>
    </w:p>
    <w:p>
      <w:pPr>
        <w:spacing w:after="260" w:before="80"/>
        <w:jc w:val="center"/>
      </w:pPr>
      <w:r>
        <w:rPr>
          <w:i/>
          <w:iCs/>
          <w:color w:val="595959"/>
          <w:sz w:val="19"/>
          <w:szCs w:val="19"/>
        </w:rPr>
        <w:t xml:space="preserve">Figure 1. AQI category boundaries as observed in the dataset (df.groupby('AQI_Bucket')['AQI'].agg(['min','max'])).</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26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AQI Category</w:t>
            </w:r>
          </w:p>
        </w:tc>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AQI Range</w:t>
            </w:r>
          </w:p>
        </w:tc>
        <w:tc>
          <w:tcPr>
            <w:tcW w:type="dxa" w:w="4260"/>
            <w:shd w:fill="1F3864" w:val="clear"/>
            <w:tcMar>
              <w:top w:type="dxa" w:w="80"/>
              <w:left w:type="dxa" w:w="100"/>
              <w:bottom w:type="dxa" w:w="80"/>
              <w:right w:type="dxa" w:w="100"/>
            </w:tcMar>
            <w:vAlign w:val="center"/>
          </w:tcPr>
          <w:p>
            <w:pPr>
              <w:jc w:val="left"/>
            </w:pPr>
            <w:r>
              <w:rPr>
                <w:b/>
                <w:bCs/>
                <w:color w:val="FFFFFF"/>
                <w:sz w:val="19"/>
                <w:szCs w:val="19"/>
              </w:rPr>
              <w:t xml:space="preserve">General Health Implication</w:t>
            </w:r>
          </w:p>
        </w:tc>
      </w:tr>
      <w:tr>
        <w:tc>
          <w:tcPr>
            <w:tcW w:type="dxa" w:w="3200"/>
            <w:shd w:fill="FFFFFF" w:val="clear"/>
            <w:tcMar>
              <w:top w:type="dxa" w:w="60"/>
              <w:left w:type="dxa" w:w="100"/>
              <w:bottom w:type="dxa" w:w="60"/>
              <w:right w:type="dxa" w:w="100"/>
            </w:tcMar>
            <w:vAlign w:val="center"/>
          </w:tcPr>
          <w:p>
            <w:r>
              <w:rPr>
                <w:sz w:val="19"/>
                <w:szCs w:val="19"/>
              </w:rPr>
              <w:t xml:space="preserve">Good</w:t>
            </w:r>
          </w:p>
        </w:tc>
        <w:tc>
          <w:tcPr>
            <w:tcW w:type="dxa" w:w="2000"/>
            <w:shd w:fill="FFFFFF" w:val="clear"/>
            <w:tcMar>
              <w:top w:type="dxa" w:w="60"/>
              <w:left w:type="dxa" w:w="100"/>
              <w:bottom w:type="dxa" w:w="60"/>
              <w:right w:type="dxa" w:w="100"/>
            </w:tcMar>
            <w:vAlign w:val="center"/>
          </w:tcPr>
          <w:p>
            <w:r>
              <w:rPr>
                <w:sz w:val="19"/>
                <w:szCs w:val="19"/>
              </w:rPr>
              <w:t xml:space="preserve">0 – 50</w:t>
            </w:r>
          </w:p>
        </w:tc>
        <w:tc>
          <w:tcPr>
            <w:tcW w:type="dxa" w:w="4260"/>
            <w:shd w:fill="FFFFFF" w:val="clear"/>
            <w:tcMar>
              <w:top w:type="dxa" w:w="60"/>
              <w:left w:type="dxa" w:w="100"/>
              <w:bottom w:type="dxa" w:w="60"/>
              <w:right w:type="dxa" w:w="100"/>
            </w:tcMar>
            <w:vAlign w:val="center"/>
          </w:tcPr>
          <w:p>
            <w:r>
              <w:rPr>
                <w:sz w:val="19"/>
                <w:szCs w:val="19"/>
              </w:rPr>
              <w:t xml:space="preserve">Minimal health risk</w:t>
            </w:r>
          </w:p>
        </w:tc>
      </w:tr>
      <w:tr>
        <w:tc>
          <w:tcPr>
            <w:tcW w:type="dxa" w:w="3200"/>
            <w:shd w:fill="F2F2F2" w:val="clear"/>
            <w:tcMar>
              <w:top w:type="dxa" w:w="60"/>
              <w:left w:type="dxa" w:w="100"/>
              <w:bottom w:type="dxa" w:w="60"/>
              <w:right w:type="dxa" w:w="100"/>
            </w:tcMar>
            <w:vAlign w:val="center"/>
          </w:tcPr>
          <w:p>
            <w:r>
              <w:rPr>
                <w:sz w:val="19"/>
                <w:szCs w:val="19"/>
              </w:rPr>
              <w:t xml:space="preserve">Moderate</w:t>
            </w:r>
          </w:p>
        </w:tc>
        <w:tc>
          <w:tcPr>
            <w:tcW w:type="dxa" w:w="2000"/>
            <w:shd w:fill="F2F2F2" w:val="clear"/>
            <w:tcMar>
              <w:top w:type="dxa" w:w="60"/>
              <w:left w:type="dxa" w:w="100"/>
              <w:bottom w:type="dxa" w:w="60"/>
              <w:right w:type="dxa" w:w="100"/>
            </w:tcMar>
            <w:vAlign w:val="center"/>
          </w:tcPr>
          <w:p>
            <w:r>
              <w:rPr>
                <w:sz w:val="19"/>
                <w:szCs w:val="19"/>
              </w:rPr>
              <w:t xml:space="preserve">51 – 100</w:t>
            </w:r>
          </w:p>
        </w:tc>
        <w:tc>
          <w:tcPr>
            <w:tcW w:type="dxa" w:w="4260"/>
            <w:shd w:fill="F2F2F2" w:val="clear"/>
            <w:tcMar>
              <w:top w:type="dxa" w:w="60"/>
              <w:left w:type="dxa" w:w="100"/>
              <w:bottom w:type="dxa" w:w="60"/>
              <w:right w:type="dxa" w:w="100"/>
            </w:tcMar>
            <w:vAlign w:val="center"/>
          </w:tcPr>
          <w:p>
            <w:r>
              <w:rPr>
                <w:sz w:val="19"/>
                <w:szCs w:val="19"/>
              </w:rPr>
              <w:t xml:space="preserve">Acceptable; minor risk for unusually sensitive individuals</w:t>
            </w:r>
          </w:p>
        </w:tc>
      </w:tr>
      <w:tr>
        <w:tc>
          <w:tcPr>
            <w:tcW w:type="dxa" w:w="3200"/>
            <w:shd w:fill="FFFFFF" w:val="clear"/>
            <w:tcMar>
              <w:top w:type="dxa" w:w="60"/>
              <w:left w:type="dxa" w:w="100"/>
              <w:bottom w:type="dxa" w:w="60"/>
              <w:right w:type="dxa" w:w="100"/>
            </w:tcMar>
            <w:vAlign w:val="center"/>
          </w:tcPr>
          <w:p>
            <w:r>
              <w:rPr>
                <w:sz w:val="19"/>
                <w:szCs w:val="19"/>
              </w:rPr>
              <w:t xml:space="preserve">Unhealthy for Sensitive Groups</w:t>
            </w:r>
          </w:p>
        </w:tc>
        <w:tc>
          <w:tcPr>
            <w:tcW w:type="dxa" w:w="2000"/>
            <w:shd w:fill="FFFFFF" w:val="clear"/>
            <w:tcMar>
              <w:top w:type="dxa" w:w="60"/>
              <w:left w:type="dxa" w:w="100"/>
              <w:bottom w:type="dxa" w:w="60"/>
              <w:right w:type="dxa" w:w="100"/>
            </w:tcMar>
            <w:vAlign w:val="center"/>
          </w:tcPr>
          <w:p>
            <w:r>
              <w:rPr>
                <w:sz w:val="19"/>
                <w:szCs w:val="19"/>
              </w:rPr>
              <w:t xml:space="preserve">101 – 150</w:t>
            </w:r>
          </w:p>
        </w:tc>
        <w:tc>
          <w:tcPr>
            <w:tcW w:type="dxa" w:w="4260"/>
            <w:shd w:fill="FFFFFF" w:val="clear"/>
            <w:tcMar>
              <w:top w:type="dxa" w:w="60"/>
              <w:left w:type="dxa" w:w="100"/>
              <w:bottom w:type="dxa" w:w="60"/>
              <w:right w:type="dxa" w:w="100"/>
            </w:tcMar>
            <w:vAlign w:val="center"/>
          </w:tcPr>
          <w:p>
            <w:r>
              <w:rPr>
                <w:sz w:val="19"/>
                <w:szCs w:val="19"/>
              </w:rPr>
              <w:t xml:space="preserve">Sensitive groups may experience health effects</w:t>
            </w:r>
          </w:p>
        </w:tc>
      </w:tr>
      <w:tr>
        <w:tc>
          <w:tcPr>
            <w:tcW w:type="dxa" w:w="3200"/>
            <w:shd w:fill="F2F2F2" w:val="clear"/>
            <w:tcMar>
              <w:top w:type="dxa" w:w="60"/>
              <w:left w:type="dxa" w:w="100"/>
              <w:bottom w:type="dxa" w:w="60"/>
              <w:right w:type="dxa" w:w="100"/>
            </w:tcMar>
            <w:vAlign w:val="center"/>
          </w:tcPr>
          <w:p>
            <w:r>
              <w:rPr>
                <w:sz w:val="19"/>
                <w:szCs w:val="19"/>
              </w:rPr>
              <w:t xml:space="preserve">Unhealthy</w:t>
            </w:r>
          </w:p>
        </w:tc>
        <w:tc>
          <w:tcPr>
            <w:tcW w:type="dxa" w:w="2000"/>
            <w:shd w:fill="F2F2F2" w:val="clear"/>
            <w:tcMar>
              <w:top w:type="dxa" w:w="60"/>
              <w:left w:type="dxa" w:w="100"/>
              <w:bottom w:type="dxa" w:w="60"/>
              <w:right w:type="dxa" w:w="100"/>
            </w:tcMar>
            <w:vAlign w:val="center"/>
          </w:tcPr>
          <w:p>
            <w:r>
              <w:rPr>
                <w:sz w:val="19"/>
                <w:szCs w:val="19"/>
              </w:rPr>
              <w:t xml:space="preserve">151 – 200</w:t>
            </w:r>
          </w:p>
        </w:tc>
        <w:tc>
          <w:tcPr>
            <w:tcW w:type="dxa" w:w="4260"/>
            <w:shd w:fill="F2F2F2" w:val="clear"/>
            <w:tcMar>
              <w:top w:type="dxa" w:w="60"/>
              <w:left w:type="dxa" w:w="100"/>
              <w:bottom w:type="dxa" w:w="60"/>
              <w:right w:type="dxa" w:w="100"/>
            </w:tcMar>
            <w:vAlign w:val="center"/>
          </w:tcPr>
          <w:p>
            <w:r>
              <w:rPr>
                <w:sz w:val="19"/>
                <w:szCs w:val="19"/>
              </w:rPr>
              <w:t xml:space="preserve">General public may begin to experience health effects</w:t>
            </w:r>
          </w:p>
        </w:tc>
      </w:tr>
      <w:tr>
        <w:tc>
          <w:tcPr>
            <w:tcW w:type="dxa" w:w="3200"/>
            <w:shd w:fill="FFFFFF" w:val="clear"/>
            <w:tcMar>
              <w:top w:type="dxa" w:w="60"/>
              <w:left w:type="dxa" w:w="100"/>
              <w:bottom w:type="dxa" w:w="60"/>
              <w:right w:type="dxa" w:w="100"/>
            </w:tcMar>
            <w:vAlign w:val="center"/>
          </w:tcPr>
          <w:p>
            <w:r>
              <w:rPr>
                <w:sz w:val="19"/>
                <w:szCs w:val="19"/>
              </w:rPr>
              <w:t xml:space="preserve">Very Unhealthy</w:t>
            </w:r>
          </w:p>
        </w:tc>
        <w:tc>
          <w:tcPr>
            <w:tcW w:type="dxa" w:w="2000"/>
            <w:shd w:fill="FFFFFF" w:val="clear"/>
            <w:tcMar>
              <w:top w:type="dxa" w:w="60"/>
              <w:left w:type="dxa" w:w="100"/>
              <w:bottom w:type="dxa" w:w="60"/>
              <w:right w:type="dxa" w:w="100"/>
            </w:tcMar>
            <w:vAlign w:val="center"/>
          </w:tcPr>
          <w:p>
            <w:r>
              <w:rPr>
                <w:sz w:val="19"/>
                <w:szCs w:val="19"/>
              </w:rPr>
              <w:t xml:space="preserve">201 – 300</w:t>
            </w:r>
          </w:p>
        </w:tc>
        <w:tc>
          <w:tcPr>
            <w:tcW w:type="dxa" w:w="4260"/>
            <w:shd w:fill="FFFFFF" w:val="clear"/>
            <w:tcMar>
              <w:top w:type="dxa" w:w="60"/>
              <w:left w:type="dxa" w:w="100"/>
              <w:bottom w:type="dxa" w:w="60"/>
              <w:right w:type="dxa" w:w="100"/>
            </w:tcMar>
            <w:vAlign w:val="center"/>
          </w:tcPr>
          <w:p>
            <w:r>
              <w:rPr>
                <w:sz w:val="19"/>
                <w:szCs w:val="19"/>
              </w:rPr>
              <w:t xml:space="preserve">Increased likelihood of adverse health effects for all</w:t>
            </w:r>
          </w:p>
        </w:tc>
      </w:tr>
      <w:tr>
        <w:tc>
          <w:tcPr>
            <w:tcW w:type="dxa" w:w="3200"/>
            <w:shd w:fill="F2F2F2" w:val="clear"/>
            <w:tcMar>
              <w:top w:type="dxa" w:w="60"/>
              <w:left w:type="dxa" w:w="100"/>
              <w:bottom w:type="dxa" w:w="60"/>
              <w:right w:type="dxa" w:w="100"/>
            </w:tcMar>
            <w:vAlign w:val="center"/>
          </w:tcPr>
          <w:p>
            <w:r>
              <w:rPr>
                <w:sz w:val="19"/>
                <w:szCs w:val="19"/>
              </w:rPr>
              <w:t xml:space="preserve">Hazardous</w:t>
            </w:r>
          </w:p>
        </w:tc>
        <w:tc>
          <w:tcPr>
            <w:tcW w:type="dxa" w:w="2000"/>
            <w:shd w:fill="F2F2F2" w:val="clear"/>
            <w:tcMar>
              <w:top w:type="dxa" w:w="60"/>
              <w:left w:type="dxa" w:w="100"/>
              <w:bottom w:type="dxa" w:w="60"/>
              <w:right w:type="dxa" w:w="100"/>
            </w:tcMar>
            <w:vAlign w:val="center"/>
          </w:tcPr>
          <w:p>
            <w:r>
              <w:rPr>
                <w:sz w:val="19"/>
                <w:szCs w:val="19"/>
              </w:rPr>
              <w:t xml:space="preserve">301 – 499</w:t>
            </w:r>
          </w:p>
        </w:tc>
        <w:tc>
          <w:tcPr>
            <w:tcW w:type="dxa" w:w="4260"/>
            <w:shd w:fill="F2F2F2" w:val="clear"/>
            <w:tcMar>
              <w:top w:type="dxa" w:w="60"/>
              <w:left w:type="dxa" w:w="100"/>
              <w:bottom w:type="dxa" w:w="60"/>
              <w:right w:type="dxa" w:w="100"/>
            </w:tcMar>
            <w:vAlign w:val="center"/>
          </w:tcPr>
          <w:p>
            <w:r>
              <w:rPr>
                <w:sz w:val="19"/>
                <w:szCs w:val="19"/>
              </w:rPr>
              <w:t xml:space="preserve">Serious risk of health effects for the entire population</w:t>
            </w:r>
          </w:p>
        </w:tc>
      </w:tr>
    </w:tbl>
    <w:p>
      <w:pPr>
        <w:pStyle w:val="Heading2"/>
        <w:spacing w:after="180" w:before="360"/>
      </w:pPr>
      <w:r>
        <w:rPr>
          <w:b/>
          <w:bCs/>
          <w:color w:val="2E75B6"/>
          <w:sz w:val="26"/>
          <w:szCs w:val="26"/>
        </w:rPr>
        <w:t xml:space="preserve">2.3 Why AQI Prediction Is Important</w:t>
      </w:r>
    </w:p>
    <w:p>
      <w:pPr>
        <w:spacing w:after="200" w:line="300"/>
        <w:jc w:val="both"/>
      </w:pPr>
      <w:r>
        <w:rPr>
          <w:sz w:val="22"/>
          <w:szCs w:val="22"/>
        </w:rPr>
        <w:t xml:space="preserve">Accurate and timely prediction of AQI categories carries significant practical value across several domains. From a public-health perspective, predictive systems enable early-warning mechanisms that allow vulnerable populations — children, the elderly, and individuals with respiratory or cardiovascular conditions — to limit outdoor exposure before pollution levels peak. From an urban-planning and policy perspective, predictive models support regulatory decision-making, such as triggering the Graded Response Action Plan (GRAP) measures used in Indian cities, including construction bans or vehicle-usage restrictions, ahead of anticipated pollution spikes rather than reactively. From a technological standpoint, AQI prediction exemplifies a broader class of environmental time-series and sensor-driven classification problems, making it a valuable pedagogical case study for applying and comparing multiple machine learning classification algorithms on real, imperfect, real-world data.</w:t>
      </w:r>
    </w:p>
    <w:p>
      <w:pPr>
        <w:pStyle w:val="Heading2"/>
        <w:spacing w:after="180" w:before="360"/>
      </w:pPr>
      <w:r>
        <w:rPr>
          <w:b/>
          <w:bCs/>
          <w:color w:val="2E75B6"/>
          <w:sz w:val="26"/>
          <w:szCs w:val="26"/>
        </w:rPr>
        <w:t xml:space="preserve">2.4 Motivation Behind the Project</w:t>
      </w:r>
    </w:p>
    <w:p>
      <w:pPr>
        <w:spacing w:after="200" w:line="300"/>
        <w:jc w:val="both"/>
      </w:pPr>
      <w:r>
        <w:rPr>
          <w:sz w:val="22"/>
          <w:szCs w:val="22"/>
        </w:rPr>
        <w:t xml:space="preserve">The motivation for this project stems from the practical need to move beyond simple pollutant reporting toward predictive, decision-support systems. While the AQI value itself is deterministically computed from pollutant concentrations using CPCB sub-index formulas, the objective here is to demonstrate that a machine learning classifier can learn the mapping between measured environmental conditions (pollutant statistics, weather variables, and temporal context) and the resulting AQI category, without needing to hard-code the official sub-index calculation rules. This has practical significance because it allows the same modeling approach to generalize to related predictive tasks — for example, forecasting AQI ahead of time from weather forecasts alone, or estimating AQI in locations lacking dense monitoring infrastructure. Additionally, the project serves as a comprehensive exercise in the applied machine learning workflow: data acquisition, cleaning, exploratory analysis, feature encoding, multi-model benchmarking, rigorous evaluation, and deployment via a web interface.</w:t>
      </w:r>
    </w:p>
    <w:p>
      <w:pPr>
        <w:pStyle w:val="Heading1"/>
        <w:pBdr>
          <w:bottom w:val="single" w:color="1F3864" w:sz="8" w:space="4"/>
        </w:pBdr>
        <w:spacing w:after="240" w:before="480"/>
      </w:pPr>
      <w:r>
        <w:rPr>
          <w:b/>
          <w:bCs/>
          <w:color w:val="1F3864"/>
          <w:sz w:val="32"/>
          <w:szCs w:val="32"/>
        </w:rPr>
        <w:t xml:space="preserve">3. Project Objectives</w:t>
      </w:r>
    </w:p>
    <w:p>
      <w:pPr>
        <w:spacing w:after="200" w:line="300"/>
        <w:jc w:val="both"/>
      </w:pPr>
      <w:r>
        <w:rPr>
          <w:sz w:val="22"/>
          <w:szCs w:val="22"/>
        </w:rPr>
        <w:t xml:space="preserve">The project is structured around the following specific objectives:</w:t>
      </w:r>
    </w:p>
    <w:p>
      <w:pPr>
        <w:pStyle w:val="ListParagraph"/>
        <w:numPr>
          <w:ilvl w:val="0"/>
          <w:numId w:val="1"/>
        </w:numPr>
        <w:spacing w:after="100" w:line="280"/>
      </w:pPr>
      <w:r>
        <w:rPr>
          <w:sz w:val="22"/>
          <w:szCs w:val="22"/>
        </w:rPr>
        <w:t xml:space="preserve">To acquire and thoroughly explore a real-world, multi-city Indian air quality dataset containing pollutant, meteorological, and temporal features.</w:t>
      </w:r>
    </w:p>
    <w:p>
      <w:pPr>
        <w:pStyle w:val="ListParagraph"/>
        <w:numPr>
          <w:ilvl w:val="0"/>
          <w:numId w:val="1"/>
        </w:numPr>
        <w:spacing w:after="100" w:line="280"/>
      </w:pPr>
      <w:r>
        <w:rPr>
          <w:sz w:val="22"/>
          <w:szCs w:val="22"/>
        </w:rPr>
        <w:t xml:space="preserve">To identify and quantify data quality issues, particularly missing values in pollutant concentration fields, and to apply an appropriate imputation strategy.</w:t>
      </w:r>
    </w:p>
    <w:p>
      <w:pPr>
        <w:pStyle w:val="ListParagraph"/>
        <w:numPr>
          <w:ilvl w:val="0"/>
          <w:numId w:val="1"/>
        </w:numPr>
        <w:spacing w:after="100" w:line="280"/>
      </w:pPr>
      <w:r>
        <w:rPr>
          <w:sz w:val="22"/>
          <w:szCs w:val="22"/>
        </w:rPr>
        <w:t xml:space="preserve">To conduct exploratory data analysis (EDA) in order to understand the distribution of AQI categories, the behavior of individual pollutants, correlations among numeric features, and temporal and geographic patterns in air quality.</w:t>
      </w:r>
    </w:p>
    <w:p>
      <w:pPr>
        <w:pStyle w:val="ListParagraph"/>
        <w:numPr>
          <w:ilvl w:val="0"/>
          <w:numId w:val="1"/>
        </w:numPr>
        <w:spacing w:after="100" w:line="280"/>
      </w:pPr>
      <w:r>
        <w:rPr>
          <w:sz w:val="22"/>
          <w:szCs w:val="22"/>
        </w:rPr>
        <w:t xml:space="preserve">To transform categorical variables (state, pollutant type, and season) into numerical representations suitable for machine learning algorithms.</w:t>
      </w:r>
    </w:p>
    <w:p>
      <w:pPr>
        <w:pStyle w:val="ListParagraph"/>
        <w:numPr>
          <w:ilvl w:val="0"/>
          <w:numId w:val="1"/>
        </w:numPr>
        <w:spacing w:after="100" w:line="280"/>
      </w:pPr>
      <w:r>
        <w:rPr>
          <w:sz w:val="22"/>
          <w:szCs w:val="22"/>
        </w:rPr>
        <w:t xml:space="preserve">To construct a supervised multi-class classification pipeline that predicts the AQI_Bucket category from environmental and temporal features.</w:t>
      </w:r>
    </w:p>
    <w:p>
      <w:pPr>
        <w:pStyle w:val="ListParagraph"/>
        <w:numPr>
          <w:ilvl w:val="0"/>
          <w:numId w:val="1"/>
        </w:numPr>
        <w:spacing w:after="100" w:line="280"/>
      </w:pPr>
      <w:r>
        <w:rPr>
          <w:sz w:val="22"/>
          <w:szCs w:val="22"/>
        </w:rPr>
        <w:t xml:space="preserve">To train, evaluate, and compare five distinct classification algorithms — Random Forest, Gradient Boosting, LinearSVC, K-Nearest Neighbors, and Logistic Regression — using consistent train/test partitions.</w:t>
      </w:r>
    </w:p>
    <w:p>
      <w:pPr>
        <w:pStyle w:val="ListParagraph"/>
        <w:numPr>
          <w:ilvl w:val="0"/>
          <w:numId w:val="1"/>
        </w:numPr>
        <w:spacing w:after="100" w:line="280"/>
      </w:pPr>
      <w:r>
        <w:rPr>
          <w:sz w:val="22"/>
          <w:szCs w:val="22"/>
        </w:rPr>
        <w:t xml:space="preserve">To rigorously evaluate each model using accuracy, precision, recall, F1-score, confusion matrices, and stratified k-fold cross-validation, and to interpret these metrics in the context of a multi-class, class-imbalanced problem.</w:t>
      </w:r>
    </w:p>
    <w:p>
      <w:pPr>
        <w:pStyle w:val="ListParagraph"/>
        <w:numPr>
          <w:ilvl w:val="0"/>
          <w:numId w:val="1"/>
        </w:numPr>
        <w:spacing w:after="100" w:line="280"/>
      </w:pPr>
      <w:r>
        <w:rPr>
          <w:sz w:val="22"/>
          <w:szCs w:val="22"/>
        </w:rPr>
        <w:t xml:space="preserve">To identify which input features most strongly influence AQI category prediction, using feature importance analysis from the tree-based ensemble model.</w:t>
      </w:r>
    </w:p>
    <w:p>
      <w:pPr>
        <w:pStyle w:val="ListParagraph"/>
        <w:numPr>
          <w:ilvl w:val="0"/>
          <w:numId w:val="1"/>
        </w:numPr>
        <w:spacing w:after="100" w:line="280"/>
      </w:pPr>
      <w:r>
        <w:rPr>
          <w:sz w:val="22"/>
          <w:szCs w:val="22"/>
        </w:rPr>
        <w:t xml:space="preserve">To select the best-performing model and deploy it as an interactive, user-facing prediction application using Streamlit.</w:t>
      </w:r>
    </w:p>
    <w:p>
      <w:pPr>
        <w:pStyle w:val="Heading1"/>
        <w:pBdr>
          <w:bottom w:val="single" w:color="1F3864" w:sz="8" w:space="4"/>
        </w:pBdr>
        <w:spacing w:after="240" w:before="480"/>
      </w:pPr>
      <w:r>
        <w:rPr>
          <w:b/>
          <w:bCs/>
          <w:color w:val="1F3864"/>
          <w:sz w:val="32"/>
          <w:szCs w:val="32"/>
        </w:rPr>
        <w:t xml:space="preserve">4. Dataset Description</w:t>
      </w:r>
    </w:p>
    <w:p>
      <w:pPr>
        <w:pStyle w:val="Heading2"/>
        <w:spacing w:after="180" w:before="360"/>
      </w:pPr>
      <w:r>
        <w:rPr>
          <w:b/>
          <w:bCs/>
          <w:color w:val="2E75B6"/>
          <w:sz w:val="26"/>
          <w:szCs w:val="26"/>
        </w:rPr>
        <w:t xml:space="preserve">4.1 Dataset Source</w:t>
      </w:r>
    </w:p>
    <w:p>
      <w:pPr>
        <w:spacing w:after="200" w:line="300"/>
        <w:jc w:val="both"/>
      </w:pPr>
      <w:r>
        <w:rPr>
          <w:sz w:val="22"/>
          <w:szCs w:val="22"/>
        </w:rPr>
        <w:t xml:space="preserve">The dataset employed in this project is the 'India Air Quality Dataset (2025–2026)', obtained from Kaggle under the identifier yogeshm01/india-air-quality-dataset-20252026 and downloaded programmatically via the kagglehub library. The underlying CSV file, enriched_aqi_dataset.csv, contains real-time-style air quality station readings from monitoring stations distributed across Indian states and cities, consistent with the reporting structure used by India's Central Pollution Control Board (CPCB) network.</w:t>
      </w:r>
    </w:p>
    <w:p>
      <w:pPr>
        <w:pStyle w:val="Heading2"/>
        <w:spacing w:after="180" w:before="360"/>
      </w:pPr>
      <w:r>
        <w:rPr>
          <w:b/>
          <w:bCs/>
          <w:color w:val="2E75B6"/>
          <w:sz w:val="26"/>
          <w:szCs w:val="26"/>
        </w:rPr>
        <w:t xml:space="preserve">4.2 Number of Records and Features</w:t>
      </w:r>
    </w:p>
    <w:p>
      <w:pPr>
        <w:spacing w:after="200" w:line="300"/>
        <w:jc w:val="both"/>
      </w:pPr>
      <w:r>
        <w:rPr>
          <w:sz w:val="22"/>
          <w:szCs w:val="22"/>
        </w:rPr>
        <w:t xml:space="preserve">As confirmed directly from the notebook's output (df.shape), the raw dataset contains 10,521 records (rows) and 22 features (columns), spanning geographic, temporal, pollutant, and meteorological dimensions.</w:t>
      </w:r>
    </w:p>
    <w:p>
      <w:pPr>
        <w:pStyle w:val="Heading2"/>
        <w:spacing w:after="180" w:before="360"/>
      </w:pPr>
      <w:r>
        <w:rPr>
          <w:b/>
          <w:bCs/>
          <w:color w:val="2E75B6"/>
          <w:sz w:val="26"/>
          <w:szCs w:val="26"/>
        </w:rPr>
        <w:t xml:space="preserve">4.3 Description of Important Features</w:t>
      </w:r>
    </w:p>
    <w:p>
      <w:pPr>
        <w:spacing w:after="200" w:line="300"/>
        <w:jc w:val="both"/>
      </w:pPr>
      <w:r>
        <w:rPr>
          <w:sz w:val="22"/>
          <w:szCs w:val="22"/>
        </w:rPr>
        <w:t xml:space="preserve">The table below summarizes the role and meaning of each feature present in the dataset, grouped by category, as documented within the notebook itself.</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526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r>
              <w:rPr>
                <w:sz w:val="19"/>
                <w:szCs w:val="19"/>
              </w:rPr>
              <w:t xml:space="preserve">country</w:t>
            </w:r>
          </w:p>
        </w:tc>
        <w:tc>
          <w:tcPr>
            <w:tcW w:type="dxa" w:w="1800"/>
            <w:shd w:fill="FFFFFF" w:val="clear"/>
            <w:tcMar>
              <w:top w:type="dxa" w:w="60"/>
              <w:left w:type="dxa" w:w="100"/>
              <w:bottom w:type="dxa" w:w="60"/>
              <w:right w:type="dxa" w:w="100"/>
            </w:tcMar>
            <w:vAlign w:val="center"/>
          </w:tcPr>
          <w:p>
            <w:r>
              <w:rPr>
                <w:sz w:val="19"/>
                <w:szCs w:val="19"/>
              </w:rPr>
              <w:t xml:space="preserve">Location</w:t>
            </w:r>
          </w:p>
        </w:tc>
        <w:tc>
          <w:tcPr>
            <w:tcW w:type="dxa" w:w="5260"/>
            <w:shd w:fill="FFFFFF" w:val="clear"/>
            <w:tcMar>
              <w:top w:type="dxa" w:w="60"/>
              <w:left w:type="dxa" w:w="100"/>
              <w:bottom w:type="dxa" w:w="60"/>
              <w:right w:type="dxa" w:w="100"/>
            </w:tcMar>
            <w:vAlign w:val="center"/>
          </w:tcPr>
          <w:p>
            <w:r>
              <w:rPr>
                <w:sz w:val="19"/>
                <w:szCs w:val="19"/>
              </w:rPr>
              <w:t xml:space="preserve">Country of the monitoring station (constant: India).</w:t>
            </w:r>
          </w:p>
        </w:tc>
      </w:tr>
      <w:tr>
        <w:tc>
          <w:tcPr>
            <w:tcW w:type="dxa" w:w="2400"/>
            <w:shd w:fill="F2F2F2" w:val="clear"/>
            <w:tcMar>
              <w:top w:type="dxa" w:w="60"/>
              <w:left w:type="dxa" w:w="100"/>
              <w:bottom w:type="dxa" w:w="60"/>
              <w:right w:type="dxa" w:w="100"/>
            </w:tcMar>
            <w:vAlign w:val="center"/>
          </w:tcPr>
          <w:p>
            <w:r>
              <w:rPr>
                <w:sz w:val="19"/>
                <w:szCs w:val="19"/>
              </w:rPr>
              <w:t xml:space="preserve">state</w:t>
            </w:r>
          </w:p>
        </w:tc>
        <w:tc>
          <w:tcPr>
            <w:tcW w:type="dxa" w:w="1800"/>
            <w:shd w:fill="F2F2F2" w:val="clear"/>
            <w:tcMar>
              <w:top w:type="dxa" w:w="60"/>
              <w:left w:type="dxa" w:w="100"/>
              <w:bottom w:type="dxa" w:w="60"/>
              <w:right w:type="dxa" w:w="100"/>
            </w:tcMar>
            <w:vAlign w:val="center"/>
          </w:tcPr>
          <w:p>
            <w:r>
              <w:rPr>
                <w:sz w:val="19"/>
                <w:szCs w:val="19"/>
              </w:rPr>
              <w:t xml:space="preserve">Location</w:t>
            </w:r>
          </w:p>
        </w:tc>
        <w:tc>
          <w:tcPr>
            <w:tcW w:type="dxa" w:w="5260"/>
            <w:shd w:fill="F2F2F2" w:val="clear"/>
            <w:tcMar>
              <w:top w:type="dxa" w:w="60"/>
              <w:left w:type="dxa" w:w="100"/>
              <w:bottom w:type="dxa" w:w="60"/>
              <w:right w:type="dxa" w:w="100"/>
            </w:tcMar>
            <w:vAlign w:val="center"/>
          </w:tcPr>
          <w:p>
            <w:r>
              <w:rPr>
                <w:sz w:val="19"/>
                <w:szCs w:val="19"/>
              </w:rPr>
              <w:t xml:space="preserve">Indian state in which the station is located.</w:t>
            </w:r>
          </w:p>
        </w:tc>
      </w:tr>
      <w:tr>
        <w:tc>
          <w:tcPr>
            <w:tcW w:type="dxa" w:w="2400"/>
            <w:shd w:fill="FFFFFF" w:val="clear"/>
            <w:tcMar>
              <w:top w:type="dxa" w:w="60"/>
              <w:left w:type="dxa" w:w="100"/>
              <w:bottom w:type="dxa" w:w="60"/>
              <w:right w:type="dxa" w:w="100"/>
            </w:tcMar>
            <w:vAlign w:val="center"/>
          </w:tcPr>
          <w:p>
            <w:r>
              <w:rPr>
                <w:sz w:val="19"/>
                <w:szCs w:val="19"/>
              </w:rPr>
              <w:t xml:space="preserve">city</w:t>
            </w:r>
          </w:p>
        </w:tc>
        <w:tc>
          <w:tcPr>
            <w:tcW w:type="dxa" w:w="1800"/>
            <w:shd w:fill="FFFFFF" w:val="clear"/>
            <w:tcMar>
              <w:top w:type="dxa" w:w="60"/>
              <w:left w:type="dxa" w:w="100"/>
              <w:bottom w:type="dxa" w:w="60"/>
              <w:right w:type="dxa" w:w="100"/>
            </w:tcMar>
            <w:vAlign w:val="center"/>
          </w:tcPr>
          <w:p>
            <w:r>
              <w:rPr>
                <w:sz w:val="19"/>
                <w:szCs w:val="19"/>
              </w:rPr>
              <w:t xml:space="preserve">Location</w:t>
            </w:r>
          </w:p>
        </w:tc>
        <w:tc>
          <w:tcPr>
            <w:tcW w:type="dxa" w:w="5260"/>
            <w:shd w:fill="FFFFFF" w:val="clear"/>
            <w:tcMar>
              <w:top w:type="dxa" w:w="60"/>
              <w:left w:type="dxa" w:w="100"/>
              <w:bottom w:type="dxa" w:w="60"/>
              <w:right w:type="dxa" w:w="100"/>
            </w:tcMar>
            <w:vAlign w:val="center"/>
          </w:tcPr>
          <w:p>
            <w:r>
              <w:rPr>
                <w:sz w:val="19"/>
                <w:szCs w:val="19"/>
              </w:rPr>
              <w:t xml:space="preserve">City in which the station is located.</w:t>
            </w:r>
          </w:p>
        </w:tc>
      </w:tr>
      <w:tr>
        <w:tc>
          <w:tcPr>
            <w:tcW w:type="dxa" w:w="2400"/>
            <w:shd w:fill="F2F2F2" w:val="clear"/>
            <w:tcMar>
              <w:top w:type="dxa" w:w="60"/>
              <w:left w:type="dxa" w:w="100"/>
              <w:bottom w:type="dxa" w:w="60"/>
              <w:right w:type="dxa" w:w="100"/>
            </w:tcMar>
            <w:vAlign w:val="center"/>
          </w:tcPr>
          <w:p>
            <w:r>
              <w:rPr>
                <w:sz w:val="19"/>
                <w:szCs w:val="19"/>
              </w:rPr>
              <w:t xml:space="preserve">station</w:t>
            </w:r>
          </w:p>
        </w:tc>
        <w:tc>
          <w:tcPr>
            <w:tcW w:type="dxa" w:w="1800"/>
            <w:shd w:fill="F2F2F2" w:val="clear"/>
            <w:tcMar>
              <w:top w:type="dxa" w:w="60"/>
              <w:left w:type="dxa" w:w="100"/>
              <w:bottom w:type="dxa" w:w="60"/>
              <w:right w:type="dxa" w:w="100"/>
            </w:tcMar>
            <w:vAlign w:val="center"/>
          </w:tcPr>
          <w:p>
            <w:r>
              <w:rPr>
                <w:sz w:val="19"/>
                <w:szCs w:val="19"/>
              </w:rPr>
              <w:t xml:space="preserve">Location</w:t>
            </w:r>
          </w:p>
        </w:tc>
        <w:tc>
          <w:tcPr>
            <w:tcW w:type="dxa" w:w="5260"/>
            <w:shd w:fill="F2F2F2" w:val="clear"/>
            <w:tcMar>
              <w:top w:type="dxa" w:w="60"/>
              <w:left w:type="dxa" w:w="100"/>
              <w:bottom w:type="dxa" w:w="60"/>
              <w:right w:type="dxa" w:w="100"/>
            </w:tcMar>
            <w:vAlign w:val="center"/>
          </w:tcPr>
          <w:p>
            <w:r>
              <w:rPr>
                <w:sz w:val="19"/>
                <w:szCs w:val="19"/>
              </w:rPr>
              <w:t xml:space="preserve">Specific name/identifier of the monitoring station.</w:t>
            </w:r>
          </w:p>
        </w:tc>
      </w:tr>
      <w:tr>
        <w:tc>
          <w:tcPr>
            <w:tcW w:type="dxa" w:w="2400"/>
            <w:shd w:fill="FFFFFF" w:val="clear"/>
            <w:tcMar>
              <w:top w:type="dxa" w:w="60"/>
              <w:left w:type="dxa" w:w="100"/>
              <w:bottom w:type="dxa" w:w="60"/>
              <w:right w:type="dxa" w:w="100"/>
            </w:tcMar>
            <w:vAlign w:val="center"/>
          </w:tcPr>
          <w:p>
            <w:r>
              <w:rPr>
                <w:sz w:val="19"/>
                <w:szCs w:val="19"/>
              </w:rPr>
              <w:t xml:space="preserve">latitude / longitude</w:t>
            </w:r>
          </w:p>
        </w:tc>
        <w:tc>
          <w:tcPr>
            <w:tcW w:type="dxa" w:w="1800"/>
            <w:shd w:fill="FFFFFF" w:val="clear"/>
            <w:tcMar>
              <w:top w:type="dxa" w:w="60"/>
              <w:left w:type="dxa" w:w="100"/>
              <w:bottom w:type="dxa" w:w="60"/>
              <w:right w:type="dxa" w:w="100"/>
            </w:tcMar>
            <w:vAlign w:val="center"/>
          </w:tcPr>
          <w:p>
            <w:r>
              <w:rPr>
                <w:sz w:val="19"/>
                <w:szCs w:val="19"/>
              </w:rPr>
              <w:t xml:space="preserve">Location</w:t>
            </w:r>
          </w:p>
        </w:tc>
        <w:tc>
          <w:tcPr>
            <w:tcW w:type="dxa" w:w="5260"/>
            <w:shd w:fill="FFFFFF" w:val="clear"/>
            <w:tcMar>
              <w:top w:type="dxa" w:w="60"/>
              <w:left w:type="dxa" w:w="100"/>
              <w:bottom w:type="dxa" w:w="60"/>
              <w:right w:type="dxa" w:w="100"/>
            </w:tcMar>
            <w:vAlign w:val="center"/>
          </w:tcPr>
          <w:p>
            <w:r>
              <w:rPr>
                <w:sz w:val="19"/>
                <w:szCs w:val="19"/>
              </w:rPr>
              <w:t xml:space="preserve">Geographic coordinates of the station.</w:t>
            </w:r>
          </w:p>
        </w:tc>
      </w:tr>
      <w:tr>
        <w:tc>
          <w:tcPr>
            <w:tcW w:type="dxa" w:w="2400"/>
            <w:shd w:fill="F2F2F2" w:val="clear"/>
            <w:tcMar>
              <w:top w:type="dxa" w:w="60"/>
              <w:left w:type="dxa" w:w="100"/>
              <w:bottom w:type="dxa" w:w="60"/>
              <w:right w:type="dxa" w:w="100"/>
            </w:tcMar>
            <w:vAlign w:val="center"/>
          </w:tcPr>
          <w:p>
            <w:r>
              <w:rPr>
                <w:sz w:val="19"/>
                <w:szCs w:val="19"/>
              </w:rPr>
              <w:t xml:space="preserve">last_update</w:t>
            </w:r>
          </w:p>
        </w:tc>
        <w:tc>
          <w:tcPr>
            <w:tcW w:type="dxa" w:w="1800"/>
            <w:shd w:fill="F2F2F2" w:val="clear"/>
            <w:tcMar>
              <w:top w:type="dxa" w:w="60"/>
              <w:left w:type="dxa" w:w="100"/>
              <w:bottom w:type="dxa" w:w="60"/>
              <w:right w:type="dxa" w:w="100"/>
            </w:tcMar>
            <w:vAlign w:val="center"/>
          </w:tcPr>
          <w:p>
            <w:r>
              <w:rPr>
                <w:sz w:val="19"/>
                <w:szCs w:val="19"/>
              </w:rPr>
              <w:t xml:space="preserve">Time</w:t>
            </w:r>
          </w:p>
        </w:tc>
        <w:tc>
          <w:tcPr>
            <w:tcW w:type="dxa" w:w="5260"/>
            <w:shd w:fill="F2F2F2" w:val="clear"/>
            <w:tcMar>
              <w:top w:type="dxa" w:w="60"/>
              <w:left w:type="dxa" w:w="100"/>
              <w:bottom w:type="dxa" w:w="60"/>
              <w:right w:type="dxa" w:w="100"/>
            </w:tcMar>
            <w:vAlign w:val="center"/>
          </w:tcPr>
          <w:p>
            <w:r>
              <w:rPr>
                <w:sz w:val="19"/>
                <w:szCs w:val="19"/>
              </w:rPr>
              <w:t xml:space="preserve">Timestamp of the most recent reading.</w:t>
            </w:r>
          </w:p>
        </w:tc>
      </w:tr>
      <w:tr>
        <w:tc>
          <w:tcPr>
            <w:tcW w:type="dxa" w:w="2400"/>
            <w:shd w:fill="FFFFFF" w:val="clear"/>
            <w:tcMar>
              <w:top w:type="dxa" w:w="60"/>
              <w:left w:type="dxa" w:w="100"/>
              <w:bottom w:type="dxa" w:w="60"/>
              <w:right w:type="dxa" w:w="100"/>
            </w:tcMar>
            <w:vAlign w:val="center"/>
          </w:tcPr>
          <w:p>
            <w:r>
              <w:rPr>
                <w:sz w:val="19"/>
                <w:szCs w:val="19"/>
              </w:rPr>
              <w:t xml:space="preserve">Year / Month / Day / Hour</w:t>
            </w:r>
          </w:p>
        </w:tc>
        <w:tc>
          <w:tcPr>
            <w:tcW w:type="dxa" w:w="1800"/>
            <w:shd w:fill="FFFFFF" w:val="clear"/>
            <w:tcMar>
              <w:top w:type="dxa" w:w="60"/>
              <w:left w:type="dxa" w:w="100"/>
              <w:bottom w:type="dxa" w:w="60"/>
              <w:right w:type="dxa" w:w="100"/>
            </w:tcMar>
            <w:vAlign w:val="center"/>
          </w:tcPr>
          <w:p>
            <w:r>
              <w:rPr>
                <w:sz w:val="19"/>
                <w:szCs w:val="19"/>
              </w:rPr>
              <w:t xml:space="preserve">Time</w:t>
            </w:r>
          </w:p>
        </w:tc>
        <w:tc>
          <w:tcPr>
            <w:tcW w:type="dxa" w:w="5260"/>
            <w:shd w:fill="FFFFFF" w:val="clear"/>
            <w:tcMar>
              <w:top w:type="dxa" w:w="60"/>
              <w:left w:type="dxa" w:w="100"/>
              <w:bottom w:type="dxa" w:w="60"/>
              <w:right w:type="dxa" w:w="100"/>
            </w:tcMar>
            <w:vAlign w:val="center"/>
          </w:tcPr>
          <w:p>
            <w:r>
              <w:rPr>
                <w:sz w:val="19"/>
                <w:szCs w:val="19"/>
              </w:rPr>
              <w:t xml:space="preserve">Decomposed date-time components of the reading.</w:t>
            </w:r>
          </w:p>
        </w:tc>
      </w:tr>
      <w:tr>
        <w:tc>
          <w:tcPr>
            <w:tcW w:type="dxa" w:w="2400"/>
            <w:shd w:fill="F2F2F2" w:val="clear"/>
            <w:tcMar>
              <w:top w:type="dxa" w:w="60"/>
              <w:left w:type="dxa" w:w="100"/>
              <w:bottom w:type="dxa" w:w="60"/>
              <w:right w:type="dxa" w:w="100"/>
            </w:tcMar>
            <w:vAlign w:val="center"/>
          </w:tcPr>
          <w:p>
            <w:r>
              <w:rPr>
                <w:sz w:val="19"/>
                <w:szCs w:val="19"/>
              </w:rPr>
              <w:t xml:space="preserve">Day_of_Week</w:t>
            </w:r>
          </w:p>
        </w:tc>
        <w:tc>
          <w:tcPr>
            <w:tcW w:type="dxa" w:w="1800"/>
            <w:shd w:fill="F2F2F2" w:val="clear"/>
            <w:tcMar>
              <w:top w:type="dxa" w:w="60"/>
              <w:left w:type="dxa" w:w="100"/>
              <w:bottom w:type="dxa" w:w="60"/>
              <w:right w:type="dxa" w:w="100"/>
            </w:tcMar>
            <w:vAlign w:val="center"/>
          </w:tcPr>
          <w:p>
            <w:r>
              <w:rPr>
                <w:sz w:val="19"/>
                <w:szCs w:val="19"/>
              </w:rPr>
              <w:t xml:space="preserve">Time</w:t>
            </w:r>
          </w:p>
        </w:tc>
        <w:tc>
          <w:tcPr>
            <w:tcW w:type="dxa" w:w="5260"/>
            <w:shd w:fill="F2F2F2" w:val="clear"/>
            <w:tcMar>
              <w:top w:type="dxa" w:w="60"/>
              <w:left w:type="dxa" w:w="100"/>
              <w:bottom w:type="dxa" w:w="60"/>
              <w:right w:type="dxa" w:w="100"/>
            </w:tcMar>
            <w:vAlign w:val="center"/>
          </w:tcPr>
          <w:p>
            <w:r>
              <w:rPr>
                <w:sz w:val="19"/>
                <w:szCs w:val="19"/>
              </w:rPr>
              <w:t xml:space="preserve">Numerical day-of-week code (0–6).</w:t>
            </w:r>
          </w:p>
        </w:tc>
      </w:tr>
      <w:tr>
        <w:tc>
          <w:tcPr>
            <w:tcW w:type="dxa" w:w="2400"/>
            <w:shd w:fill="FFFFFF" w:val="clear"/>
            <w:tcMar>
              <w:top w:type="dxa" w:w="60"/>
              <w:left w:type="dxa" w:w="100"/>
              <w:bottom w:type="dxa" w:w="60"/>
              <w:right w:type="dxa" w:w="100"/>
            </w:tcMar>
            <w:vAlign w:val="center"/>
          </w:tcPr>
          <w:p>
            <w:r>
              <w:rPr>
                <w:sz w:val="19"/>
                <w:szCs w:val="19"/>
              </w:rPr>
              <w:t xml:space="preserve">Season</w:t>
            </w:r>
          </w:p>
        </w:tc>
        <w:tc>
          <w:tcPr>
            <w:tcW w:type="dxa" w:w="1800"/>
            <w:shd w:fill="FFFFFF" w:val="clear"/>
            <w:tcMar>
              <w:top w:type="dxa" w:w="60"/>
              <w:left w:type="dxa" w:w="100"/>
              <w:bottom w:type="dxa" w:w="60"/>
              <w:right w:type="dxa" w:w="100"/>
            </w:tcMar>
            <w:vAlign w:val="center"/>
          </w:tcPr>
          <w:p>
            <w:r>
              <w:rPr>
                <w:sz w:val="19"/>
                <w:szCs w:val="19"/>
              </w:rPr>
              <w:t xml:space="preserve">Time</w:t>
            </w:r>
          </w:p>
        </w:tc>
        <w:tc>
          <w:tcPr>
            <w:tcW w:type="dxa" w:w="5260"/>
            <w:shd w:fill="FFFFFF" w:val="clear"/>
            <w:tcMar>
              <w:top w:type="dxa" w:w="60"/>
              <w:left w:type="dxa" w:w="100"/>
              <w:bottom w:type="dxa" w:w="60"/>
              <w:right w:type="dxa" w:w="100"/>
            </w:tcMar>
            <w:vAlign w:val="center"/>
          </w:tcPr>
          <w:p>
            <w:r>
              <w:rPr>
                <w:sz w:val="19"/>
                <w:szCs w:val="19"/>
              </w:rPr>
              <w:t xml:space="preserve">Climatic season associated with the reading (e.g., Summer, Winter).</w:t>
            </w:r>
          </w:p>
        </w:tc>
      </w:tr>
      <w:tr>
        <w:tc>
          <w:tcPr>
            <w:tcW w:type="dxa" w:w="2400"/>
            <w:shd w:fill="F2F2F2" w:val="clear"/>
            <w:tcMar>
              <w:top w:type="dxa" w:w="60"/>
              <w:left w:type="dxa" w:w="100"/>
              <w:bottom w:type="dxa" w:w="60"/>
              <w:right w:type="dxa" w:w="100"/>
            </w:tcMar>
            <w:vAlign w:val="center"/>
          </w:tcPr>
          <w:p>
            <w:r>
              <w:rPr>
                <w:sz w:val="19"/>
                <w:szCs w:val="19"/>
              </w:rPr>
              <w:t xml:space="preserve">pollutant_id</w:t>
            </w:r>
          </w:p>
        </w:tc>
        <w:tc>
          <w:tcPr>
            <w:tcW w:type="dxa" w:w="1800"/>
            <w:shd w:fill="F2F2F2" w:val="clear"/>
            <w:tcMar>
              <w:top w:type="dxa" w:w="60"/>
              <w:left w:type="dxa" w:w="100"/>
              <w:bottom w:type="dxa" w:w="60"/>
              <w:right w:type="dxa" w:w="100"/>
            </w:tcMar>
            <w:vAlign w:val="center"/>
          </w:tcPr>
          <w:p>
            <w:r>
              <w:rPr>
                <w:sz w:val="19"/>
                <w:szCs w:val="19"/>
              </w:rPr>
              <w:t xml:space="preserve">Pollutant</w:t>
            </w:r>
          </w:p>
        </w:tc>
        <w:tc>
          <w:tcPr>
            <w:tcW w:type="dxa" w:w="5260"/>
            <w:shd w:fill="F2F2F2" w:val="clear"/>
            <w:tcMar>
              <w:top w:type="dxa" w:w="60"/>
              <w:left w:type="dxa" w:w="100"/>
              <w:bottom w:type="dxa" w:w="60"/>
              <w:right w:type="dxa" w:w="100"/>
            </w:tcMar>
            <w:vAlign w:val="center"/>
          </w:tcPr>
          <w:p>
            <w:r>
              <w:rPr>
                <w:sz w:val="19"/>
                <w:szCs w:val="19"/>
              </w:rPr>
              <w:t xml:space="preserve">Type of pollutant measured (e.g., PM2.5, PM10, NO2, SO2, CO, OZONE, NH3).</w:t>
            </w:r>
          </w:p>
        </w:tc>
      </w:tr>
      <w:tr>
        <w:tc>
          <w:tcPr>
            <w:tcW w:type="dxa" w:w="2400"/>
            <w:shd w:fill="FFFFFF" w:val="clear"/>
            <w:tcMar>
              <w:top w:type="dxa" w:w="60"/>
              <w:left w:type="dxa" w:w="100"/>
              <w:bottom w:type="dxa" w:w="60"/>
              <w:right w:type="dxa" w:w="100"/>
            </w:tcMar>
            <w:vAlign w:val="center"/>
          </w:tcPr>
          <w:p>
            <w:r>
              <w:rPr>
                <w:sz w:val="19"/>
                <w:szCs w:val="19"/>
              </w:rPr>
              <w:t xml:space="preserve">pollutant_min / max / avg</w:t>
            </w:r>
          </w:p>
        </w:tc>
        <w:tc>
          <w:tcPr>
            <w:tcW w:type="dxa" w:w="1800"/>
            <w:shd w:fill="FFFFFF" w:val="clear"/>
            <w:tcMar>
              <w:top w:type="dxa" w:w="60"/>
              <w:left w:type="dxa" w:w="100"/>
              <w:bottom w:type="dxa" w:w="60"/>
              <w:right w:type="dxa" w:w="100"/>
            </w:tcMar>
            <w:vAlign w:val="center"/>
          </w:tcPr>
          <w:p>
            <w:r>
              <w:rPr>
                <w:sz w:val="19"/>
                <w:szCs w:val="19"/>
              </w:rPr>
              <w:t xml:space="preserve">Pollutant</w:t>
            </w:r>
          </w:p>
        </w:tc>
        <w:tc>
          <w:tcPr>
            <w:tcW w:type="dxa" w:w="5260"/>
            <w:shd w:fill="FFFFFF" w:val="clear"/>
            <w:tcMar>
              <w:top w:type="dxa" w:w="60"/>
              <w:left w:type="dxa" w:w="100"/>
              <w:bottom w:type="dxa" w:w="60"/>
              <w:right w:type="dxa" w:w="100"/>
            </w:tcMar>
            <w:vAlign w:val="center"/>
          </w:tcPr>
          <w:p>
            <w:r>
              <w:rPr>
                <w:sz w:val="19"/>
                <w:szCs w:val="19"/>
              </w:rPr>
              <w:t xml:space="preserve">Minimum, maximum, and average concentration recorded for the pollutant.</w:t>
            </w:r>
          </w:p>
        </w:tc>
      </w:tr>
      <w:tr>
        <w:tc>
          <w:tcPr>
            <w:tcW w:type="dxa" w:w="2400"/>
            <w:shd w:fill="F2F2F2" w:val="clear"/>
            <w:tcMar>
              <w:top w:type="dxa" w:w="60"/>
              <w:left w:type="dxa" w:w="100"/>
              <w:bottom w:type="dxa" w:w="60"/>
              <w:right w:type="dxa" w:w="100"/>
            </w:tcMar>
            <w:vAlign w:val="center"/>
          </w:tcPr>
          <w:p>
            <w:r>
              <w:rPr>
                <w:sz w:val="19"/>
                <w:szCs w:val="19"/>
              </w:rPr>
              <w:t xml:space="preserve">AQI</w:t>
            </w:r>
          </w:p>
        </w:tc>
        <w:tc>
          <w:tcPr>
            <w:tcW w:type="dxa" w:w="1800"/>
            <w:shd w:fill="F2F2F2" w:val="clear"/>
            <w:tcMar>
              <w:top w:type="dxa" w:w="60"/>
              <w:left w:type="dxa" w:w="100"/>
              <w:bottom w:type="dxa" w:w="60"/>
              <w:right w:type="dxa" w:w="100"/>
            </w:tcMar>
            <w:vAlign w:val="center"/>
          </w:tcPr>
          <w:p>
            <w:r>
              <w:rPr>
                <w:sz w:val="19"/>
                <w:szCs w:val="19"/>
              </w:rPr>
              <w:t xml:space="preserve">Target-related</w:t>
            </w:r>
          </w:p>
        </w:tc>
        <w:tc>
          <w:tcPr>
            <w:tcW w:type="dxa" w:w="5260"/>
            <w:shd w:fill="F2F2F2" w:val="clear"/>
            <w:tcMar>
              <w:top w:type="dxa" w:w="60"/>
              <w:left w:type="dxa" w:w="100"/>
              <w:bottom w:type="dxa" w:w="60"/>
              <w:right w:type="dxa" w:w="100"/>
            </w:tcMar>
            <w:vAlign w:val="center"/>
          </w:tcPr>
          <w:p>
            <w:r>
              <w:rPr>
                <w:sz w:val="19"/>
                <w:szCs w:val="19"/>
              </w:rPr>
              <w:t xml:space="preserve">Computed numerical Air Quality Index value (0–499).</w:t>
            </w:r>
          </w:p>
        </w:tc>
      </w:tr>
      <w:tr>
        <w:tc>
          <w:tcPr>
            <w:tcW w:type="dxa" w:w="2400"/>
            <w:shd w:fill="FFFFFF" w:val="clear"/>
            <w:tcMar>
              <w:top w:type="dxa" w:w="60"/>
              <w:left w:type="dxa" w:w="100"/>
              <w:bottom w:type="dxa" w:w="60"/>
              <w:right w:type="dxa" w:w="100"/>
            </w:tcMar>
            <w:vAlign w:val="center"/>
          </w:tcPr>
          <w:p>
            <w:r>
              <w:rPr>
                <w:sz w:val="19"/>
                <w:szCs w:val="19"/>
              </w:rPr>
              <w:t xml:space="preserve">AQI_Bucket</w:t>
            </w:r>
          </w:p>
        </w:tc>
        <w:tc>
          <w:tcPr>
            <w:tcW w:type="dxa" w:w="1800"/>
            <w:shd w:fill="FFFFFF" w:val="clear"/>
            <w:tcMar>
              <w:top w:type="dxa" w:w="60"/>
              <w:left w:type="dxa" w:w="100"/>
              <w:bottom w:type="dxa" w:w="60"/>
              <w:right w:type="dxa" w:w="100"/>
            </w:tcMar>
            <w:vAlign w:val="center"/>
          </w:tcPr>
          <w:p>
            <w:r>
              <w:rPr>
                <w:sz w:val="19"/>
                <w:szCs w:val="19"/>
              </w:rPr>
              <w:t xml:space="preserve">Target</w:t>
            </w:r>
          </w:p>
        </w:tc>
        <w:tc>
          <w:tcPr>
            <w:tcW w:type="dxa" w:w="5260"/>
            <w:shd w:fill="FFFFFF" w:val="clear"/>
            <w:tcMar>
              <w:top w:type="dxa" w:w="60"/>
              <w:left w:type="dxa" w:w="100"/>
              <w:bottom w:type="dxa" w:w="60"/>
              <w:right w:type="dxa" w:w="100"/>
            </w:tcMar>
            <w:vAlign w:val="center"/>
          </w:tcPr>
          <w:p>
            <w:r>
              <w:rPr>
                <w:sz w:val="19"/>
                <w:szCs w:val="19"/>
              </w:rPr>
              <w:t xml:space="preserve">Categorical AQI classification — the prediction target of this project.</w:t>
            </w:r>
          </w:p>
        </w:tc>
      </w:tr>
      <w:tr>
        <w:tc>
          <w:tcPr>
            <w:tcW w:type="dxa" w:w="2400"/>
            <w:shd w:fill="F2F2F2" w:val="clear"/>
            <w:tcMar>
              <w:top w:type="dxa" w:w="60"/>
              <w:left w:type="dxa" w:w="100"/>
              <w:bottom w:type="dxa" w:w="60"/>
              <w:right w:type="dxa" w:w="100"/>
            </w:tcMar>
            <w:vAlign w:val="center"/>
          </w:tcPr>
          <w:p>
            <w:r>
              <w:rPr>
                <w:sz w:val="19"/>
                <w:szCs w:val="19"/>
              </w:rPr>
              <w:t xml:space="preserve">Temperature_C</w:t>
            </w:r>
          </w:p>
        </w:tc>
        <w:tc>
          <w:tcPr>
            <w:tcW w:type="dxa" w:w="1800"/>
            <w:shd w:fill="F2F2F2" w:val="clear"/>
            <w:tcMar>
              <w:top w:type="dxa" w:w="60"/>
              <w:left w:type="dxa" w:w="100"/>
              <w:bottom w:type="dxa" w:w="60"/>
              <w:right w:type="dxa" w:w="100"/>
            </w:tcMar>
            <w:vAlign w:val="center"/>
          </w:tcPr>
          <w:p>
            <w:r>
              <w:rPr>
                <w:sz w:val="19"/>
                <w:szCs w:val="19"/>
              </w:rPr>
              <w:t xml:space="preserve">Weather</w:t>
            </w:r>
          </w:p>
        </w:tc>
        <w:tc>
          <w:tcPr>
            <w:tcW w:type="dxa" w:w="5260"/>
            <w:shd w:fill="F2F2F2" w:val="clear"/>
            <w:tcMar>
              <w:top w:type="dxa" w:w="60"/>
              <w:left w:type="dxa" w:w="100"/>
              <w:bottom w:type="dxa" w:w="60"/>
              <w:right w:type="dxa" w:w="100"/>
            </w:tcMar>
            <w:vAlign w:val="center"/>
          </w:tcPr>
          <w:p>
            <w:r>
              <w:rPr>
                <w:sz w:val="19"/>
                <w:szCs w:val="19"/>
              </w:rPr>
              <w:t xml:space="preserve">Ambient temperature in degrees Celsius.</w:t>
            </w:r>
          </w:p>
        </w:tc>
      </w:tr>
      <w:tr>
        <w:tc>
          <w:tcPr>
            <w:tcW w:type="dxa" w:w="2400"/>
            <w:shd w:fill="FFFFFF" w:val="clear"/>
            <w:tcMar>
              <w:top w:type="dxa" w:w="60"/>
              <w:left w:type="dxa" w:w="100"/>
              <w:bottom w:type="dxa" w:w="60"/>
              <w:right w:type="dxa" w:w="100"/>
            </w:tcMar>
            <w:vAlign w:val="center"/>
          </w:tcPr>
          <w:p>
            <w:r>
              <w:rPr>
                <w:sz w:val="19"/>
                <w:szCs w:val="19"/>
              </w:rPr>
              <w:t xml:space="preserve">Humidity_%</w:t>
            </w:r>
          </w:p>
        </w:tc>
        <w:tc>
          <w:tcPr>
            <w:tcW w:type="dxa" w:w="1800"/>
            <w:shd w:fill="FFFFFF" w:val="clear"/>
            <w:tcMar>
              <w:top w:type="dxa" w:w="60"/>
              <w:left w:type="dxa" w:w="100"/>
              <w:bottom w:type="dxa" w:w="60"/>
              <w:right w:type="dxa" w:w="100"/>
            </w:tcMar>
            <w:vAlign w:val="center"/>
          </w:tcPr>
          <w:p>
            <w:r>
              <w:rPr>
                <w:sz w:val="19"/>
                <w:szCs w:val="19"/>
              </w:rPr>
              <w:t xml:space="preserve">Weather</w:t>
            </w:r>
          </w:p>
        </w:tc>
        <w:tc>
          <w:tcPr>
            <w:tcW w:type="dxa" w:w="5260"/>
            <w:shd w:fill="FFFFFF" w:val="clear"/>
            <w:tcMar>
              <w:top w:type="dxa" w:w="60"/>
              <w:left w:type="dxa" w:w="100"/>
              <w:bottom w:type="dxa" w:w="60"/>
              <w:right w:type="dxa" w:w="100"/>
            </w:tcMar>
            <w:vAlign w:val="center"/>
          </w:tcPr>
          <w:p>
            <w:r>
              <w:rPr>
                <w:sz w:val="19"/>
                <w:szCs w:val="19"/>
              </w:rPr>
              <w:t xml:space="preserve">Relative humidity percentage.</w:t>
            </w:r>
          </w:p>
        </w:tc>
      </w:tr>
      <w:tr>
        <w:tc>
          <w:tcPr>
            <w:tcW w:type="dxa" w:w="2400"/>
            <w:shd w:fill="F2F2F2" w:val="clear"/>
            <w:tcMar>
              <w:top w:type="dxa" w:w="60"/>
              <w:left w:type="dxa" w:w="100"/>
              <w:bottom w:type="dxa" w:w="60"/>
              <w:right w:type="dxa" w:w="100"/>
            </w:tcMar>
            <w:vAlign w:val="center"/>
          </w:tcPr>
          <w:p>
            <w:r>
              <w:rPr>
                <w:sz w:val="19"/>
                <w:szCs w:val="19"/>
              </w:rPr>
              <w:t xml:space="preserve">Wind_Speed_kmh</w:t>
            </w:r>
          </w:p>
        </w:tc>
        <w:tc>
          <w:tcPr>
            <w:tcW w:type="dxa" w:w="1800"/>
            <w:shd w:fill="F2F2F2" w:val="clear"/>
            <w:tcMar>
              <w:top w:type="dxa" w:w="60"/>
              <w:left w:type="dxa" w:w="100"/>
              <w:bottom w:type="dxa" w:w="60"/>
              <w:right w:type="dxa" w:w="100"/>
            </w:tcMar>
            <w:vAlign w:val="center"/>
          </w:tcPr>
          <w:p>
            <w:r>
              <w:rPr>
                <w:sz w:val="19"/>
                <w:szCs w:val="19"/>
              </w:rPr>
              <w:t xml:space="preserve">Weather</w:t>
            </w:r>
          </w:p>
        </w:tc>
        <w:tc>
          <w:tcPr>
            <w:tcW w:type="dxa" w:w="5260"/>
            <w:shd w:fill="F2F2F2" w:val="clear"/>
            <w:tcMar>
              <w:top w:type="dxa" w:w="60"/>
              <w:left w:type="dxa" w:w="100"/>
              <w:bottom w:type="dxa" w:w="60"/>
              <w:right w:type="dxa" w:w="100"/>
            </w:tcMar>
            <w:vAlign w:val="center"/>
          </w:tcPr>
          <w:p>
            <w:r>
              <w:rPr>
                <w:sz w:val="19"/>
                <w:szCs w:val="19"/>
              </w:rPr>
              <w:t xml:space="preserve">Wind speed in kilometres per hour.</w:t>
            </w:r>
          </w:p>
        </w:tc>
      </w:tr>
    </w:tbl>
    <w:p>
      <w:pPr>
        <w:pStyle w:val="Heading2"/>
        <w:spacing w:after="180" w:before="360"/>
      </w:pPr>
      <w:r>
        <w:rPr>
          <w:b/>
          <w:bCs/>
          <w:color w:val="2E75B6"/>
          <w:sz w:val="26"/>
          <w:szCs w:val="26"/>
        </w:rPr>
        <w:t xml:space="preserve">4.4 Target Variable</w:t>
      </w:r>
    </w:p>
    <w:p>
      <w:pPr>
        <w:spacing w:after="200" w:line="300"/>
        <w:jc w:val="both"/>
      </w:pPr>
      <w:r>
        <w:rPr>
          <w:sz w:val="22"/>
          <w:szCs w:val="22"/>
        </w:rPr>
        <w:t xml:space="preserve">The prediction target for this project is AQI_Bucket, a categorical variable with six mutually exclusive classes: Good, Moderate, Unhealthy for Sensitive Groups, Unhealthy, Very Unhealthy, and Hazardous. Because the target contains more than two classes, the problem is formally a multi-class classification task. It is worth noting that the raw numerical AQI value is also present in the dataset; this column was deliberately excluded from the feature set to avoid target leakage, since AQI_Bucket is a direct deterministic transformation of the AQI value (as verified by the AQI Category Boundaries table in Section 2.2).</w:t>
      </w:r>
    </w:p>
    <w:p>
      <w:pPr>
        <w:pStyle w:val="Heading2"/>
        <w:spacing w:after="180" w:before="360"/>
      </w:pPr>
      <w:r>
        <w:rPr>
          <w:b/>
          <w:bCs/>
          <w:color w:val="2E75B6"/>
          <w:sz w:val="26"/>
          <w:szCs w:val="26"/>
        </w:rPr>
        <w:t xml:space="preserve">4.5 Data Types</w:t>
      </w:r>
    </w:p>
    <w:p>
      <w:pPr>
        <w:spacing w:after="200" w:line="300"/>
        <w:jc w:val="both"/>
      </w:pPr>
      <w:r>
        <w:rPr>
          <w:sz w:val="22"/>
          <w:szCs w:val="22"/>
        </w:rPr>
        <w:t xml:space="preserve">The output of df.info() shows a mix of data types across the 22 columns: 8 columns of type float64 (latitude, longitude, pollutant_min, pollutant_max, pollutant_avg, Temperature_C, Humidity_%, Wind_Speed_kmh), 6 columns of type int64 (AQI, Year, Month, Day, Hour, Day_of_Week), and 8 columns of type object, i.e., string/categorical data (country, state, city, station, last_update, pollutant_id, AQI_Bucket, Season). This heterogeneous mix of numeric and categorical data necessitated a dedicated encoding step prior to model training, described in Section 8.</w:t>
      </w:r>
    </w:p>
    <w:p>
      <w:pPr>
        <w:pStyle w:val="Heading2"/>
        <w:spacing w:after="180" w:before="360"/>
      </w:pPr>
      <w:r>
        <w:rPr>
          <w:b/>
          <w:bCs/>
          <w:color w:val="2E75B6"/>
          <w:sz w:val="26"/>
          <w:szCs w:val="26"/>
        </w:rPr>
        <w:t xml:space="preserve">4.6 Missing Values</w:t>
      </w:r>
    </w:p>
    <w:p>
      <w:pPr>
        <w:spacing w:after="200" w:line="300"/>
        <w:jc w:val="both"/>
      </w:pPr>
      <w:r>
        <w:rPr>
          <w:sz w:val="22"/>
          <w:szCs w:val="22"/>
        </w:rPr>
        <w:t xml:space="preserve">Initial inspection using df.isnull().sum() revealed that three columns — pollutant_min, pollutant_max, and pollutant_avg — each contained 357 missing entries (approximately 3.4% of records), while all remaining 19 columns were fully populated with no missing values. This pattern suggests that the missingness originates from a subset of station readings where the pollutant concentration sensor did not report a complete min/max/average triplet, rather than being spread randomly and independently across all fields. The missing-value handling strategy adopted to address this issue is discussed in Section 8.1.</w:t>
      </w:r>
    </w:p>
    <w:p>
      <w:pPr>
        <w:pStyle w:val="Heading2"/>
        <w:spacing w:after="180" w:before="360"/>
      </w:pPr>
      <w:r>
        <w:rPr>
          <w:b/>
          <w:bCs/>
          <w:color w:val="2E75B6"/>
          <w:sz w:val="26"/>
          <w:szCs w:val="26"/>
        </w:rPr>
        <w:t xml:space="preserve">4.7 Dataset Characteristics</w:t>
      </w:r>
    </w:p>
    <w:p>
      <w:pPr>
        <w:spacing w:after="200" w:line="300"/>
        <w:jc w:val="both"/>
      </w:pPr>
      <w:r>
        <w:rPr>
          <w:sz w:val="22"/>
          <w:szCs w:val="22"/>
        </w:rPr>
        <w:t xml:space="preserve">Descriptive statistics obtained via df.describe() reveal several notable characteristics of the dataset:</w:t>
      </w:r>
    </w:p>
    <w:p>
      <w:pPr>
        <w:pStyle w:val="ListParagraph"/>
        <w:numPr>
          <w:ilvl w:val="0"/>
          <w:numId w:val="1"/>
        </w:numPr>
        <w:spacing w:after="100" w:line="280"/>
      </w:pPr>
      <w:r>
        <w:rPr>
          <w:sz w:val="22"/>
          <w:szCs w:val="22"/>
        </w:rPr>
        <w:t xml:space="preserve">Pollutant concentrations exhibit a wide dynamic range: pollutant_avg spans from 0 to 266 with a mean of approximately 100.8 and a standard deviation of roughly 82, indicating substantial variability and a right-skewed distribution typical of environmental pollutant data.</w:t>
      </w:r>
    </w:p>
    <w:p>
      <w:pPr>
        <w:pStyle w:val="ListParagraph"/>
        <w:numPr>
          <w:ilvl w:val="0"/>
          <w:numId w:val="1"/>
        </w:numPr>
        <w:spacing w:after="100" w:line="280"/>
      </w:pPr>
      <w:r>
        <w:rPr>
          <w:sz w:val="22"/>
          <w:szCs w:val="22"/>
        </w:rPr>
        <w:t xml:space="preserve">The AQI values themselves range from 0 to 499 (mean ≈ 118.2, standard deviation ≈ 103.6), consistent with the full CPCB scale and confirming that the dataset covers the entire spectrum from clean-air to hazardous conditions.</w:t>
      </w:r>
    </w:p>
    <w:p>
      <w:pPr>
        <w:pStyle w:val="ListParagraph"/>
        <w:numPr>
          <w:ilvl w:val="0"/>
          <w:numId w:val="1"/>
        </w:numPr>
        <w:spacing w:after="100" w:line="280"/>
      </w:pPr>
      <w:r>
        <w:rPr>
          <w:sz w:val="22"/>
          <w:szCs w:val="22"/>
        </w:rPr>
        <w:t xml:space="preserve">Meteorological variables fall within physically realistic bounds for the Indian climate: temperature ranges from 15°C to 40°C, humidity from 30% to 95%, and wind speed from 0 to 30 km/h.</w:t>
      </w:r>
    </w:p>
    <w:p>
      <w:pPr>
        <w:pStyle w:val="ListParagraph"/>
        <w:numPr>
          <w:ilvl w:val="0"/>
          <w:numId w:val="1"/>
        </w:numPr>
        <w:spacing w:after="100" w:line="280"/>
      </w:pPr>
      <w:r>
        <w:rPr>
          <w:sz w:val="22"/>
          <w:szCs w:val="22"/>
        </w:rPr>
        <w:t xml:space="preserve">Temporal coverage spans primarily the years 2025 to 2027, with the Year field itself concentrated around 2026, indicating the dataset represents a near-contemporary snapshot of monitoring data rather than a long multi-decade historical series.</w:t>
      </w:r>
    </w:p>
    <w:p>
      <w:pPr>
        <w:pStyle w:val="ListParagraph"/>
        <w:numPr>
          <w:ilvl w:val="0"/>
          <w:numId w:val="1"/>
        </w:numPr>
        <w:spacing w:after="100" w:line="280"/>
      </w:pPr>
      <w:r>
        <w:rPr>
          <w:sz w:val="22"/>
          <w:szCs w:val="22"/>
        </w:rPr>
        <w:t xml:space="preserve">Geographic coordinates (latitude 8.5°–34.1°N, longitude 70.8°–94.6°E) confirm that the dataset spans the full geographic extent of India, from southern coastal states to northern Himalayan-adjacent regions.</w:t>
      </w:r>
    </w:p>
    <w:p>
      <w:pPr>
        <w:pStyle w:val="Heading1"/>
        <w:pBdr>
          <w:bottom w:val="single" w:color="1F3864" w:sz="8" w:space="4"/>
        </w:pBdr>
        <w:spacing w:after="240" w:before="480"/>
      </w:pPr>
      <w:r>
        <w:rPr>
          <w:b/>
          <w:bCs/>
          <w:color w:val="1F3864"/>
          <w:sz w:val="32"/>
          <w:szCs w:val="32"/>
        </w:rPr>
        <w:t xml:space="preserve">5. Technologies and Libraries</w:t>
      </w:r>
    </w:p>
    <w:p>
      <w:pPr>
        <w:spacing w:after="200" w:line="300"/>
        <w:jc w:val="both"/>
      </w:pPr>
      <w:r>
        <w:rPr>
          <w:sz w:val="22"/>
          <w:szCs w:val="22"/>
        </w:rPr>
        <w:t xml:space="preserve">The project was implemented in Python, leveraging the standard open-source scientific computing and machine learning ecosystem. Each library was selected for a specific role within the pipeline, as summarized below.</w:t>
      </w:r>
    </w:p>
    <w:p>
      <w:pPr>
        <w:pStyle w:val="Heading3"/>
        <w:spacing w:after="140" w:before="280"/>
      </w:pPr>
      <w:r>
        <w:rPr>
          <w:b/>
          <w:bCs/>
          <w:color w:val="404040"/>
          <w:sz w:val="23"/>
          <w:szCs w:val="23"/>
        </w:rPr>
        <w:t xml:space="preserve">5.1 Pandas</w:t>
      </w:r>
    </w:p>
    <w:p>
      <w:pPr>
        <w:spacing w:after="200" w:line="300"/>
        <w:jc w:val="both"/>
      </w:pPr>
      <w:r>
        <w:rPr>
          <w:sz w:val="22"/>
          <w:szCs w:val="22"/>
        </w:rPr>
        <w:t xml:space="preserve">Pandas provides the DataFrame data structure used throughout the notebook to load, inspect, filter, group, and transform the tabular dataset. It was used for reading the CSV file (pd.read_csv), inspecting structure and missing values (df.info(), df.isnull().sum(), df.describe()), grouping and aggregation for exploratory analysis (df.groupby(...).agg(...) and df.groupby(...).mean()), datetime parsing (pd.to_datetime), and constructing the feature matrix passed to the models.</w:t>
      </w:r>
    </w:p>
    <w:p>
      <w:pPr>
        <w:pStyle w:val="Heading3"/>
        <w:spacing w:after="140" w:before="280"/>
      </w:pPr>
      <w:r>
        <w:rPr>
          <w:b/>
          <w:bCs/>
          <w:color w:val="404040"/>
          <w:sz w:val="23"/>
          <w:szCs w:val="23"/>
        </w:rPr>
        <w:t xml:space="preserve">5.2 NumPy</w:t>
      </w:r>
    </w:p>
    <w:p>
      <w:pPr>
        <w:spacing w:after="200" w:line="300"/>
        <w:jc w:val="both"/>
      </w:pPr>
      <w:r>
        <w:rPr>
          <w:sz w:val="22"/>
          <w:szCs w:val="22"/>
        </w:rPr>
        <w:t xml:space="preserve">NumPy underlies the numerical computations performed internally by Pandas and Scikit-learn, providing efficient array-based operations. Although not called extensively in an explicit, standalone fashion within the notebook, it is imported as a foundational dependency for numerical operations such as array manipulation and is a prerequisite for the correct functioning of the machine learning and plotting libraries used.</w:t>
      </w:r>
    </w:p>
    <w:p>
      <w:pPr>
        <w:pStyle w:val="Heading3"/>
        <w:spacing w:after="140" w:before="280"/>
      </w:pPr>
      <w:r>
        <w:rPr>
          <w:b/>
          <w:bCs/>
          <w:color w:val="404040"/>
          <w:sz w:val="23"/>
          <w:szCs w:val="23"/>
        </w:rPr>
        <w:t xml:space="preserve">5.3 Matplotlib</w:t>
      </w:r>
    </w:p>
    <w:p>
      <w:pPr>
        <w:spacing w:after="200" w:line="300"/>
        <w:jc w:val="both"/>
      </w:pPr>
      <w:r>
        <w:rPr>
          <w:sz w:val="22"/>
          <w:szCs w:val="22"/>
        </w:rPr>
        <w:t xml:space="preserve">Matplotlib is the base plotting library used to create and configure all figures in the notebook, including setting figure sizes (plt.figure(figsize=...)), titles, axis labels, tick rotation, and rendering the final plots (plt.show()). It provides the low-level canvas on top of which Seaborn's statistical plots are drawn.</w:t>
      </w:r>
    </w:p>
    <w:p>
      <w:pPr>
        <w:pStyle w:val="Heading3"/>
        <w:spacing w:after="140" w:before="280"/>
      </w:pPr>
      <w:r>
        <w:rPr>
          <w:b/>
          <w:bCs/>
          <w:color w:val="404040"/>
          <w:sz w:val="23"/>
          <w:szCs w:val="23"/>
        </w:rPr>
        <w:t xml:space="preserve">5.4 Seaborn</w:t>
      </w:r>
    </w:p>
    <w:p>
      <w:pPr>
        <w:spacing w:after="200" w:line="300"/>
        <w:jc w:val="both"/>
      </w:pPr>
      <w:r>
        <w:rPr>
          <w:sz w:val="22"/>
          <w:szCs w:val="22"/>
        </w:rPr>
        <w:t xml:space="preserve">Seaborn is used extensively for statistical data visualization due to its concise syntax and aesthetically refined default styles (sns.set_style('whitegrid') is configured at the start of the notebook). It powers the count plot of AQI category distribution, the box plot of pollutant averages by pollutant type, the correlation heatmap, the line plot of monthly average AQI, the bar plot of average AQI by state, the feature-importance bar plot, and all confusion matrix heatmaps used to evaluate each of the five trained classifiers.</w:t>
      </w:r>
    </w:p>
    <w:p>
      <w:pPr>
        <w:pStyle w:val="Heading3"/>
        <w:spacing w:after="140" w:before="280"/>
      </w:pPr>
      <w:r>
        <w:rPr>
          <w:b/>
          <w:bCs/>
          <w:color w:val="404040"/>
          <w:sz w:val="23"/>
          <w:szCs w:val="23"/>
        </w:rPr>
        <w:t xml:space="preserve">5.5 Scikit-learn</w:t>
      </w:r>
    </w:p>
    <w:p>
      <w:pPr>
        <w:spacing w:after="200" w:line="300"/>
        <w:jc w:val="both"/>
      </w:pPr>
      <w:r>
        <w:rPr>
          <w:sz w:val="22"/>
          <w:szCs w:val="22"/>
        </w:rPr>
        <w:t xml:space="preserve">Scikit-learn (sklearn) is the primary machine learning library used in this project and provides nearly every modeling component employed: train_test_split for partitioning the data, LabelEncoder for categorical feature encoding, StandardScaler for feature scaling within pipelines, the five classification estimators (RandomForestClassifier, GradientBoostingClassifier, LinearSVC, KNeighborsClassifier, and LogisticRegression), the make_pipeline utility for chaining preprocessing and estimation steps, and the evaluation utilities accuracy_score, classification_report, confusion_matrix, StratifiedKFold, and cross_val_score.</w:t>
      </w:r>
    </w:p>
    <w:p>
      <w:pPr>
        <w:pStyle w:val="Heading3"/>
        <w:spacing w:after="140" w:before="280"/>
      </w:pPr>
      <w:r>
        <w:rPr>
          <w:b/>
          <w:bCs/>
          <w:color w:val="404040"/>
          <w:sz w:val="23"/>
          <w:szCs w:val="23"/>
        </w:rPr>
        <w:t xml:space="preserve">5.6 Additional Libraries</w:t>
      </w:r>
    </w:p>
    <w:p>
      <w:pPr>
        <w:pStyle w:val="ListParagraph"/>
        <w:numPr>
          <w:ilvl w:val="0"/>
          <w:numId w:val="1"/>
        </w:numPr>
        <w:spacing w:after="100" w:line="280"/>
      </w:pPr>
      <w:r>
        <w:rPr>
          <w:b/>
          <w:bCs/>
          <w:sz w:val="22"/>
          <w:szCs w:val="22"/>
        </w:rPr>
        <w:t xml:space="preserve">kagglehub</w:t>
      </w:r>
      <w:r>
        <w:rPr>
          <w:sz w:val="22"/>
          <w:szCs w:val="22"/>
        </w:rPr>
        <w:t xml:space="preserve"> — used to programmatically download the dataset directly from Kaggle without manual file handling.</w:t>
      </w:r>
    </w:p>
    <w:p>
      <w:pPr>
        <w:pStyle w:val="ListParagraph"/>
        <w:numPr>
          <w:ilvl w:val="0"/>
          <w:numId w:val="1"/>
        </w:numPr>
        <w:spacing w:after="100" w:line="280"/>
      </w:pPr>
      <w:r>
        <w:rPr>
          <w:b/>
          <w:bCs/>
          <w:sz w:val="22"/>
          <w:szCs w:val="22"/>
        </w:rPr>
        <w:t xml:space="preserve">joblib</w:t>
      </w:r>
      <w:r>
        <w:rPr>
          <w:sz w:val="22"/>
          <w:szCs w:val="22"/>
        </w:rPr>
        <w:t xml:space="preserve"> — used to serialize (pickle) the trained Gradient Boosting model and the fitted LabelEncoder objects to disk (gbc_model.pkl, encoders.pkl) so they can be reloaded without retraining.</w:t>
      </w:r>
    </w:p>
    <w:p>
      <w:pPr>
        <w:pStyle w:val="ListParagraph"/>
        <w:numPr>
          <w:ilvl w:val="0"/>
          <w:numId w:val="1"/>
        </w:numPr>
        <w:spacing w:after="100" w:line="280"/>
      </w:pPr>
      <w:r>
        <w:rPr>
          <w:b/>
          <w:bCs/>
          <w:sz w:val="22"/>
          <w:szCs w:val="22"/>
        </w:rPr>
        <w:t xml:space="preserve">streamlit</w:t>
      </w:r>
      <w:r>
        <w:rPr>
          <w:sz w:val="22"/>
          <w:szCs w:val="22"/>
        </w:rPr>
        <w:t xml:space="preserve"> — used to build the interactive web application that exposes the trained model to end users through a browser-based user interface.</w:t>
      </w:r>
    </w:p>
    <w:p>
      <w:pPr>
        <w:pStyle w:val="Heading1"/>
        <w:pBdr>
          <w:bottom w:val="single" w:color="1F3864" w:sz="8" w:space="4"/>
        </w:pBdr>
        <w:spacing w:after="240" w:before="480"/>
      </w:pPr>
      <w:r>
        <w:rPr>
          <w:b/>
          <w:bCs/>
          <w:color w:val="1F3864"/>
          <w:sz w:val="32"/>
          <w:szCs w:val="32"/>
        </w:rPr>
        <w:t xml:space="preserve">6. Data Loading</w:t>
      </w:r>
    </w:p>
    <w:p>
      <w:pPr>
        <w:spacing w:after="200" w:line="300"/>
        <w:jc w:val="both"/>
      </w:pPr>
      <w:r>
        <w:rPr>
          <w:sz w:val="22"/>
          <w:szCs w:val="22"/>
        </w:rPr>
        <w:t xml:space="preserve">The dataset was imported into the notebook environment in two steps. First, kagglehub.dataset_download() was invoked with the dataset identifier 'yogeshm01/india-air-quality-dataset-20252026', which downloads (or retrieves from a local cache, as indicated by the notebook's output message 'Using Colab cache for faster access') the dataset files and returns a local filesystem path. Second, pd.read_csv() was used to load the specific file enriched_aqi_dataset.csv located within that path into a Pandas DataFrame named df.</w:t>
      </w:r>
    </w:p>
    <w:p>
      <w:pPr>
        <w:spacing w:after="200" w:line="300"/>
        <w:jc w:val="both"/>
      </w:pPr>
      <w:r>
        <w:rPr>
          <w:sz w:val="22"/>
          <w:szCs w:val="22"/>
        </w:rPr>
        <w:t xml:space="preserve">Following the load operation, initial exploration was performed using three complementary inspection commands. The df.shape attribute confirmed the dataset dimensions (10,521 rows × 22 columns), while df.head(10) displayed the first ten records to visually verify that the data had loaded correctly and to obtain an intuitive sense of the column values and formatting (for example, observing that last_update is stored as a high-precision timestamp string and that pollutant_id contains categorical pollutant codes such as OZONE, NO2, and PM2.5). This initial loading and inspection phase is a standard and necessary first step in any data science workflow, as it establishes confidence in the data source before any transformation or modeling is attempted.</w:t>
      </w:r>
    </w:p>
    <w:p>
      <w:pPr>
        <w:pStyle w:val="Heading1"/>
        <w:pBdr>
          <w:bottom w:val="single" w:color="1F3864" w:sz="8" w:space="4"/>
        </w:pBdr>
        <w:spacing w:after="240" w:before="480"/>
      </w:pPr>
      <w:r>
        <w:rPr>
          <w:b/>
          <w:bCs/>
          <w:color w:val="1F3864"/>
          <w:sz w:val="32"/>
          <w:szCs w:val="32"/>
        </w:rPr>
        <w:t xml:space="preserve">7. Exploratory Data Analysis (EDA)</w:t>
      </w:r>
    </w:p>
    <w:p>
      <w:pPr>
        <w:spacing w:after="200" w:line="300"/>
        <w:jc w:val="both"/>
      </w:pPr>
      <w:r>
        <w:rPr>
          <w:sz w:val="22"/>
          <w:szCs w:val="22"/>
        </w:rPr>
        <w:t xml:space="preserve">Exploratory Data Analysis was conducted to build an intuitive and statistically grounded understanding of the dataset prior to modeling. Each visualization created in the notebook is discussed below in terms of its purpose, construction, and the insight it provides.</w:t>
      </w:r>
    </w:p>
    <w:p>
      <w:pPr>
        <w:pStyle w:val="Heading2"/>
        <w:spacing w:after="180" w:before="360"/>
      </w:pPr>
      <w:r>
        <w:rPr>
          <w:b/>
          <w:bCs/>
          <w:color w:val="2E75B6"/>
          <w:sz w:val="26"/>
          <w:szCs w:val="26"/>
        </w:rPr>
        <w:t xml:space="preserve">7.1 Distribution of AQI Categories</w:t>
      </w:r>
    </w:p>
    <w:p>
      <w:pPr>
        <w:spacing w:after="200" w:line="300"/>
        <w:jc w:val="both"/>
      </w:pPr>
      <w:r>
        <w:rPr>
          <w:sz w:val="22"/>
          <w:szCs w:val="22"/>
        </w:rPr>
        <w:t xml:space="preserve">A count plot (sns.countplot) was generated to display the number of records falling into each of the six AQI_Bucket categories, with the category order explicitly fixed as Good, Moderate, Unhealthy for Sensitive Groups, Unhealthy, Very Unhealthy, and Hazardous to preserve the natural severity ordering rather than an alphabetical or frequency-based ordering.</w:t>
      </w:r>
    </w:p>
    <w:p>
      <w:pPr>
        <w:spacing w:after="200" w:line="300"/>
        <w:jc w:val="both"/>
      </w:pPr>
      <w:r>
        <w:rPr>
          <w:sz w:val="22"/>
          <w:szCs w:val="22"/>
        </w:rPr>
        <w:t xml:space="preserve">Purpose: this plot serves to reveal whether the target variable is balanced or imbalanced across its classes — a critical consideration because class imbalance directly affects which evaluation metrics are meaningful and whether stratified sampling is required during data splitting.</w:t>
      </w:r>
    </w:p>
    <w:p>
      <w:pPr>
        <w:spacing w:after="200" w:line="300"/>
        <w:jc w:val="both"/>
      </w:pPr>
      <w:r>
        <w:rPr>
          <w:sz w:val="22"/>
          <w:szCs w:val="22"/>
        </w:rPr>
        <w:t xml:space="preserve">Insight obtained: the classification reports generated later in the notebook (Section 11) indicate that the 'Good' category is the most frequent class, with 798 samples in the 2,105-record test set alone (roughly 38% of the test set), while 'Hazardous' is comparatively rare, with only 89 test-set samples (about 4.2%). This confirms that the AQI_Bucket target is moderately imbalanced, which directly motivated the use of stratify=y within the train_test_split call (Section 9) and the use of a stratified k-fold scheme (StratifiedKFold) during cross-validation, both of which ensure that each class is proportionally represented in every data partition.</w:t>
      </w:r>
    </w:p>
    <w:p>
      <w:pPr>
        <w:pStyle w:val="Heading2"/>
        <w:spacing w:after="180" w:before="360"/>
      </w:pPr>
      <w:r>
        <w:rPr>
          <w:b/>
          <w:bCs/>
          <w:color w:val="2E75B6"/>
          <w:sz w:val="26"/>
          <w:szCs w:val="26"/>
        </w:rPr>
        <w:t xml:space="preserve">7.2 Pollutant Average by Pollutant Type</w:t>
      </w:r>
    </w:p>
    <w:p>
      <w:pPr>
        <w:spacing w:after="200" w:line="300"/>
        <w:jc w:val="both"/>
      </w:pPr>
      <w:r>
        <w:rPr>
          <w:sz w:val="22"/>
          <w:szCs w:val="22"/>
        </w:rPr>
        <w:t xml:space="preserve">A box plot (sns.boxplot) was created with pollutant_id on the x-axis and pollutant_avg on the y-axis, visualizing the distribution (median, interquartile range, and outliers) of average pollutant concentration separately for each pollutant type (PM2.5, PM10, NO2, SO2, CO, OZONE, NH3).</w:t>
      </w:r>
    </w:p>
    <w:p>
      <w:pPr>
        <w:spacing w:after="200" w:line="300"/>
        <w:jc w:val="both"/>
      </w:pPr>
      <w:r>
        <w:rPr>
          <w:sz w:val="22"/>
          <w:szCs w:val="22"/>
        </w:rPr>
        <w:t xml:space="preserve">Purpose: different pollutants are measured on fundamentally different concentration scales and exhibit different typical ranges and variances; this plot allows a direct visual comparison of these distributions side by side.</w:t>
      </w:r>
    </w:p>
    <w:p>
      <w:pPr>
        <w:spacing w:after="200" w:line="300"/>
        <w:jc w:val="both"/>
      </w:pPr>
      <w:r>
        <w:rPr>
          <w:sz w:val="22"/>
          <w:szCs w:val="22"/>
        </w:rPr>
        <w:t xml:space="preserve">Insight obtained: particulate pollutants (PM2.5 and PM10) and gaseous pollutants such as ozone typically display wider spreads and a greater number of high-value outliers compared to pollutants like SO2, which tend to cluster at lower concentrations in urban Indian monitoring data. This heterogeneity across pollutant types reinforces why pollutant_id itself was retained and encoded as a categorical feature — the identity of the pollutant being measured carries information relevant to interpreting the associated concentration values, and therefore relevant to predicting AQI category.</w:t>
      </w:r>
    </w:p>
    <w:p>
      <w:pPr>
        <w:pStyle w:val="Heading2"/>
        <w:spacing w:after="180" w:before="360"/>
      </w:pPr>
      <w:r>
        <w:rPr>
          <w:b/>
          <w:bCs/>
          <w:color w:val="2E75B6"/>
          <w:sz w:val="26"/>
          <w:szCs w:val="26"/>
        </w:rPr>
        <w:t xml:space="preserve">7.3 Correlation Between Numeric Features</w:t>
      </w:r>
    </w:p>
    <w:p>
      <w:pPr>
        <w:spacing w:after="200" w:line="300"/>
        <w:jc w:val="both"/>
      </w:pPr>
      <w:r>
        <w:rPr>
          <w:sz w:val="22"/>
          <w:szCs w:val="22"/>
        </w:rPr>
        <w:t xml:space="preserve">A correlation heatmap (sns.heatmap with annot=True and the coolwarm colormap) was constructed over six numeric columns: pollutant_min, pollutant_max, pollutant_avg, Temperature_C, Humidity_%, and Wind_Speed_kmh.</w:t>
      </w:r>
    </w:p>
    <w:p>
      <w:pPr>
        <w:spacing w:after="200" w:line="300"/>
        <w:jc w:val="both"/>
      </w:pPr>
      <w:r>
        <w:rPr>
          <w:sz w:val="22"/>
          <w:szCs w:val="22"/>
        </w:rPr>
        <w:t xml:space="preserve">Purpose: this visualization quantifies the linear (Pearson) relationships between pairs of numeric variables, helping to identify potential multicollinearity among the pollutant statistics and to assess whether meteorological variables are meaningfully associated with pollutant concentrations.</w:t>
      </w:r>
    </w:p>
    <w:p>
      <w:pPr>
        <w:spacing w:after="200" w:line="300"/>
        <w:jc w:val="both"/>
      </w:pPr>
      <w:r>
        <w:rPr>
          <w:sz w:val="22"/>
          <w:szCs w:val="22"/>
        </w:rPr>
        <w:t xml:space="preserve">Insight obtained: as expected from their shared origin, pollutant_min, pollutant_max, and pollutant_avg are strongly positively correlated with one another, since all three are drawn from the same underlying concentration distribution for a given reading. This near-collinearity is later corroborated by the feature-importance results in Section 10.1, where these three variables collectively account for over 81% of the Random Forest model's total feature importance, with pollutant_avg alone contributing approximately 58%. Meteorological variables (temperature, humidity, wind speed) show comparatively weaker correlation with pollutant concentrations in this dataset, suggesting that while weather conditions influence dispersion in principle, the direct statistical relationship captured in this particular sample is modest relative to the pollutant readings themselves.</w:t>
      </w:r>
    </w:p>
    <w:p>
      <w:pPr>
        <w:pStyle w:val="Heading2"/>
        <w:spacing w:after="180" w:before="360"/>
      </w:pPr>
      <w:r>
        <w:rPr>
          <w:b/>
          <w:bCs/>
          <w:color w:val="2E75B6"/>
          <w:sz w:val="26"/>
          <w:szCs w:val="26"/>
        </w:rPr>
        <w:t xml:space="preserve">7.4 Average Monthly AQI</w:t>
      </w:r>
    </w:p>
    <w:p>
      <w:pPr>
        <w:spacing w:after="200" w:line="300"/>
        <w:jc w:val="both"/>
      </w:pPr>
      <w:r>
        <w:rPr>
          <w:sz w:val="22"/>
          <w:szCs w:val="22"/>
        </w:rPr>
        <w:t xml:space="preserve">A line plot (sns.lineplot) with markers was produced showing the mean AQI value aggregated by calendar month (df.groupby('Month')['AQI'].mean()), covering months 1 through 12 on the x-axis.</w:t>
      </w:r>
    </w:p>
    <w:p>
      <w:pPr>
        <w:spacing w:after="200" w:line="300"/>
        <w:jc w:val="both"/>
      </w:pPr>
      <w:r>
        <w:rPr>
          <w:sz w:val="22"/>
          <w:szCs w:val="22"/>
        </w:rPr>
        <w:t xml:space="preserve">Purpose: this visualization is designed to reveal seasonal cyclicality in air pollution — a well-documented phenomenon in Indian air quality research, where pollution levels typically rise in the cooler, post-monsoon and winter months (October through January) due to temperature inversions and agricultural residue burning, and decline during the monsoon season (June through September) as rainfall assists in pollutant dispersion.</w:t>
      </w:r>
    </w:p>
    <w:p>
      <w:pPr>
        <w:spacing w:after="200" w:line="300"/>
        <w:jc w:val="both"/>
      </w:pPr>
      <w:r>
        <w:rPr>
          <w:sz w:val="22"/>
          <w:szCs w:val="22"/>
        </w:rPr>
        <w:t xml:space="preserve">Insight obtained: the monthly aggregation allows a direct visual identification of which months exhibit elevated average AQI, providing empirical justification for why Month was retained as a predictive feature in the model — the temporal position within the year carries genuine signal about expected pollution severity, independent of the instantaneous pollutant reading.</w:t>
      </w:r>
    </w:p>
    <w:p>
      <w:pPr>
        <w:pStyle w:val="Heading2"/>
        <w:spacing w:after="180" w:before="360"/>
      </w:pPr>
      <w:r>
        <w:rPr>
          <w:b/>
          <w:bCs/>
          <w:color w:val="2E75B6"/>
          <w:sz w:val="26"/>
          <w:szCs w:val="26"/>
        </w:rPr>
        <w:t xml:space="preserve">7.5 Average AQI by State</w:t>
      </w:r>
    </w:p>
    <w:p>
      <w:pPr>
        <w:spacing w:after="200" w:line="300"/>
        <w:jc w:val="both"/>
      </w:pPr>
      <w:r>
        <w:rPr>
          <w:sz w:val="22"/>
          <w:szCs w:val="22"/>
        </w:rPr>
        <w:t xml:space="preserve">A horizontal bar plot (sns.barplot) was generated showing the mean AQI value for each Indian state present in the dataset, sorted in descending order to rank states from most to least polluted on average.</w:t>
      </w:r>
    </w:p>
    <w:p>
      <w:pPr>
        <w:spacing w:after="200" w:line="300"/>
        <w:jc w:val="both"/>
      </w:pPr>
      <w:r>
        <w:rPr>
          <w:sz w:val="22"/>
          <w:szCs w:val="22"/>
        </w:rPr>
        <w:t xml:space="preserve">Purpose: this plot investigates geographic heterogeneity in air quality across India, testing the hypothesis that pollution levels vary systematically by state due to differences in industrialization, population density, vehicular traffic, and local meteorology.</w:t>
      </w:r>
    </w:p>
    <w:p>
      <w:pPr>
        <w:spacing w:after="200" w:line="300"/>
        <w:jc w:val="both"/>
      </w:pPr>
      <w:r>
        <w:rPr>
          <w:sz w:val="22"/>
          <w:szCs w:val="22"/>
        </w:rPr>
        <w:t xml:space="preserve">Insight obtained: the ranked bar chart makes it possible to immediately identify the states with the highest average AQI (typically industrial and high-traffic northern states) versus those with consistently cleaner air (often southern or coastal states benefiting from monsoon winds and lower industrial density). This geographic variability justifies retaining state as an encoded categorical feature in the model, since the state of a reading carries residual predictive information about the baseline pollution regime even before accounting for the instantaneous pollutant measurement.</w:t>
      </w:r>
    </w:p>
    <w:p>
      <w:pPr>
        <w:pStyle w:val="Heading1"/>
        <w:pBdr>
          <w:bottom w:val="single" w:color="1F3864" w:sz="8" w:space="4"/>
        </w:pBdr>
        <w:spacing w:after="240" w:before="480"/>
      </w:pPr>
      <w:r>
        <w:rPr>
          <w:b/>
          <w:bCs/>
          <w:color w:val="1F3864"/>
          <w:sz w:val="32"/>
          <w:szCs w:val="32"/>
        </w:rPr>
        <w:t xml:space="preserve">8. Data Cleaning and Preprocessing</w:t>
      </w:r>
    </w:p>
    <w:p>
      <w:pPr>
        <w:spacing w:after="200" w:line="300"/>
        <w:jc w:val="both"/>
      </w:pPr>
      <w:r>
        <w:rPr>
          <w:sz w:val="22"/>
          <w:szCs w:val="22"/>
        </w:rPr>
        <w:t xml:space="preserve">Before any model could be trained, the raw dataset required a series of cleaning and preprocessing operations to ensure consistency, numerical compatibility, and the removal of information that would otherwise leak the answer to the model. Each step performed in the notebook is described below, together with the reasoning behind it.</w:t>
      </w:r>
    </w:p>
    <w:p>
      <w:pPr>
        <w:pStyle w:val="Heading2"/>
        <w:spacing w:after="180" w:before="360"/>
      </w:pPr>
      <w:r>
        <w:rPr>
          <w:b/>
          <w:bCs/>
          <w:color w:val="2E75B6"/>
          <w:sz w:val="26"/>
          <w:szCs w:val="26"/>
        </w:rPr>
        <w:t xml:space="preserve">8.1 Missing Value Handling</w:t>
      </w:r>
    </w:p>
    <w:p>
      <w:pPr>
        <w:spacing w:after="200" w:line="300"/>
        <w:jc w:val="both"/>
      </w:pPr>
      <w:r>
        <w:rPr>
          <w:sz w:val="22"/>
          <w:szCs w:val="22"/>
        </w:rPr>
        <w:t xml:space="preserve">As established in Section 4.6, the columns pollutant_min, pollutant_max, and pollutant_avg each contained 357 missing values. The notebook addresses this using mean imputation: for each of the three affected columns, missing entries are replaced with the column's own mean value (df[col].fillna(df[col].mean(), inplace=True)). Mean imputation was an appropriate choice here for several reasons: the proportion of missing data is small (approximately 3.4% of records), the affected columns are continuous numeric measurements without extreme skew severe enough to make the mean misleading, and preserving every record (rather than dropping rows with missing pollutant statistics) retains more training data for the subsequent classification task. After imputation, df.isnull().sum() was re-run and confirmed that all columns were fully populated, with zero missing values remaining across the entire dataset.</w:t>
      </w:r>
    </w:p>
    <w:p>
      <w:pPr>
        <w:pStyle w:val="Heading2"/>
        <w:spacing w:after="180" w:before="360"/>
      </w:pPr>
      <w:r>
        <w:rPr>
          <w:b/>
          <w:bCs/>
          <w:color w:val="2E75B6"/>
          <w:sz w:val="26"/>
          <w:szCs w:val="26"/>
        </w:rPr>
        <w:t xml:space="preserve">8.2 Duplicate Removal</w:t>
      </w:r>
    </w:p>
    <w:p>
      <w:pPr>
        <w:spacing w:after="200" w:line="300"/>
        <w:jc w:val="both"/>
      </w:pPr>
      <w:r>
        <w:rPr>
          <w:sz w:val="22"/>
          <w:szCs w:val="22"/>
        </w:rPr>
        <w:t xml:space="preserve">The notebook does not include an explicit duplicate-row removal step, indicating that within the scope of the analysis performed, duplicate records were not identified as a significant data quality concern for this dataset. The primary data quality issue addressed was missing pollutant statistics, as documented above.</w:t>
      </w:r>
    </w:p>
    <w:p>
      <w:pPr>
        <w:pStyle w:val="Heading2"/>
        <w:spacing w:after="180" w:before="360"/>
      </w:pPr>
      <w:r>
        <w:rPr>
          <w:b/>
          <w:bCs/>
          <w:color w:val="2E75B6"/>
          <w:sz w:val="26"/>
          <w:szCs w:val="26"/>
        </w:rPr>
        <w:t xml:space="preserve">8.3 Datetime Parsing</w:t>
      </w:r>
    </w:p>
    <w:p>
      <w:pPr>
        <w:spacing w:after="200" w:line="300"/>
        <w:jc w:val="both"/>
      </w:pPr>
      <w:r>
        <w:rPr>
          <w:sz w:val="22"/>
          <w:szCs w:val="22"/>
        </w:rPr>
        <w:t xml:space="preserve">The last_update column, originally stored as a string, was converted into a proper datetime object using pd.to_datetime(df['last_update']). While this column itself was subsequently excluded from the model's feature set (see Section 8.5), converting it to a native datetime type is good practice, as it enables correct chronological sorting and time-based operations should they be required, and it validates that all timestamp values are well-formed.</w:t>
      </w:r>
    </w:p>
    <w:p>
      <w:pPr>
        <w:pStyle w:val="Heading2"/>
        <w:spacing w:after="180" w:before="360"/>
      </w:pPr>
      <w:r>
        <w:rPr>
          <w:b/>
          <w:bCs/>
          <w:color w:val="2E75B6"/>
          <w:sz w:val="26"/>
          <w:szCs w:val="26"/>
        </w:rPr>
        <w:t xml:space="preserve">8.4 Encoding Categorical Variables</w:t>
      </w:r>
    </w:p>
    <w:p>
      <w:pPr>
        <w:spacing w:after="200" w:line="300"/>
        <w:jc w:val="both"/>
      </w:pPr>
      <w:r>
        <w:rPr>
          <w:sz w:val="22"/>
          <w:szCs w:val="22"/>
        </w:rPr>
        <w:t xml:space="preserve">Three categorical (string-valued) features required numerical encoding before they could be passed to the scikit-learn estimators, all of which operate on numeric arrays: state, pollutant_id, and Season. The notebook applies Label Encoding via sklearn.preprocessing.LabelEncoder, which assigns each unique category an integer code (for example, mapping each Indian state name to a distinct integer). A separate LabelEncoder instance was fit for each of the three columns and stored in a dictionary (encoders = {}), a design choice that proves essential later when the trained model is deployed: the same fitted encoders are serialized alongside the model (Section 13) and reused at inference time to ensure that new, unseen input values are transformed using an identical, consistent mapping.</w:t>
      </w:r>
    </w:p>
    <w:p>
      <w:pPr>
        <w:spacing w:after="200" w:line="300"/>
        <w:jc w:val="both"/>
      </w:pPr>
      <w:r>
        <w:rPr>
          <w:sz w:val="22"/>
          <w:szCs w:val="22"/>
        </w:rPr>
        <w:t xml:space="preserve">Label Encoding was selected over one-hot encoding in this project, most plausibly because the ensemble tree-based models (Random Forest and Gradient Boosting) that ultimately performed best can natively handle ordinal-integer-encoded categorical variables reasonably well by splitting on threshold values, without requiring the dimensionality expansion that one-hot encoding would introduce (particularly relevant for the state feature, which has many unique categories). It should be noted that Label Encoding does implicitly impose an artificial ordinal relationship on nominal categories, which can be a limitation for models sensitive to feature magnitude, such as Logistic Regression and Support Vector Machines; this trade-off is revisited in Section 12.</w:t>
      </w:r>
    </w:p>
    <w:p>
      <w:pPr>
        <w:pStyle w:val="Heading2"/>
        <w:spacing w:after="180" w:before="360"/>
      </w:pPr>
      <w:r>
        <w:rPr>
          <w:b/>
          <w:bCs/>
          <w:color w:val="2E75B6"/>
          <w:sz w:val="26"/>
          <w:szCs w:val="26"/>
        </w:rPr>
        <w:t xml:space="preserve">8.5 Feature Selection</w:t>
      </w:r>
    </w:p>
    <w:p>
      <w:pPr>
        <w:spacing w:after="200" w:line="300"/>
        <w:jc w:val="both"/>
      </w:pPr>
      <w:r>
        <w:rPr>
          <w:sz w:val="22"/>
          <w:szCs w:val="22"/>
        </w:rPr>
        <w:t xml:space="preserve">A deliberate feature selection step was performed to define the exact set of columns used as model inputs. The following columns were explicitly dropped from the feature set: AQI, country, city, station, last_update, latitude, longitude, and date. Each exclusion serves a specific purpose:</w:t>
      </w:r>
    </w:p>
    <w:p>
      <w:pPr>
        <w:pStyle w:val="ListParagraph"/>
        <w:numPr>
          <w:ilvl w:val="0"/>
          <w:numId w:val="1"/>
        </w:numPr>
        <w:spacing w:after="100" w:line="280"/>
      </w:pPr>
      <w:r>
        <w:rPr>
          <w:sz w:val="22"/>
          <w:szCs w:val="22"/>
        </w:rPr>
        <w:t xml:space="preserve">AQI was excluded to prevent target leakage, since AQI_Bucket (the prediction target) is a direct, deterministic categorical transformation of the numeric AQI value — including it as a feature would allow the model to trivially reconstruct the label rather than learn a genuine predictive relationship.</w:t>
      </w:r>
    </w:p>
    <w:p>
      <w:pPr>
        <w:pStyle w:val="ListParagraph"/>
        <w:numPr>
          <w:ilvl w:val="0"/>
          <w:numId w:val="1"/>
        </w:numPr>
        <w:spacing w:after="100" w:line="280"/>
      </w:pPr>
      <w:r>
        <w:rPr>
          <w:sz w:val="22"/>
          <w:szCs w:val="22"/>
        </w:rPr>
        <w:t xml:space="preserve">country was excluded because it is constant across the entire dataset (all records pertain to India) and therefore carries zero discriminative information.</w:t>
      </w:r>
    </w:p>
    <w:p>
      <w:pPr>
        <w:pStyle w:val="ListParagraph"/>
        <w:numPr>
          <w:ilvl w:val="0"/>
          <w:numId w:val="1"/>
        </w:numPr>
        <w:spacing w:after="100" w:line="280"/>
      </w:pPr>
      <w:r>
        <w:rPr>
          <w:sz w:val="22"/>
          <w:szCs w:val="22"/>
        </w:rPr>
        <w:t xml:space="preserve">city and station were excluded, likely to reduce dimensionality and avoid overfitting to a very large number of unique, low-frequency categorical values, while the broader state feature was retained as a coarser but more generalizable geographic indicator.</w:t>
      </w:r>
    </w:p>
    <w:p>
      <w:pPr>
        <w:pStyle w:val="ListParagraph"/>
        <w:numPr>
          <w:ilvl w:val="0"/>
          <w:numId w:val="1"/>
        </w:numPr>
        <w:spacing w:after="100" w:line="280"/>
      </w:pPr>
      <w:r>
        <w:rPr>
          <w:sz w:val="22"/>
          <w:szCs w:val="22"/>
        </w:rPr>
        <w:t xml:space="preserve">last_update and latitude/longitude were excluded in favor of the already-decomposed temporal features (Year, Month, Day, Hour, Day_of_Week, Season) and the categorical state feature, avoiding redundant or overly granular location/time encodings.</w:t>
      </w:r>
    </w:p>
    <w:p>
      <w:pPr>
        <w:spacing w:after="200" w:line="300"/>
        <w:jc w:val="both"/>
      </w:pPr>
      <w:r>
        <w:rPr>
          <w:sz w:val="22"/>
          <w:szCs w:val="22"/>
        </w:rPr>
        <w:t xml:space="preserve">The resulting feature set used for modeling consists of fourteen columns: state, pollutant_id, pollutant_min, pollutant_max, pollutant_avg, Temperature_C, Humidity_%, Wind_Speed_kmh, Year, Month, Day, Hour, Day_of_Week, and Season.</w:t>
      </w:r>
    </w:p>
    <w:p>
      <w:pPr>
        <w:pStyle w:val="Heading2"/>
        <w:spacing w:after="180" w:before="360"/>
      </w:pPr>
      <w:r>
        <w:rPr>
          <w:b/>
          <w:bCs/>
          <w:color w:val="2E75B6"/>
          <w:sz w:val="26"/>
          <w:szCs w:val="26"/>
        </w:rPr>
        <w:t xml:space="preserve">8.6 Feature Engineering</w:t>
      </w:r>
    </w:p>
    <w:p>
      <w:pPr>
        <w:spacing w:after="200" w:line="300"/>
        <w:jc w:val="both"/>
      </w:pPr>
      <w:r>
        <w:rPr>
          <w:sz w:val="22"/>
          <w:szCs w:val="22"/>
        </w:rPr>
        <w:t xml:space="preserve">The primary feature engineering already present in the source dataset — and preserved through the pipeline — is the decomposition of the raw timestamp into discrete temporal components (Year, Month, Day, Hour, Day_of_Week, Season). This decomposition is valuable because it allows tree-based models to detect non-linear, cyclical patterns (such as elevated AQI in winter months or during particular hours) that would be difficult to extract from a single opaque timestamp field. Within the notebook itself, no additional derived features (such as interaction terms or polynomial features) were engineered beyond this decomposition and the label encoding of categorical fields.</w:t>
      </w:r>
    </w:p>
    <w:p>
      <w:pPr>
        <w:pStyle w:val="Heading2"/>
        <w:spacing w:after="180" w:before="360"/>
      </w:pPr>
      <w:r>
        <w:rPr>
          <w:b/>
          <w:bCs/>
          <w:color w:val="2E75B6"/>
          <w:sz w:val="26"/>
          <w:szCs w:val="26"/>
        </w:rPr>
        <w:t xml:space="preserve">8.7 Data Transformations and Scaling</w:t>
      </w:r>
    </w:p>
    <w:p>
      <w:pPr>
        <w:spacing w:after="200" w:line="300"/>
        <w:jc w:val="both"/>
      </w:pPr>
      <w:r>
        <w:rPr>
          <w:sz w:val="22"/>
          <w:szCs w:val="22"/>
        </w:rPr>
        <w:t xml:space="preserve">Feature scaling was applied selectively, depending on the sensitivity of each algorithm to feature magnitude. For the Random Forest and Gradient Boosting classifiers, no scaling was applied, which is appropriate because tree-based methods make split decisions based on relative ordering within a feature rather than absolute magnitude, and are therefore invariant to monotonic transformations such as standardization. For the LinearSVC and Logistic Regression models, StandardScaler was incorporated directly into a scikit-learn Pipeline (via make_pipeline(StandardScaler(), estimator)), ensuring that all numeric features were centered to zero mean and unit variance before being passed to these scale-sensitive linear algorithms. This is a critical preprocessing step for linear and margin-based classifiers, since features on larger numeric scales (such as pollutant_avg, which ranges up to 266) would otherwise disproportionately dominate the model's learned coefficients relative to smaller-scale features (such as Day_of_Week, ranging only 0–6), independent of their true predictive relevance.</w:t>
      </w:r>
    </w:p>
    <w:p>
      <w:pPr>
        <w:pStyle w:val="Heading1"/>
        <w:pBdr>
          <w:bottom w:val="single" w:color="1F3864" w:sz="8" w:space="4"/>
        </w:pBdr>
        <w:spacing w:after="240" w:before="480"/>
      </w:pPr>
      <w:r>
        <w:rPr>
          <w:b/>
          <w:bCs/>
          <w:color w:val="1F3864"/>
          <w:sz w:val="32"/>
          <w:szCs w:val="32"/>
        </w:rPr>
        <w:t xml:space="preserve">9. Machine Learning Pipeline</w:t>
      </w:r>
    </w:p>
    <w:p>
      <w:pPr>
        <w:spacing w:after="200" w:line="300"/>
        <w:jc w:val="both"/>
      </w:pPr>
      <w:r>
        <w:rPr>
          <w:sz w:val="22"/>
          <w:szCs w:val="22"/>
        </w:rPr>
        <w:t xml:space="preserve">The complete workflow implemented in the notebook follows a coherent, linear pipeline from raw data acquisition through to a deployed prediction interface. The pipeline can be summarized as a sequence of nine discrete stages, each building on the outputs of the previous stage:</w:t>
      </w:r>
    </w:p>
    <w:p>
      <w:pPr>
        <w:pStyle w:val="ListParagraph"/>
        <w:numPr>
          <w:ilvl w:val="0"/>
          <w:numId w:val="1"/>
        </w:numPr>
        <w:spacing w:after="100" w:line="280"/>
      </w:pPr>
      <w:r>
        <w:rPr>
          <w:sz w:val="22"/>
          <w:szCs w:val="22"/>
        </w:rPr>
        <w:t xml:space="preserve">1. Data Acquisition — downloading the dataset from Kaggle via kagglehub and loading it into a Pandas DataFrame.</w:t>
      </w:r>
    </w:p>
    <w:p>
      <w:pPr>
        <w:pStyle w:val="ListParagraph"/>
        <w:numPr>
          <w:ilvl w:val="0"/>
          <w:numId w:val="1"/>
        </w:numPr>
        <w:spacing w:after="100" w:line="280"/>
      </w:pPr>
      <w:r>
        <w:rPr>
          <w:sz w:val="22"/>
          <w:szCs w:val="22"/>
        </w:rPr>
        <w:t xml:space="preserve">2. Initial Inspection — examining shape, data types, missing values, and summary statistics.</w:t>
      </w:r>
    </w:p>
    <w:p>
      <w:pPr>
        <w:pStyle w:val="ListParagraph"/>
        <w:numPr>
          <w:ilvl w:val="0"/>
          <w:numId w:val="1"/>
        </w:numPr>
        <w:spacing w:after="100" w:line="280"/>
      </w:pPr>
      <w:r>
        <w:rPr>
          <w:sz w:val="22"/>
          <w:szCs w:val="22"/>
        </w:rPr>
        <w:t xml:space="preserve">3. Data Cleaning — imputing missing pollutant statistics with column means and parsing datetime fields.</w:t>
      </w:r>
    </w:p>
    <w:p>
      <w:pPr>
        <w:pStyle w:val="ListParagraph"/>
        <w:numPr>
          <w:ilvl w:val="0"/>
          <w:numId w:val="1"/>
        </w:numPr>
        <w:spacing w:after="100" w:line="280"/>
      </w:pPr>
      <w:r>
        <w:rPr>
          <w:sz w:val="22"/>
          <w:szCs w:val="22"/>
        </w:rPr>
        <w:t xml:space="preserve">4. Exploratory Data Analysis — visualizing target distribution, pollutant behavior, correlations, and temporal/geographic trends.</w:t>
      </w:r>
    </w:p>
    <w:p>
      <w:pPr>
        <w:pStyle w:val="ListParagraph"/>
        <w:numPr>
          <w:ilvl w:val="0"/>
          <w:numId w:val="1"/>
        </w:numPr>
        <w:spacing w:after="100" w:line="280"/>
      </w:pPr>
      <w:r>
        <w:rPr>
          <w:sz w:val="22"/>
          <w:szCs w:val="22"/>
        </w:rPr>
        <w:t xml:space="preserve">5. Feature Selection and Encoding — excluding leakage-prone and low-value columns, and label-encoding categorical variables (state, pollutant_id, Season).</w:t>
      </w:r>
    </w:p>
    <w:p>
      <w:pPr>
        <w:pStyle w:val="ListParagraph"/>
        <w:numPr>
          <w:ilvl w:val="0"/>
          <w:numId w:val="1"/>
        </w:numPr>
        <w:spacing w:after="100" w:line="280"/>
      </w:pPr>
      <w:r>
        <w:rPr>
          <w:sz w:val="22"/>
          <w:szCs w:val="22"/>
        </w:rPr>
        <w:t xml:space="preserve">6. Train/Test Split — partitioning the data into 80% training and 20% testing subsets using stratified sampling to preserve class proportions.</w:t>
      </w:r>
    </w:p>
    <w:p>
      <w:pPr>
        <w:pStyle w:val="ListParagraph"/>
        <w:numPr>
          <w:ilvl w:val="0"/>
          <w:numId w:val="1"/>
        </w:numPr>
        <w:spacing w:after="100" w:line="280"/>
      </w:pPr>
      <w:r>
        <w:rPr>
          <w:sz w:val="22"/>
          <w:szCs w:val="22"/>
        </w:rPr>
        <w:t xml:space="preserve">7. Model Training — fitting five distinct classification algorithms (Random Forest, Gradient Boosting, LinearSVC, KNN, Logistic Regression) on the training set.</w:t>
      </w:r>
    </w:p>
    <w:p>
      <w:pPr>
        <w:pStyle w:val="ListParagraph"/>
        <w:numPr>
          <w:ilvl w:val="0"/>
          <w:numId w:val="1"/>
        </w:numPr>
        <w:spacing w:after="100" w:line="280"/>
      </w:pPr>
      <w:r>
        <w:rPr>
          <w:sz w:val="22"/>
          <w:szCs w:val="22"/>
        </w:rPr>
        <w:t xml:space="preserve">8. Model Evaluation — assessing each model on the held-out test set using accuracy, classification reports, and confusion matrices, and validating the top model with 5-fold stratified cross-validation.</w:t>
      </w:r>
    </w:p>
    <w:p>
      <w:pPr>
        <w:pStyle w:val="ListParagraph"/>
        <w:numPr>
          <w:ilvl w:val="0"/>
          <w:numId w:val="1"/>
        </w:numPr>
        <w:spacing w:after="100" w:line="280"/>
      </w:pPr>
      <w:r>
        <w:rPr>
          <w:sz w:val="22"/>
          <w:szCs w:val="22"/>
        </w:rPr>
        <w:t xml:space="preserve">9. Model Comparison, Interpretation, and Deployment — comparing all models' accuracies, examining feature importances, testing the best model on a hypothetical new data point, and deploying it within a Streamlit web application.</w:t>
      </w:r>
    </w:p>
    <w:p>
      <w:pPr>
        <w:spacing w:after="200" w:line="300"/>
        <w:jc w:val="both"/>
      </w:pPr>
      <w:r>
        <w:rPr>
          <w:sz w:val="22"/>
          <w:szCs w:val="22"/>
        </w:rPr>
        <w:t xml:space="preserve">This pipeline structure reflects standard best practice in applied machine learning: preprocessing decisions (imputation, encoding, scaling) are made prior to and independently of any single model, allowing the same prepared dataset to be fed into multiple candidate algorithms for a fair, like-for-like comparison.</w:t>
      </w:r>
    </w:p>
    <w:p>
      <w:pPr>
        <w:pStyle w:val="Heading1"/>
        <w:pBdr>
          <w:bottom w:val="single" w:color="1F3864" w:sz="8" w:space="4"/>
        </w:pBdr>
        <w:spacing w:after="240" w:before="480"/>
      </w:pPr>
      <w:r>
        <w:rPr>
          <w:b/>
          <w:bCs/>
          <w:color w:val="1F3864"/>
          <w:sz w:val="32"/>
          <w:szCs w:val="32"/>
        </w:rPr>
        <w:t xml:space="preserve">10. Model Development</w:t>
      </w:r>
    </w:p>
    <w:p>
      <w:pPr>
        <w:spacing w:after="200" w:line="300"/>
        <w:jc w:val="both"/>
      </w:pPr>
      <w:r>
        <w:rPr>
          <w:sz w:val="22"/>
          <w:szCs w:val="22"/>
        </w:rPr>
        <w:t xml:space="preserve">Five supervised classification algorithms were implemented and trained on the identical training set (X_train, y_train), each representing a distinct family of machine learning approach: ensemble tree-based bagging (Random Forest), ensemble tree-based boosting (Gradient Boosting), margin-based linear classification (LinearSVC), instance-based non-parametric classification (K-Nearest Neighbors), and probabilistic linear classification (Logistic Regression). This deliberate diversity allows the project to empirically compare fundamentally different inductive biases on the same prediction task.</w:t>
      </w:r>
    </w:p>
    <w:p>
      <w:pPr>
        <w:pStyle w:val="Heading2"/>
        <w:spacing w:after="180" w:before="360"/>
      </w:pPr>
      <w:r>
        <w:rPr>
          <w:b/>
          <w:bCs/>
          <w:color w:val="2E75B6"/>
          <w:sz w:val="26"/>
          <w:szCs w:val="26"/>
        </w:rPr>
        <w:t xml:space="preserve">10.1 Random Forest Classifier</w:t>
      </w:r>
    </w:p>
    <w:p>
      <w:pPr>
        <w:spacing w:after="200" w:line="300"/>
        <w:jc w:val="both"/>
      </w:pPr>
      <w:r>
        <w:rPr>
          <w:sz w:val="22"/>
          <w:szCs w:val="22"/>
        </w:rPr>
        <w:t xml:space="preserve">How it works: a Random Forest is an ensemble learning method that constructs a large number of individual decision trees during training, each fit on a bootstrap-resampled subset of the training data and considering only a random subset of features at each split. The final prediction for a new sample is obtained by aggregating the predictions of all individual trees through majority voting (for classification). In the notebook, the model was configured with n_estimators=300 (300 individual trees), max_depth=None (trees are grown until leaves are pure or contain fewer samples than the minimum split threshold), random_state=42 (for reproducibility), and n_jobs=-1 (parallelized training across all available CPU cores).</w:t>
      </w:r>
    </w:p>
    <w:p>
      <w:pPr>
        <w:spacing w:after="200" w:line="300"/>
        <w:jc w:val="both"/>
      </w:pPr>
      <w:r>
        <w:rPr>
          <w:sz w:val="22"/>
          <w:szCs w:val="22"/>
        </w:rPr>
        <w:t xml:space="preserve">Why it was selected: Random Forest is a robust, widely-used baseline for tabular classification problems because it handles non-linear relationships and feature interactions natively, requires minimal preprocessing (no feature scaling needed), and is comparatively resistant to overfitting due to the averaging effect across many de-correlated trees.</w:t>
      </w:r>
    </w:p>
    <w:p>
      <w:pPr>
        <w:spacing w:after="200" w:line="300"/>
        <w:jc w:val="both"/>
      </w:pPr>
      <w:r>
        <w:rPr>
          <w:sz w:val="22"/>
          <w:szCs w:val="22"/>
        </w:rPr>
        <w:t xml:space="preserve">Advantages:</w:t>
      </w:r>
    </w:p>
    <w:p>
      <w:pPr>
        <w:pStyle w:val="ListParagraph"/>
        <w:numPr>
          <w:ilvl w:val="0"/>
          <w:numId w:val="1"/>
        </w:numPr>
        <w:spacing w:after="100" w:line="280"/>
      </w:pPr>
      <w:r>
        <w:rPr>
          <w:sz w:val="22"/>
          <w:szCs w:val="22"/>
        </w:rPr>
        <w:t xml:space="preserve">High predictive accuracy on structured/tabular data with mixed feature types.</w:t>
      </w:r>
    </w:p>
    <w:p>
      <w:pPr>
        <w:pStyle w:val="ListParagraph"/>
        <w:numPr>
          <w:ilvl w:val="0"/>
          <w:numId w:val="1"/>
        </w:numPr>
        <w:spacing w:after="100" w:line="280"/>
      </w:pPr>
      <w:r>
        <w:rPr>
          <w:sz w:val="22"/>
          <w:szCs w:val="22"/>
        </w:rPr>
        <w:t xml:space="preserve">Naturally provides a feature importance ranking, aiding model interpretability (see Section 10.1.1 below).</w:t>
      </w:r>
    </w:p>
    <w:p>
      <w:pPr>
        <w:pStyle w:val="ListParagraph"/>
        <w:numPr>
          <w:ilvl w:val="0"/>
          <w:numId w:val="1"/>
        </w:numPr>
        <w:spacing w:after="100" w:line="280"/>
      </w:pPr>
      <w:r>
        <w:rPr>
          <w:sz w:val="22"/>
          <w:szCs w:val="22"/>
        </w:rPr>
        <w:t xml:space="preserve">Robust to outliers and does not require feature scaling.</w:t>
      </w:r>
    </w:p>
    <w:p>
      <w:pPr>
        <w:pStyle w:val="ListParagraph"/>
        <w:numPr>
          <w:ilvl w:val="0"/>
          <w:numId w:val="1"/>
        </w:numPr>
        <w:spacing w:after="100" w:line="280"/>
      </w:pPr>
      <w:r>
        <w:rPr>
          <w:sz w:val="22"/>
          <w:szCs w:val="22"/>
        </w:rPr>
        <w:t xml:space="preserve">Parallelizable training, making it computationally efficient despite the large number of trees.</w:t>
      </w:r>
    </w:p>
    <w:p>
      <w:pPr>
        <w:spacing w:after="200" w:line="300"/>
        <w:jc w:val="both"/>
      </w:pPr>
      <w:r>
        <w:rPr>
          <w:sz w:val="22"/>
          <w:szCs w:val="22"/>
        </w:rPr>
        <w:t xml:space="preserve">Limitations:</w:t>
      </w:r>
    </w:p>
    <w:p>
      <w:pPr>
        <w:pStyle w:val="ListParagraph"/>
        <w:numPr>
          <w:ilvl w:val="0"/>
          <w:numId w:val="1"/>
        </w:numPr>
        <w:spacing w:after="100" w:line="280"/>
      </w:pPr>
      <w:r>
        <w:rPr>
          <w:sz w:val="22"/>
          <w:szCs w:val="22"/>
        </w:rPr>
        <w:t xml:space="preserve">Can become computationally expensive and memory-intensive with a very large number of deep, unconstrained trees (max_depth=None).</w:t>
      </w:r>
    </w:p>
    <w:p>
      <w:pPr>
        <w:pStyle w:val="ListParagraph"/>
        <w:numPr>
          <w:ilvl w:val="0"/>
          <w:numId w:val="1"/>
        </w:numPr>
        <w:spacing w:after="100" w:line="280"/>
      </w:pPr>
      <w:r>
        <w:rPr>
          <w:sz w:val="22"/>
          <w:szCs w:val="22"/>
        </w:rPr>
        <w:t xml:space="preserve">Less interpretable than a single decision tree, since the final prediction emerges from voting across hundreds of trees.</w:t>
      </w:r>
    </w:p>
    <w:p>
      <w:pPr>
        <w:pStyle w:val="ListParagraph"/>
        <w:numPr>
          <w:ilvl w:val="0"/>
          <w:numId w:val="1"/>
        </w:numPr>
        <w:spacing w:after="100" w:line="280"/>
      </w:pPr>
      <w:r>
        <w:rPr>
          <w:sz w:val="22"/>
          <w:szCs w:val="22"/>
        </w:rPr>
        <w:t xml:space="preserve">May still overfit on noisy data if the number of trees and their depth are not carefully controlled, although the ensembling effect substantially mitigates this compared to a single tree.</w:t>
      </w:r>
    </w:p>
    <w:p>
      <w:pPr>
        <w:pStyle w:val="Heading3"/>
        <w:spacing w:after="140" w:before="280"/>
      </w:pPr>
      <w:r>
        <w:rPr>
          <w:b/>
          <w:bCs/>
          <w:color w:val="404040"/>
          <w:sz w:val="23"/>
          <w:szCs w:val="23"/>
        </w:rPr>
        <w:t xml:space="preserve">10.1.1 Feature Importance (Random Forest)</w:t>
      </w:r>
    </w:p>
    <w:p>
      <w:pPr>
        <w:spacing w:after="200" w:line="300"/>
        <w:jc w:val="both"/>
      </w:pPr>
      <w:r>
        <w:rPr>
          <w:sz w:val="22"/>
          <w:szCs w:val="22"/>
        </w:rPr>
        <w:t xml:space="preserve">After training, the notebook extracts and visualizes model.feature_importances_, a built-in Random Forest attribute that quantifies each feature's contribution to reducing impurity across all splits in the forest. The results, sorted in descending order, are shown below.</w:t>
      </w:r>
    </w:p>
    <w:p>
      <w:pPr>
        <w:spacing w:after="80" w:before="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29000"/>
                    </a:xfrm>
                    <a:prstGeom prst="rect">
                      <a:avLst/>
                    </a:prstGeom>
                  </pic:spPr>
                </pic:pic>
              </a:graphicData>
            </a:graphic>
          </wp:inline>
        </w:drawing>
      </w:r>
    </w:p>
    <w:p>
      <w:pPr>
        <w:spacing w:after="260" w:before="80"/>
        <w:jc w:val="center"/>
      </w:pPr>
      <w:r>
        <w:rPr>
          <w:i/>
          <w:iCs/>
          <w:color w:val="595959"/>
          <w:sz w:val="19"/>
          <w:szCs w:val="19"/>
        </w:rPr>
        <w:t xml:space="preserve">Figure 2. Feature importance scores extracted from the trained Random Forest Classifier.</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460"/>
      </w:tblGrid>
      <w:tr>
        <w:trPr>
          <w:tblHeader/>
        </w:trPr>
        <w:tc>
          <w:tcPr>
            <w:tcW w:type="dxa" w:w="1200"/>
            <w:shd w:fill="1F3864" w:val="clear"/>
            <w:tcMar>
              <w:top w:type="dxa" w:w="80"/>
              <w:left w:type="dxa" w:w="100"/>
              <w:bottom w:type="dxa" w:w="80"/>
              <w:right w:type="dxa" w:w="100"/>
            </w:tcMar>
            <w:vAlign w:val="center"/>
          </w:tcPr>
          <w:p>
            <w:pPr>
              <w:jc w:val="left"/>
            </w:pPr>
            <w:r>
              <w:rPr>
                <w:b/>
                <w:bCs/>
                <w:color w:val="FFFFFF"/>
                <w:sz w:val="19"/>
                <w:szCs w:val="19"/>
              </w:rPr>
              <w:t xml:space="preserve">Rank</w:t>
            </w:r>
          </w:p>
        </w:tc>
        <w:tc>
          <w:tcPr>
            <w:tcW w:type="dxa" w:w="3800"/>
            <w:shd w:fill="1F3864"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3460"/>
            <w:shd w:fill="1F3864" w:val="clear"/>
            <w:tcMar>
              <w:top w:type="dxa" w:w="80"/>
              <w:left w:type="dxa" w:w="100"/>
              <w:bottom w:type="dxa" w:w="80"/>
              <w:right w:type="dxa" w:w="100"/>
            </w:tcMar>
            <w:vAlign w:val="center"/>
          </w:tcPr>
          <w:p>
            <w:pPr>
              <w:jc w:val="left"/>
            </w:pPr>
            <w:r>
              <w:rPr>
                <w:b/>
                <w:bCs/>
                <w:color w:val="FFFFFF"/>
                <w:sz w:val="19"/>
                <w:szCs w:val="19"/>
              </w:rPr>
              <w:t xml:space="preserve">Importance</w:t>
            </w:r>
          </w:p>
        </w:tc>
      </w:tr>
      <w:tr>
        <w:tc>
          <w:tcPr>
            <w:tcW w:type="dxa" w:w="1200"/>
            <w:shd w:fill="FFFFFF" w:val="clear"/>
            <w:tcMar>
              <w:top w:type="dxa" w:w="60"/>
              <w:left w:type="dxa" w:w="100"/>
              <w:bottom w:type="dxa" w:w="60"/>
              <w:right w:type="dxa" w:w="100"/>
            </w:tcMar>
            <w:vAlign w:val="center"/>
          </w:tcPr>
          <w:p>
            <w:r>
              <w:rPr>
                <w:sz w:val="19"/>
                <w:szCs w:val="19"/>
              </w:rPr>
              <w:t xml:space="preserve">1</w:t>
            </w:r>
          </w:p>
        </w:tc>
        <w:tc>
          <w:tcPr>
            <w:tcW w:type="dxa" w:w="3800"/>
            <w:shd w:fill="FFFFFF" w:val="clear"/>
            <w:tcMar>
              <w:top w:type="dxa" w:w="60"/>
              <w:left w:type="dxa" w:w="100"/>
              <w:bottom w:type="dxa" w:w="60"/>
              <w:right w:type="dxa" w:w="100"/>
            </w:tcMar>
            <w:vAlign w:val="center"/>
          </w:tcPr>
          <w:p>
            <w:r>
              <w:rPr>
                <w:sz w:val="19"/>
                <w:szCs w:val="19"/>
              </w:rPr>
              <w:t xml:space="preserve">pollutant_avg</w:t>
            </w:r>
          </w:p>
        </w:tc>
        <w:tc>
          <w:tcPr>
            <w:tcW w:type="dxa" w:w="3460"/>
            <w:shd w:fill="FFFFFF" w:val="clear"/>
            <w:tcMar>
              <w:top w:type="dxa" w:w="60"/>
              <w:left w:type="dxa" w:w="100"/>
              <w:bottom w:type="dxa" w:w="60"/>
              <w:right w:type="dxa" w:w="100"/>
            </w:tcMar>
            <w:vAlign w:val="center"/>
          </w:tcPr>
          <w:p>
            <w:r>
              <w:rPr>
                <w:sz w:val="19"/>
                <w:szCs w:val="19"/>
              </w:rPr>
              <w:t xml:space="preserve">0.5803</w:t>
            </w:r>
          </w:p>
        </w:tc>
      </w:tr>
      <w:tr>
        <w:tc>
          <w:tcPr>
            <w:tcW w:type="dxa" w:w="1200"/>
            <w:shd w:fill="F2F2F2" w:val="clear"/>
            <w:tcMar>
              <w:top w:type="dxa" w:w="60"/>
              <w:left w:type="dxa" w:w="100"/>
              <w:bottom w:type="dxa" w:w="60"/>
              <w:right w:type="dxa" w:w="100"/>
            </w:tcMar>
            <w:vAlign w:val="center"/>
          </w:tcPr>
          <w:p>
            <w:r>
              <w:rPr>
                <w:sz w:val="19"/>
                <w:szCs w:val="19"/>
              </w:rPr>
              <w:t xml:space="preserve">2</w:t>
            </w:r>
          </w:p>
        </w:tc>
        <w:tc>
          <w:tcPr>
            <w:tcW w:type="dxa" w:w="3800"/>
            <w:shd w:fill="F2F2F2" w:val="clear"/>
            <w:tcMar>
              <w:top w:type="dxa" w:w="60"/>
              <w:left w:type="dxa" w:w="100"/>
              <w:bottom w:type="dxa" w:w="60"/>
              <w:right w:type="dxa" w:w="100"/>
            </w:tcMar>
            <w:vAlign w:val="center"/>
          </w:tcPr>
          <w:p>
            <w:r>
              <w:rPr>
                <w:sz w:val="19"/>
                <w:szCs w:val="19"/>
              </w:rPr>
              <w:t xml:space="preserve">pollutant_min</w:t>
            </w:r>
          </w:p>
        </w:tc>
        <w:tc>
          <w:tcPr>
            <w:tcW w:type="dxa" w:w="3460"/>
            <w:shd w:fill="F2F2F2" w:val="clear"/>
            <w:tcMar>
              <w:top w:type="dxa" w:w="60"/>
              <w:left w:type="dxa" w:w="100"/>
              <w:bottom w:type="dxa" w:w="60"/>
              <w:right w:type="dxa" w:w="100"/>
            </w:tcMar>
            <w:vAlign w:val="center"/>
          </w:tcPr>
          <w:p>
            <w:r>
              <w:rPr>
                <w:sz w:val="19"/>
                <w:szCs w:val="19"/>
              </w:rPr>
              <w:t xml:space="preserve">0.1259</w:t>
            </w:r>
          </w:p>
        </w:tc>
      </w:tr>
      <w:tr>
        <w:tc>
          <w:tcPr>
            <w:tcW w:type="dxa" w:w="1200"/>
            <w:shd w:fill="FFFFFF" w:val="clear"/>
            <w:tcMar>
              <w:top w:type="dxa" w:w="60"/>
              <w:left w:type="dxa" w:w="100"/>
              <w:bottom w:type="dxa" w:w="60"/>
              <w:right w:type="dxa" w:w="100"/>
            </w:tcMar>
            <w:vAlign w:val="center"/>
          </w:tcPr>
          <w:p>
            <w:r>
              <w:rPr>
                <w:sz w:val="19"/>
                <w:szCs w:val="19"/>
              </w:rPr>
              <w:t xml:space="preserve">3</w:t>
            </w:r>
          </w:p>
        </w:tc>
        <w:tc>
          <w:tcPr>
            <w:tcW w:type="dxa" w:w="3800"/>
            <w:shd w:fill="FFFFFF" w:val="clear"/>
            <w:tcMar>
              <w:top w:type="dxa" w:w="60"/>
              <w:left w:type="dxa" w:w="100"/>
              <w:bottom w:type="dxa" w:w="60"/>
              <w:right w:type="dxa" w:w="100"/>
            </w:tcMar>
            <w:vAlign w:val="center"/>
          </w:tcPr>
          <w:p>
            <w:r>
              <w:rPr>
                <w:sz w:val="19"/>
                <w:szCs w:val="19"/>
              </w:rPr>
              <w:t xml:space="preserve">pollutant_max</w:t>
            </w:r>
          </w:p>
        </w:tc>
        <w:tc>
          <w:tcPr>
            <w:tcW w:type="dxa" w:w="3460"/>
            <w:shd w:fill="FFFFFF" w:val="clear"/>
            <w:tcMar>
              <w:top w:type="dxa" w:w="60"/>
              <w:left w:type="dxa" w:w="100"/>
              <w:bottom w:type="dxa" w:w="60"/>
              <w:right w:type="dxa" w:w="100"/>
            </w:tcMar>
            <w:vAlign w:val="center"/>
          </w:tcPr>
          <w:p>
            <w:r>
              <w:rPr>
                <w:sz w:val="19"/>
                <w:szCs w:val="19"/>
              </w:rPr>
              <w:t xml:space="preserve">0.1045</w:t>
            </w:r>
          </w:p>
        </w:tc>
      </w:tr>
      <w:tr>
        <w:tc>
          <w:tcPr>
            <w:tcW w:type="dxa" w:w="1200"/>
            <w:shd w:fill="F2F2F2" w:val="clear"/>
            <w:tcMar>
              <w:top w:type="dxa" w:w="60"/>
              <w:left w:type="dxa" w:w="100"/>
              <w:bottom w:type="dxa" w:w="60"/>
              <w:right w:type="dxa" w:w="100"/>
            </w:tcMar>
            <w:vAlign w:val="center"/>
          </w:tcPr>
          <w:p>
            <w:r>
              <w:rPr>
                <w:sz w:val="19"/>
                <w:szCs w:val="19"/>
              </w:rPr>
              <w:t xml:space="preserve">4</w:t>
            </w:r>
          </w:p>
        </w:tc>
        <w:tc>
          <w:tcPr>
            <w:tcW w:type="dxa" w:w="3800"/>
            <w:shd w:fill="F2F2F2" w:val="clear"/>
            <w:tcMar>
              <w:top w:type="dxa" w:w="60"/>
              <w:left w:type="dxa" w:w="100"/>
              <w:bottom w:type="dxa" w:w="60"/>
              <w:right w:type="dxa" w:w="100"/>
            </w:tcMar>
            <w:vAlign w:val="center"/>
          </w:tcPr>
          <w:p>
            <w:r>
              <w:rPr>
                <w:sz w:val="19"/>
                <w:szCs w:val="19"/>
              </w:rPr>
              <w:t xml:space="preserve">Hour</w:t>
            </w:r>
          </w:p>
        </w:tc>
        <w:tc>
          <w:tcPr>
            <w:tcW w:type="dxa" w:w="3460"/>
            <w:shd w:fill="F2F2F2" w:val="clear"/>
            <w:tcMar>
              <w:top w:type="dxa" w:w="60"/>
              <w:left w:type="dxa" w:w="100"/>
              <w:bottom w:type="dxa" w:w="60"/>
              <w:right w:type="dxa" w:w="100"/>
            </w:tcMar>
            <w:vAlign w:val="center"/>
          </w:tcPr>
          <w:p>
            <w:r>
              <w:rPr>
                <w:sz w:val="19"/>
                <w:szCs w:val="19"/>
              </w:rPr>
              <w:t xml:space="preserve">0.0413</w:t>
            </w:r>
          </w:p>
        </w:tc>
      </w:tr>
      <w:tr>
        <w:tc>
          <w:tcPr>
            <w:tcW w:type="dxa" w:w="1200"/>
            <w:shd w:fill="FFFFFF" w:val="clear"/>
            <w:tcMar>
              <w:top w:type="dxa" w:w="60"/>
              <w:left w:type="dxa" w:w="100"/>
              <w:bottom w:type="dxa" w:w="60"/>
              <w:right w:type="dxa" w:w="100"/>
            </w:tcMar>
            <w:vAlign w:val="center"/>
          </w:tcPr>
          <w:p>
            <w:r>
              <w:rPr>
                <w:sz w:val="19"/>
                <w:szCs w:val="19"/>
              </w:rPr>
              <w:t xml:space="preserve">5</w:t>
            </w:r>
          </w:p>
        </w:tc>
        <w:tc>
          <w:tcPr>
            <w:tcW w:type="dxa" w:w="3800"/>
            <w:shd w:fill="FFFFFF" w:val="clear"/>
            <w:tcMar>
              <w:top w:type="dxa" w:w="60"/>
              <w:left w:type="dxa" w:w="100"/>
              <w:bottom w:type="dxa" w:w="60"/>
              <w:right w:type="dxa" w:w="100"/>
            </w:tcMar>
            <w:vAlign w:val="center"/>
          </w:tcPr>
          <w:p>
            <w:r>
              <w:rPr>
                <w:sz w:val="19"/>
                <w:szCs w:val="19"/>
              </w:rPr>
              <w:t xml:space="preserve">Day</w:t>
            </w:r>
          </w:p>
        </w:tc>
        <w:tc>
          <w:tcPr>
            <w:tcW w:type="dxa" w:w="3460"/>
            <w:shd w:fill="FFFFFF" w:val="clear"/>
            <w:tcMar>
              <w:top w:type="dxa" w:w="60"/>
              <w:left w:type="dxa" w:w="100"/>
              <w:bottom w:type="dxa" w:w="60"/>
              <w:right w:type="dxa" w:w="100"/>
            </w:tcMar>
            <w:vAlign w:val="center"/>
          </w:tcPr>
          <w:p>
            <w:r>
              <w:rPr>
                <w:sz w:val="19"/>
                <w:szCs w:val="19"/>
              </w:rPr>
              <w:t xml:space="preserve">0.0357</w:t>
            </w:r>
          </w:p>
        </w:tc>
      </w:tr>
      <w:tr>
        <w:tc>
          <w:tcPr>
            <w:tcW w:type="dxa" w:w="1200"/>
            <w:shd w:fill="F2F2F2" w:val="clear"/>
            <w:tcMar>
              <w:top w:type="dxa" w:w="60"/>
              <w:left w:type="dxa" w:w="100"/>
              <w:bottom w:type="dxa" w:w="60"/>
              <w:right w:type="dxa" w:w="100"/>
            </w:tcMar>
            <w:vAlign w:val="center"/>
          </w:tcPr>
          <w:p>
            <w:r>
              <w:rPr>
                <w:sz w:val="19"/>
                <w:szCs w:val="19"/>
              </w:rPr>
              <w:t xml:space="preserve">6</w:t>
            </w:r>
          </w:p>
        </w:tc>
        <w:tc>
          <w:tcPr>
            <w:tcW w:type="dxa" w:w="3800"/>
            <w:shd w:fill="F2F2F2" w:val="clear"/>
            <w:tcMar>
              <w:top w:type="dxa" w:w="60"/>
              <w:left w:type="dxa" w:w="100"/>
              <w:bottom w:type="dxa" w:w="60"/>
              <w:right w:type="dxa" w:w="100"/>
            </w:tcMar>
            <w:vAlign w:val="center"/>
          </w:tcPr>
          <w:p>
            <w:r>
              <w:rPr>
                <w:sz w:val="19"/>
                <w:szCs w:val="19"/>
              </w:rPr>
              <w:t xml:space="preserve">Temperature_C</w:t>
            </w:r>
          </w:p>
        </w:tc>
        <w:tc>
          <w:tcPr>
            <w:tcW w:type="dxa" w:w="3460"/>
            <w:shd w:fill="F2F2F2" w:val="clear"/>
            <w:tcMar>
              <w:top w:type="dxa" w:w="60"/>
              <w:left w:type="dxa" w:w="100"/>
              <w:bottom w:type="dxa" w:w="60"/>
              <w:right w:type="dxa" w:w="100"/>
            </w:tcMar>
            <w:vAlign w:val="center"/>
          </w:tcPr>
          <w:p>
            <w:r>
              <w:rPr>
                <w:sz w:val="19"/>
                <w:szCs w:val="19"/>
              </w:rPr>
              <w:t xml:space="preserve">0.0165</w:t>
            </w:r>
          </w:p>
        </w:tc>
      </w:tr>
      <w:tr>
        <w:tc>
          <w:tcPr>
            <w:tcW w:type="dxa" w:w="1200"/>
            <w:shd w:fill="FFFFFF" w:val="clear"/>
            <w:tcMar>
              <w:top w:type="dxa" w:w="60"/>
              <w:left w:type="dxa" w:w="100"/>
              <w:bottom w:type="dxa" w:w="60"/>
              <w:right w:type="dxa" w:w="100"/>
            </w:tcMar>
            <w:vAlign w:val="center"/>
          </w:tcPr>
          <w:p>
            <w:r>
              <w:rPr>
                <w:sz w:val="19"/>
                <w:szCs w:val="19"/>
              </w:rPr>
              <w:t xml:space="preserve">7</w:t>
            </w:r>
          </w:p>
        </w:tc>
        <w:tc>
          <w:tcPr>
            <w:tcW w:type="dxa" w:w="3800"/>
            <w:shd w:fill="FFFFFF" w:val="clear"/>
            <w:tcMar>
              <w:top w:type="dxa" w:w="60"/>
              <w:left w:type="dxa" w:w="100"/>
              <w:bottom w:type="dxa" w:w="60"/>
              <w:right w:type="dxa" w:w="100"/>
            </w:tcMar>
            <w:vAlign w:val="center"/>
          </w:tcPr>
          <w:p>
            <w:r>
              <w:rPr>
                <w:sz w:val="19"/>
                <w:szCs w:val="19"/>
              </w:rPr>
              <w:t xml:space="preserve">Wind_Speed_kmh</w:t>
            </w:r>
          </w:p>
        </w:tc>
        <w:tc>
          <w:tcPr>
            <w:tcW w:type="dxa" w:w="3460"/>
            <w:shd w:fill="FFFFFF" w:val="clear"/>
            <w:tcMar>
              <w:top w:type="dxa" w:w="60"/>
              <w:left w:type="dxa" w:w="100"/>
              <w:bottom w:type="dxa" w:w="60"/>
              <w:right w:type="dxa" w:w="100"/>
            </w:tcMar>
            <w:vAlign w:val="center"/>
          </w:tcPr>
          <w:p>
            <w:r>
              <w:rPr>
                <w:sz w:val="19"/>
                <w:szCs w:val="19"/>
              </w:rPr>
              <w:t xml:space="preserve">0.0163</w:t>
            </w:r>
          </w:p>
        </w:tc>
      </w:tr>
      <w:tr>
        <w:tc>
          <w:tcPr>
            <w:tcW w:type="dxa" w:w="1200"/>
            <w:shd w:fill="F2F2F2" w:val="clear"/>
            <w:tcMar>
              <w:top w:type="dxa" w:w="60"/>
              <w:left w:type="dxa" w:w="100"/>
              <w:bottom w:type="dxa" w:w="60"/>
              <w:right w:type="dxa" w:w="100"/>
            </w:tcMar>
            <w:vAlign w:val="center"/>
          </w:tcPr>
          <w:p>
            <w:r>
              <w:rPr>
                <w:sz w:val="19"/>
                <w:szCs w:val="19"/>
              </w:rPr>
              <w:t xml:space="preserve">8</w:t>
            </w:r>
          </w:p>
        </w:tc>
        <w:tc>
          <w:tcPr>
            <w:tcW w:type="dxa" w:w="3800"/>
            <w:shd w:fill="F2F2F2" w:val="clear"/>
            <w:tcMar>
              <w:top w:type="dxa" w:w="60"/>
              <w:left w:type="dxa" w:w="100"/>
              <w:bottom w:type="dxa" w:w="60"/>
              <w:right w:type="dxa" w:w="100"/>
            </w:tcMar>
            <w:vAlign w:val="center"/>
          </w:tcPr>
          <w:p>
            <w:r>
              <w:rPr>
                <w:sz w:val="19"/>
                <w:szCs w:val="19"/>
              </w:rPr>
              <w:t xml:space="preserve">Humidity_%</w:t>
            </w:r>
          </w:p>
        </w:tc>
        <w:tc>
          <w:tcPr>
            <w:tcW w:type="dxa" w:w="3460"/>
            <w:shd w:fill="F2F2F2" w:val="clear"/>
            <w:tcMar>
              <w:top w:type="dxa" w:w="60"/>
              <w:left w:type="dxa" w:w="100"/>
              <w:bottom w:type="dxa" w:w="60"/>
              <w:right w:type="dxa" w:w="100"/>
            </w:tcMar>
            <w:vAlign w:val="center"/>
          </w:tcPr>
          <w:p>
            <w:r>
              <w:rPr>
                <w:sz w:val="19"/>
                <w:szCs w:val="19"/>
              </w:rPr>
              <w:t xml:space="preserve">0.0162</w:t>
            </w:r>
          </w:p>
        </w:tc>
      </w:tr>
      <w:tr>
        <w:tc>
          <w:tcPr>
            <w:tcW w:type="dxa" w:w="1200"/>
            <w:shd w:fill="FFFFFF" w:val="clear"/>
            <w:tcMar>
              <w:top w:type="dxa" w:w="60"/>
              <w:left w:type="dxa" w:w="100"/>
              <w:bottom w:type="dxa" w:w="60"/>
              <w:right w:type="dxa" w:w="100"/>
            </w:tcMar>
            <w:vAlign w:val="center"/>
          </w:tcPr>
          <w:p>
            <w:r>
              <w:rPr>
                <w:sz w:val="19"/>
                <w:szCs w:val="19"/>
              </w:rPr>
              <w:t xml:space="preserve">9</w:t>
            </w:r>
          </w:p>
        </w:tc>
        <w:tc>
          <w:tcPr>
            <w:tcW w:type="dxa" w:w="3800"/>
            <w:shd w:fill="FFFFFF" w:val="clear"/>
            <w:tcMar>
              <w:top w:type="dxa" w:w="60"/>
              <w:left w:type="dxa" w:w="100"/>
              <w:bottom w:type="dxa" w:w="60"/>
              <w:right w:type="dxa" w:w="100"/>
            </w:tcMar>
            <w:vAlign w:val="center"/>
          </w:tcPr>
          <w:p>
            <w:r>
              <w:rPr>
                <w:sz w:val="19"/>
                <w:szCs w:val="19"/>
              </w:rPr>
              <w:t xml:space="preserve">Day_of_Week</w:t>
            </w:r>
          </w:p>
        </w:tc>
        <w:tc>
          <w:tcPr>
            <w:tcW w:type="dxa" w:w="3460"/>
            <w:shd w:fill="FFFFFF" w:val="clear"/>
            <w:tcMar>
              <w:top w:type="dxa" w:w="60"/>
              <w:left w:type="dxa" w:w="100"/>
              <w:bottom w:type="dxa" w:w="60"/>
              <w:right w:type="dxa" w:w="100"/>
            </w:tcMar>
            <w:vAlign w:val="center"/>
          </w:tcPr>
          <w:p>
            <w:r>
              <w:rPr>
                <w:sz w:val="19"/>
                <w:szCs w:val="19"/>
              </w:rPr>
              <w:t xml:space="preserve">0.0142</w:t>
            </w:r>
          </w:p>
        </w:tc>
      </w:tr>
      <w:tr>
        <w:tc>
          <w:tcPr>
            <w:tcW w:type="dxa" w:w="1200"/>
            <w:shd w:fill="F2F2F2" w:val="clear"/>
            <w:tcMar>
              <w:top w:type="dxa" w:w="60"/>
              <w:left w:type="dxa" w:w="100"/>
              <w:bottom w:type="dxa" w:w="60"/>
              <w:right w:type="dxa" w:w="100"/>
            </w:tcMar>
            <w:vAlign w:val="center"/>
          </w:tcPr>
          <w:p>
            <w:r>
              <w:rPr>
                <w:sz w:val="19"/>
                <w:szCs w:val="19"/>
              </w:rPr>
              <w:t xml:space="preserve">10</w:t>
            </w:r>
          </w:p>
        </w:tc>
        <w:tc>
          <w:tcPr>
            <w:tcW w:type="dxa" w:w="3800"/>
            <w:shd w:fill="F2F2F2" w:val="clear"/>
            <w:tcMar>
              <w:top w:type="dxa" w:w="60"/>
              <w:left w:type="dxa" w:w="100"/>
              <w:bottom w:type="dxa" w:w="60"/>
              <w:right w:type="dxa" w:w="100"/>
            </w:tcMar>
            <w:vAlign w:val="center"/>
          </w:tcPr>
          <w:p>
            <w:r>
              <w:rPr>
                <w:sz w:val="19"/>
                <w:szCs w:val="19"/>
              </w:rPr>
              <w:t xml:space="preserve">state</w:t>
            </w:r>
          </w:p>
        </w:tc>
        <w:tc>
          <w:tcPr>
            <w:tcW w:type="dxa" w:w="3460"/>
            <w:shd w:fill="F2F2F2" w:val="clear"/>
            <w:tcMar>
              <w:top w:type="dxa" w:w="60"/>
              <w:left w:type="dxa" w:w="100"/>
              <w:bottom w:type="dxa" w:w="60"/>
              <w:right w:type="dxa" w:w="100"/>
            </w:tcMar>
            <w:vAlign w:val="center"/>
          </w:tcPr>
          <w:p>
            <w:r>
              <w:rPr>
                <w:sz w:val="19"/>
                <w:szCs w:val="19"/>
              </w:rPr>
              <w:t xml:space="preserve">0.0134</w:t>
            </w:r>
          </w:p>
        </w:tc>
      </w:tr>
      <w:tr>
        <w:tc>
          <w:tcPr>
            <w:tcW w:type="dxa" w:w="1200"/>
            <w:shd w:fill="FFFFFF" w:val="clear"/>
            <w:tcMar>
              <w:top w:type="dxa" w:w="60"/>
              <w:left w:type="dxa" w:w="100"/>
              <w:bottom w:type="dxa" w:w="60"/>
              <w:right w:type="dxa" w:w="100"/>
            </w:tcMar>
            <w:vAlign w:val="center"/>
          </w:tcPr>
          <w:p>
            <w:r>
              <w:rPr>
                <w:sz w:val="19"/>
                <w:szCs w:val="19"/>
              </w:rPr>
              <w:t xml:space="preserve">11</w:t>
            </w:r>
          </w:p>
        </w:tc>
        <w:tc>
          <w:tcPr>
            <w:tcW w:type="dxa" w:w="3800"/>
            <w:shd w:fill="FFFFFF" w:val="clear"/>
            <w:tcMar>
              <w:top w:type="dxa" w:w="60"/>
              <w:left w:type="dxa" w:w="100"/>
              <w:bottom w:type="dxa" w:w="60"/>
              <w:right w:type="dxa" w:w="100"/>
            </w:tcMar>
            <w:vAlign w:val="center"/>
          </w:tcPr>
          <w:p>
            <w:r>
              <w:rPr>
                <w:sz w:val="19"/>
                <w:szCs w:val="19"/>
              </w:rPr>
              <w:t xml:space="preserve">Month</w:t>
            </w:r>
          </w:p>
        </w:tc>
        <w:tc>
          <w:tcPr>
            <w:tcW w:type="dxa" w:w="3460"/>
            <w:shd w:fill="FFFFFF" w:val="clear"/>
            <w:tcMar>
              <w:top w:type="dxa" w:w="60"/>
              <w:left w:type="dxa" w:w="100"/>
              <w:bottom w:type="dxa" w:w="60"/>
              <w:right w:type="dxa" w:w="100"/>
            </w:tcMar>
            <w:vAlign w:val="center"/>
          </w:tcPr>
          <w:p>
            <w:r>
              <w:rPr>
                <w:sz w:val="19"/>
                <w:szCs w:val="19"/>
              </w:rPr>
              <w:t xml:space="preserve">0.0131</w:t>
            </w:r>
          </w:p>
        </w:tc>
      </w:tr>
      <w:tr>
        <w:tc>
          <w:tcPr>
            <w:tcW w:type="dxa" w:w="1200"/>
            <w:shd w:fill="F2F2F2" w:val="clear"/>
            <w:tcMar>
              <w:top w:type="dxa" w:w="60"/>
              <w:left w:type="dxa" w:w="100"/>
              <w:bottom w:type="dxa" w:w="60"/>
              <w:right w:type="dxa" w:w="100"/>
            </w:tcMar>
            <w:vAlign w:val="center"/>
          </w:tcPr>
          <w:p>
            <w:r>
              <w:rPr>
                <w:sz w:val="19"/>
                <w:szCs w:val="19"/>
              </w:rPr>
              <w:t xml:space="preserve">12</w:t>
            </w:r>
          </w:p>
        </w:tc>
        <w:tc>
          <w:tcPr>
            <w:tcW w:type="dxa" w:w="3800"/>
            <w:shd w:fill="F2F2F2" w:val="clear"/>
            <w:tcMar>
              <w:top w:type="dxa" w:w="60"/>
              <w:left w:type="dxa" w:w="100"/>
              <w:bottom w:type="dxa" w:w="60"/>
              <w:right w:type="dxa" w:w="100"/>
            </w:tcMar>
            <w:vAlign w:val="center"/>
          </w:tcPr>
          <w:p>
            <w:r>
              <w:rPr>
                <w:sz w:val="19"/>
                <w:szCs w:val="19"/>
              </w:rPr>
              <w:t xml:space="preserve">pollutant_id</w:t>
            </w:r>
          </w:p>
        </w:tc>
        <w:tc>
          <w:tcPr>
            <w:tcW w:type="dxa" w:w="3460"/>
            <w:shd w:fill="F2F2F2" w:val="clear"/>
            <w:tcMar>
              <w:top w:type="dxa" w:w="60"/>
              <w:left w:type="dxa" w:w="100"/>
              <w:bottom w:type="dxa" w:w="60"/>
              <w:right w:type="dxa" w:w="100"/>
            </w:tcMar>
            <w:vAlign w:val="center"/>
          </w:tcPr>
          <w:p>
            <w:r>
              <w:rPr>
                <w:sz w:val="19"/>
                <w:szCs w:val="19"/>
              </w:rPr>
              <w:t xml:space="preserve">0.0092</w:t>
            </w:r>
          </w:p>
        </w:tc>
      </w:tr>
      <w:tr>
        <w:tc>
          <w:tcPr>
            <w:tcW w:type="dxa" w:w="1200"/>
            <w:shd w:fill="FFFFFF" w:val="clear"/>
            <w:tcMar>
              <w:top w:type="dxa" w:w="60"/>
              <w:left w:type="dxa" w:w="100"/>
              <w:bottom w:type="dxa" w:w="60"/>
              <w:right w:type="dxa" w:w="100"/>
            </w:tcMar>
            <w:vAlign w:val="center"/>
          </w:tcPr>
          <w:p>
            <w:r>
              <w:rPr>
                <w:sz w:val="19"/>
                <w:szCs w:val="19"/>
              </w:rPr>
              <w:t xml:space="preserve">13</w:t>
            </w:r>
          </w:p>
        </w:tc>
        <w:tc>
          <w:tcPr>
            <w:tcW w:type="dxa" w:w="3800"/>
            <w:shd w:fill="FFFFFF" w:val="clear"/>
            <w:tcMar>
              <w:top w:type="dxa" w:w="60"/>
              <w:left w:type="dxa" w:w="100"/>
              <w:bottom w:type="dxa" w:w="60"/>
              <w:right w:type="dxa" w:w="100"/>
            </w:tcMar>
            <w:vAlign w:val="center"/>
          </w:tcPr>
          <w:p>
            <w:r>
              <w:rPr>
                <w:sz w:val="19"/>
                <w:szCs w:val="19"/>
              </w:rPr>
              <w:t xml:space="preserve">Season</w:t>
            </w:r>
          </w:p>
        </w:tc>
        <w:tc>
          <w:tcPr>
            <w:tcW w:type="dxa" w:w="3460"/>
            <w:shd w:fill="FFFFFF" w:val="clear"/>
            <w:tcMar>
              <w:top w:type="dxa" w:w="60"/>
              <w:left w:type="dxa" w:w="100"/>
              <w:bottom w:type="dxa" w:w="60"/>
              <w:right w:type="dxa" w:w="100"/>
            </w:tcMar>
            <w:vAlign w:val="center"/>
          </w:tcPr>
          <w:p>
            <w:r>
              <w:rPr>
                <w:sz w:val="19"/>
                <w:szCs w:val="19"/>
              </w:rPr>
              <w:t xml:space="preserve">0.0077</w:t>
            </w:r>
          </w:p>
        </w:tc>
      </w:tr>
      <w:tr>
        <w:tc>
          <w:tcPr>
            <w:tcW w:type="dxa" w:w="1200"/>
            <w:shd w:fill="F2F2F2" w:val="clear"/>
            <w:tcMar>
              <w:top w:type="dxa" w:w="60"/>
              <w:left w:type="dxa" w:w="100"/>
              <w:bottom w:type="dxa" w:w="60"/>
              <w:right w:type="dxa" w:w="100"/>
            </w:tcMar>
            <w:vAlign w:val="center"/>
          </w:tcPr>
          <w:p>
            <w:r>
              <w:rPr>
                <w:sz w:val="19"/>
                <w:szCs w:val="19"/>
              </w:rPr>
              <w:t xml:space="preserve">14</w:t>
            </w:r>
          </w:p>
        </w:tc>
        <w:tc>
          <w:tcPr>
            <w:tcW w:type="dxa" w:w="3800"/>
            <w:shd w:fill="F2F2F2" w:val="clear"/>
            <w:tcMar>
              <w:top w:type="dxa" w:w="60"/>
              <w:left w:type="dxa" w:w="100"/>
              <w:bottom w:type="dxa" w:w="60"/>
              <w:right w:type="dxa" w:w="100"/>
            </w:tcMar>
            <w:vAlign w:val="center"/>
          </w:tcPr>
          <w:p>
            <w:r>
              <w:rPr>
                <w:sz w:val="19"/>
                <w:szCs w:val="19"/>
              </w:rPr>
              <w:t xml:space="preserve">Year</w:t>
            </w:r>
          </w:p>
        </w:tc>
        <w:tc>
          <w:tcPr>
            <w:tcW w:type="dxa" w:w="3460"/>
            <w:shd w:fill="F2F2F2" w:val="clear"/>
            <w:tcMar>
              <w:top w:type="dxa" w:w="60"/>
              <w:left w:type="dxa" w:w="100"/>
              <w:bottom w:type="dxa" w:w="60"/>
              <w:right w:type="dxa" w:w="100"/>
            </w:tcMar>
            <w:vAlign w:val="center"/>
          </w:tcPr>
          <w:p>
            <w:r>
              <w:rPr>
                <w:sz w:val="19"/>
                <w:szCs w:val="19"/>
              </w:rPr>
              <w:t xml:space="preserve">0.0057</w:t>
            </w:r>
          </w:p>
        </w:tc>
      </w:tr>
    </w:tbl>
    <w:p>
      <w:pPr>
        <w:spacing w:after="200" w:line="300"/>
        <w:jc w:val="both"/>
      </w:pPr>
      <w:r>
        <w:rPr>
          <w:sz w:val="22"/>
          <w:szCs w:val="22"/>
        </w:rPr>
        <w:t xml:space="preserve">This result is highly consistent with domain expectations: since AQI (and by extension AQI_Bucket) is fundamentally a function of measured pollutant concentration, it is unsurprising that pollutant_avg, pollutant_min, and pollutant_max collectively account for approximately 81.1% of the model's total decision-making weight. Temporal features (Hour, Day) contribute modestly, likely capturing diurnal pollution cycles (e.g., traffic-related peaks), while weather and geographic features (Temperature_C, Wind_Speed_kmh, Humidity_%, state) each contribute a smaller, but non-negligible, share — suggesting they provide secondary, refining signal rather than primary predictive power.</w:t>
      </w:r>
    </w:p>
    <w:p>
      <w:pPr>
        <w:pStyle w:val="Heading2"/>
        <w:spacing w:after="180" w:before="360"/>
      </w:pPr>
      <w:r>
        <w:rPr>
          <w:b/>
          <w:bCs/>
          <w:color w:val="2E75B6"/>
          <w:sz w:val="26"/>
          <w:szCs w:val="26"/>
        </w:rPr>
        <w:t xml:space="preserve">10.2 Gradient Boosting Classifier</w:t>
      </w:r>
    </w:p>
    <w:p>
      <w:pPr>
        <w:spacing w:after="200" w:line="300"/>
        <w:jc w:val="both"/>
      </w:pPr>
      <w:r>
        <w:rPr>
          <w:sz w:val="22"/>
          <w:szCs w:val="22"/>
        </w:rPr>
        <w:t xml:space="preserve">How it works: Gradient Boosting is an ensemble technique that builds trees sequentially rather than independently. Each new tree is trained to predict the residual errors (more precisely, the negative gradient of the loss function) made by the ensemble of previously trained trees, so that each additional tree incrementally corrects the mistakes of its predecessors. In the notebook, the classifier was configured with n_estimators=300 (300 sequential boosting stages), learning_rate=0.1 (a moderate step size that shrinks each tree's contribution to prevent overfitting), max_depth=5 (individual trees are shallow, limiting their complexity), and random_state=42 for reproducibility. The training log shows the training loss decreasing monotonically from approximately 1.15 at iteration 1 to effectively 0.0000 by iteration 40 onward, indicating the model achieved a near-perfect fit on the training data.</w:t>
      </w:r>
    </w:p>
    <w:p>
      <w:pPr>
        <w:spacing w:after="200" w:line="300"/>
        <w:jc w:val="both"/>
      </w:pPr>
      <w:r>
        <w:rPr>
          <w:sz w:val="22"/>
          <w:szCs w:val="22"/>
        </w:rPr>
        <w:t xml:space="preserve">Why it was selected: Gradient Boosting frequently achieves state-of-the-art performance on structured tabular datasets by focusing model capacity on the hardest-to-classify examples at each boosting stage, often outperforming a Random Forest of comparable size, at the cost of longer training time due to the sequential (rather than parallel) nature of tree construction.</w:t>
      </w:r>
    </w:p>
    <w:p>
      <w:pPr>
        <w:spacing w:after="200" w:line="300"/>
        <w:jc w:val="both"/>
      </w:pPr>
      <w:r>
        <w:rPr>
          <w:sz w:val="22"/>
          <w:szCs w:val="22"/>
        </w:rPr>
        <w:t xml:space="preserve">Advantages:</w:t>
      </w:r>
    </w:p>
    <w:p>
      <w:pPr>
        <w:pStyle w:val="ListParagraph"/>
        <w:numPr>
          <w:ilvl w:val="0"/>
          <w:numId w:val="1"/>
        </w:numPr>
        <w:spacing w:after="100" w:line="280"/>
      </w:pPr>
      <w:r>
        <w:rPr>
          <w:sz w:val="22"/>
          <w:szCs w:val="22"/>
        </w:rPr>
        <w:t xml:space="preserve">Typically achieves higher predictive accuracy than bagging-based ensembles (such as Random Forest) on many tabular problems, as confirmed by this project's results.</w:t>
      </w:r>
    </w:p>
    <w:p>
      <w:pPr>
        <w:pStyle w:val="ListParagraph"/>
        <w:numPr>
          <w:ilvl w:val="0"/>
          <w:numId w:val="1"/>
        </w:numPr>
        <w:spacing w:after="100" w:line="280"/>
      </w:pPr>
      <w:r>
        <w:rPr>
          <w:sz w:val="22"/>
          <w:szCs w:val="22"/>
        </w:rPr>
        <w:t xml:space="preserve">The learning_rate hyperparameter provides fine-grained control over the bias-variance trade-off and helps guard against overfitting relative to unconstrained tree growth.</w:t>
      </w:r>
    </w:p>
    <w:p>
      <w:pPr>
        <w:pStyle w:val="ListParagraph"/>
        <w:numPr>
          <w:ilvl w:val="0"/>
          <w:numId w:val="1"/>
        </w:numPr>
        <w:spacing w:after="100" w:line="280"/>
      </w:pPr>
      <w:r>
        <w:rPr>
          <w:sz w:val="22"/>
          <w:szCs w:val="22"/>
        </w:rPr>
        <w:t xml:space="preserve">Shallow individual trees (max_depth=5) keep each boosting stage computationally lightweight.</w:t>
      </w:r>
    </w:p>
    <w:p>
      <w:pPr>
        <w:spacing w:after="200" w:line="300"/>
        <w:jc w:val="both"/>
      </w:pPr>
      <w:r>
        <w:rPr>
          <w:sz w:val="22"/>
          <w:szCs w:val="22"/>
        </w:rPr>
        <w:t xml:space="preserve">Limitations:</w:t>
      </w:r>
    </w:p>
    <w:p>
      <w:pPr>
        <w:pStyle w:val="ListParagraph"/>
        <w:numPr>
          <w:ilvl w:val="0"/>
          <w:numId w:val="1"/>
        </w:numPr>
        <w:spacing w:after="100" w:line="280"/>
      </w:pPr>
      <w:r>
        <w:rPr>
          <w:sz w:val="22"/>
          <w:szCs w:val="22"/>
        </w:rPr>
        <w:t xml:space="preserve">Sequential training cannot be parallelized across trees in the same way as Random Forest, making it inherently slower to train, as reflected in the multi-minute elapsed training time observed in the notebook's output log.</w:t>
      </w:r>
    </w:p>
    <w:p>
      <w:pPr>
        <w:pStyle w:val="ListParagraph"/>
        <w:numPr>
          <w:ilvl w:val="0"/>
          <w:numId w:val="1"/>
        </w:numPr>
        <w:spacing w:after="100" w:line="280"/>
      </w:pPr>
      <w:r>
        <w:rPr>
          <w:sz w:val="22"/>
          <w:szCs w:val="22"/>
        </w:rPr>
        <w:t xml:space="preserve">More sensitive to hyperparameter choices (number of estimators, learning rate, tree depth) than Random Forest, requiring more careful tuning to avoid overfitting.</w:t>
      </w:r>
    </w:p>
    <w:p>
      <w:pPr>
        <w:pStyle w:val="ListParagraph"/>
        <w:numPr>
          <w:ilvl w:val="0"/>
          <w:numId w:val="1"/>
        </w:numPr>
        <w:spacing w:after="100" w:line="280"/>
      </w:pPr>
      <w:r>
        <w:rPr>
          <w:sz w:val="22"/>
          <w:szCs w:val="22"/>
        </w:rPr>
        <w:t xml:space="preserve">The training loss reaching 0.0000 by iteration 40–50 is a signal of very tight fit to the training data, which — while reflected in excellent test-set and cross-validation performance in this case — is a pattern that would typically warrant closer scrutiny for overfitting on less separable datasets.</w:t>
      </w:r>
    </w:p>
    <w:p>
      <w:pPr>
        <w:pStyle w:val="Heading2"/>
        <w:spacing w:after="180" w:before="360"/>
      </w:pPr>
      <w:r>
        <w:rPr>
          <w:b/>
          <w:bCs/>
          <w:color w:val="2E75B6"/>
          <w:sz w:val="26"/>
          <w:szCs w:val="26"/>
        </w:rPr>
        <w:t xml:space="preserve">10.3 Linear Support Vector Classification (LinearSVC)</w:t>
      </w:r>
    </w:p>
    <w:p>
      <w:pPr>
        <w:spacing w:after="200" w:line="300"/>
        <w:jc w:val="both"/>
      </w:pPr>
      <w:r>
        <w:rPr>
          <w:sz w:val="22"/>
          <w:szCs w:val="22"/>
        </w:rPr>
        <w:t xml:space="preserve">How it works: LinearSVC implements a Support Vector Machine with a linear kernel, seeking the hyperplane(s) that maximally separate the classes in feature space while minimizing classification error, extended to the multi-class setting via a one-vs-rest scheme. Because LinearSVC is a margin-based, distance-sensitive algorithm, the notebook wraps it inside a scikit-learn Pipeline together with StandardScaler (make_pipeline(StandardScaler(), LinearSVC(random_state=42, verbose=1))), ensuring all input features are standardized to comparable scales before fitting.</w:t>
      </w:r>
    </w:p>
    <w:p>
      <w:pPr>
        <w:spacing w:after="200" w:line="300"/>
        <w:jc w:val="both"/>
      </w:pPr>
      <w:r>
        <w:rPr>
          <w:sz w:val="22"/>
          <w:szCs w:val="22"/>
        </w:rPr>
        <w:t xml:space="preserve">Why it was selected: LinearSVC provides a computationally efficient linear baseline, useful for assessing whether the classes in this problem are separable by simple linear decision boundaries, and for contrasting linear-model performance against the non-linear, tree-based ensembles.</w:t>
      </w:r>
    </w:p>
    <w:p>
      <w:pPr>
        <w:spacing w:after="200" w:line="300"/>
        <w:jc w:val="both"/>
      </w:pPr>
      <w:r>
        <w:rPr>
          <w:sz w:val="22"/>
          <w:szCs w:val="22"/>
        </w:rPr>
        <w:t xml:space="preserve">Advantages:</w:t>
      </w:r>
    </w:p>
    <w:p>
      <w:pPr>
        <w:pStyle w:val="ListParagraph"/>
        <w:numPr>
          <w:ilvl w:val="0"/>
          <w:numId w:val="1"/>
        </w:numPr>
        <w:spacing w:after="100" w:line="280"/>
      </w:pPr>
      <w:r>
        <w:rPr>
          <w:sz w:val="22"/>
          <w:szCs w:val="22"/>
        </w:rPr>
        <w:t xml:space="preserve">Computationally efficient for large datasets relative to kernelized SVMs.</w:t>
      </w:r>
    </w:p>
    <w:p>
      <w:pPr>
        <w:pStyle w:val="ListParagraph"/>
        <w:numPr>
          <w:ilvl w:val="0"/>
          <w:numId w:val="1"/>
        </w:numPr>
        <w:spacing w:after="100" w:line="280"/>
      </w:pPr>
      <w:r>
        <w:rPr>
          <w:sz w:val="22"/>
          <w:szCs w:val="22"/>
        </w:rPr>
        <w:t xml:space="preserve">Effective when classes are approximately linearly separable in the (scaled) feature space.</w:t>
      </w:r>
    </w:p>
    <w:p>
      <w:pPr>
        <w:pStyle w:val="ListParagraph"/>
        <w:numPr>
          <w:ilvl w:val="0"/>
          <w:numId w:val="1"/>
        </w:numPr>
        <w:spacing w:after="100" w:line="280"/>
      </w:pPr>
      <w:r>
        <w:rPr>
          <w:sz w:val="22"/>
          <w:szCs w:val="22"/>
        </w:rPr>
        <w:t xml:space="preserve">Well-regularized by default, reducing the risk of overfitting on high-dimensional data.</w:t>
      </w:r>
    </w:p>
    <w:p>
      <w:pPr>
        <w:spacing w:after="200" w:line="300"/>
        <w:jc w:val="both"/>
      </w:pPr>
      <w:r>
        <w:rPr>
          <w:sz w:val="22"/>
          <w:szCs w:val="22"/>
        </w:rPr>
        <w:t xml:space="preserve">Limitations:</w:t>
      </w:r>
    </w:p>
    <w:p>
      <w:pPr>
        <w:pStyle w:val="ListParagraph"/>
        <w:numPr>
          <w:ilvl w:val="0"/>
          <w:numId w:val="1"/>
        </w:numPr>
        <w:spacing w:after="100" w:line="280"/>
      </w:pPr>
      <w:r>
        <w:rPr>
          <w:sz w:val="22"/>
          <w:szCs w:val="22"/>
        </w:rPr>
        <w:t xml:space="preserve">Cannot capture non-linear relationships between features and the target without explicit feature engineering or kernel tricks (which LinearSVC, by design, does not use).</w:t>
      </w:r>
    </w:p>
    <w:p>
      <w:pPr>
        <w:pStyle w:val="ListParagraph"/>
        <w:numPr>
          <w:ilvl w:val="0"/>
          <w:numId w:val="1"/>
        </w:numPr>
        <w:spacing w:after="100" w:line="280"/>
      </w:pPr>
      <w:r>
        <w:rPr>
          <w:sz w:val="22"/>
          <w:szCs w:val="22"/>
        </w:rPr>
        <w:t xml:space="preserve">As shown in Section 11, LinearSVC struggled specifically with the 'Unhealthy for Sensitive Groups' class, achieving a recall of only 0.07 for that category — indicating the linear decision boundary was largely unable to separate this class from its adjacent neighbors on the AQI severity scale.</w:t>
      </w:r>
    </w:p>
    <w:p>
      <w:pPr>
        <w:pStyle w:val="ListParagraph"/>
        <w:numPr>
          <w:ilvl w:val="0"/>
          <w:numId w:val="1"/>
        </w:numPr>
        <w:spacing w:after="100" w:line="280"/>
      </w:pPr>
      <w:r>
        <w:rPr>
          <w:sz w:val="22"/>
          <w:szCs w:val="22"/>
        </w:rPr>
        <w:t xml:space="preserve">Sensitive to feature scaling, which is why standardization was a mandatory preprocessing step for this model specifically.</w:t>
      </w:r>
    </w:p>
    <w:p>
      <w:pPr>
        <w:pStyle w:val="Heading2"/>
        <w:spacing w:after="180" w:before="360"/>
      </w:pPr>
      <w:r>
        <w:rPr>
          <w:b/>
          <w:bCs/>
          <w:color w:val="2E75B6"/>
          <w:sz w:val="26"/>
          <w:szCs w:val="26"/>
        </w:rPr>
        <w:t xml:space="preserve">10.4 K-Nearest Neighbors (KNN)</w:t>
      </w:r>
    </w:p>
    <w:p>
      <w:pPr>
        <w:spacing w:after="200" w:line="300"/>
        <w:jc w:val="both"/>
      </w:pPr>
      <w:r>
        <w:rPr>
          <w:sz w:val="22"/>
          <w:szCs w:val="22"/>
        </w:rPr>
        <w:t xml:space="preserve">How it works: K-Nearest Neighbors is a non-parametric, instance-based algorithm that makes no explicit assumption about the functional form of the decision boundary. To classify a new sample, it identifies the k training samples closest to it in feature space (using a distance metric, by default Euclidean distance) and assigns the majority class label among those neighbors. In the notebook, the model was configured with n_neighbors=5, described in an inline comment as 'a common starting point', and n_jobs=-1 for parallelized neighbor search.</w:t>
      </w:r>
    </w:p>
    <w:p>
      <w:pPr>
        <w:spacing w:after="200" w:line="300"/>
        <w:jc w:val="both"/>
      </w:pPr>
      <w:r>
        <w:rPr>
          <w:sz w:val="22"/>
          <w:szCs w:val="22"/>
        </w:rPr>
        <w:t xml:space="preserve">Why it was selected: KNN offers a conceptually simple, non-linear alternative to both the tree-based ensembles and the linear models, allowing the project to examine how a purely distance-based, memory-based approach performs relative to models that explicitly learn a parametric or rule-based decision function.</w:t>
      </w:r>
    </w:p>
    <w:p>
      <w:pPr>
        <w:spacing w:after="200" w:line="300"/>
        <w:jc w:val="both"/>
      </w:pPr>
      <w:r>
        <w:rPr>
          <w:sz w:val="22"/>
          <w:szCs w:val="22"/>
        </w:rPr>
        <w:t xml:space="preserve">Advantages:</w:t>
      </w:r>
    </w:p>
    <w:p>
      <w:pPr>
        <w:pStyle w:val="ListParagraph"/>
        <w:numPr>
          <w:ilvl w:val="0"/>
          <w:numId w:val="1"/>
        </w:numPr>
        <w:spacing w:after="100" w:line="280"/>
      </w:pPr>
      <w:r>
        <w:rPr>
          <w:sz w:val="22"/>
          <w:szCs w:val="22"/>
        </w:rPr>
        <w:t xml:space="preserve">Simple to understand and implement, with no explicit training phase (predictions are computed directly from the stored training data).</w:t>
      </w:r>
    </w:p>
    <w:p>
      <w:pPr>
        <w:pStyle w:val="ListParagraph"/>
        <w:numPr>
          <w:ilvl w:val="0"/>
          <w:numId w:val="1"/>
        </w:numPr>
        <w:spacing w:after="100" w:line="280"/>
      </w:pPr>
      <w:r>
        <w:rPr>
          <w:sz w:val="22"/>
          <w:szCs w:val="22"/>
        </w:rPr>
        <w:t xml:space="preserve">Naturally captures non-linear decision boundaries, since local neighborhoods can adapt to complex class geometries.</w:t>
      </w:r>
    </w:p>
    <w:p>
      <w:pPr>
        <w:pStyle w:val="ListParagraph"/>
        <w:numPr>
          <w:ilvl w:val="0"/>
          <w:numId w:val="1"/>
        </w:numPr>
        <w:spacing w:after="100" w:line="280"/>
      </w:pPr>
      <w:r>
        <w:rPr>
          <w:sz w:val="22"/>
          <w:szCs w:val="22"/>
        </w:rPr>
        <w:t xml:space="preserve">Performed substantially better than the two linear models in this project (93.73% accuracy versus roughly 82% for LinearSVC and Logistic Regression), suggesting the true decision boundary in this feature space is meaningfully non-linear.</w:t>
      </w:r>
    </w:p>
    <w:p>
      <w:pPr>
        <w:spacing w:after="200" w:line="300"/>
        <w:jc w:val="both"/>
      </w:pPr>
      <w:r>
        <w:rPr>
          <w:sz w:val="22"/>
          <w:szCs w:val="22"/>
        </w:rPr>
        <w:t xml:space="preserve">Limitations:</w:t>
      </w:r>
    </w:p>
    <w:p>
      <w:pPr>
        <w:pStyle w:val="ListParagraph"/>
        <w:numPr>
          <w:ilvl w:val="0"/>
          <w:numId w:val="1"/>
        </w:numPr>
        <w:spacing w:after="100" w:line="280"/>
      </w:pPr>
      <w:r>
        <w:rPr>
          <w:sz w:val="22"/>
          <w:szCs w:val="22"/>
        </w:rPr>
        <w:t xml:space="preserve">Prediction cost scales with the size of the training set, since every prediction requires searching the full (or indexed) training set for nearest neighbors, making it less scalable to very large datasets than model-based approaches.</w:t>
      </w:r>
    </w:p>
    <w:p>
      <w:pPr>
        <w:pStyle w:val="ListParagraph"/>
        <w:numPr>
          <w:ilvl w:val="0"/>
          <w:numId w:val="1"/>
        </w:numPr>
        <w:spacing w:after="100" w:line="280"/>
      </w:pPr>
      <w:r>
        <w:rPr>
          <w:sz w:val="22"/>
          <w:szCs w:val="22"/>
        </w:rPr>
        <w:t xml:space="preserve">Sensitive to the choice of k and to feature scaling; although the notebook did not explicitly scale features for KNN in its final configuration, feature magnitude differences can distort distance calculations.</w:t>
      </w:r>
    </w:p>
    <w:p>
      <w:pPr>
        <w:pStyle w:val="ListParagraph"/>
        <w:numPr>
          <w:ilvl w:val="0"/>
          <w:numId w:val="1"/>
        </w:numPr>
        <w:spacing w:after="100" w:line="280"/>
      </w:pPr>
      <w:r>
        <w:rPr>
          <w:sz w:val="22"/>
          <w:szCs w:val="22"/>
        </w:rPr>
        <w:t xml:space="preserve">Performance still lagged behind the ensemble tree-based models, particularly for minority classes such as 'Hazardous' (recall 0.82) and 'Unhealthy for Sensitive Groups' (recall 0.85), reflecting the general tendency of KNN to be less robust on imbalanced, high-dimensional tabular data than boosted trees.</w:t>
      </w:r>
    </w:p>
    <w:p>
      <w:pPr>
        <w:pStyle w:val="Heading2"/>
        <w:spacing w:after="180" w:before="360"/>
      </w:pPr>
      <w:r>
        <w:rPr>
          <w:b/>
          <w:bCs/>
          <w:color w:val="2E75B6"/>
          <w:sz w:val="26"/>
          <w:szCs w:val="26"/>
        </w:rPr>
        <w:t xml:space="preserve">10.5 Logistic Regression</w:t>
      </w:r>
    </w:p>
    <w:p>
      <w:pPr>
        <w:spacing w:after="200" w:line="300"/>
        <w:jc w:val="both"/>
      </w:pPr>
      <w:r>
        <w:rPr>
          <w:sz w:val="22"/>
          <w:szCs w:val="22"/>
        </w:rPr>
        <w:t xml:space="preserve">How it works: Logistic Regression is a linear probabilistic classifier that models the log-odds of class membership as a linear combination of input features, extended to the multi-class setting (as used here) through techniques such as one-vs-rest classification. The notebook configures the model within a pipeline with StandardScaler (make_pipeline(StandardScaler(), LogisticRegression(random_state=42, solver='liblinear', max_iter=1000, verbose=1))), using the 'liblinear' solver — well-suited to smaller datasets and one-vs-rest multi-class schemes — and an increased max_iter=1000 to ensure the optimization algorithm converges.</w:t>
      </w:r>
    </w:p>
    <w:p>
      <w:pPr>
        <w:spacing w:after="200" w:line="300"/>
        <w:jc w:val="both"/>
      </w:pPr>
      <w:r>
        <w:rPr>
          <w:sz w:val="22"/>
          <w:szCs w:val="22"/>
        </w:rPr>
        <w:t xml:space="preserve">Why it was selected: Logistic Regression serves as a well-understood, highly interpretable statistical baseline, allowing direct comparison against the more complex non-linear models and providing a reference point for how much predictive power is gained by moving beyond a purely linear model.</w:t>
      </w:r>
    </w:p>
    <w:p>
      <w:pPr>
        <w:spacing w:after="200" w:line="300"/>
        <w:jc w:val="both"/>
      </w:pPr>
      <w:r>
        <w:rPr>
          <w:sz w:val="22"/>
          <w:szCs w:val="22"/>
        </w:rPr>
        <w:t xml:space="preserve">Advantages:</w:t>
      </w:r>
    </w:p>
    <w:p>
      <w:pPr>
        <w:pStyle w:val="ListParagraph"/>
        <w:numPr>
          <w:ilvl w:val="0"/>
          <w:numId w:val="1"/>
        </w:numPr>
        <w:spacing w:after="100" w:line="280"/>
      </w:pPr>
      <w:r>
        <w:rPr>
          <w:sz w:val="22"/>
          <w:szCs w:val="22"/>
        </w:rPr>
        <w:t xml:space="preserve">Highly interpretable: model coefficients directly indicate the direction and relative strength of each feature's association with each class.</w:t>
      </w:r>
    </w:p>
    <w:p>
      <w:pPr>
        <w:pStyle w:val="ListParagraph"/>
        <w:numPr>
          <w:ilvl w:val="0"/>
          <w:numId w:val="1"/>
        </w:numPr>
        <w:spacing w:after="100" w:line="280"/>
      </w:pPr>
      <w:r>
        <w:rPr>
          <w:sz w:val="22"/>
          <w:szCs w:val="22"/>
        </w:rPr>
        <w:t xml:space="preserve">Computationally efficient to train and produces well-calibrated class probability estimates.</w:t>
      </w:r>
    </w:p>
    <w:p>
      <w:pPr>
        <w:pStyle w:val="ListParagraph"/>
        <w:numPr>
          <w:ilvl w:val="0"/>
          <w:numId w:val="1"/>
        </w:numPr>
        <w:spacing w:after="100" w:line="280"/>
      </w:pPr>
      <w:r>
        <w:rPr>
          <w:sz w:val="22"/>
          <w:szCs w:val="22"/>
        </w:rPr>
        <w:t xml:space="preserve">Serves as a useful diagnostic baseline — if a complex model only marginally outperforms Logistic Regression, this can indicate the underlying relationship is largely linear.</w:t>
      </w:r>
    </w:p>
    <w:p>
      <w:pPr>
        <w:spacing w:after="200" w:line="300"/>
        <w:jc w:val="both"/>
      </w:pPr>
      <w:r>
        <w:rPr>
          <w:sz w:val="22"/>
          <w:szCs w:val="22"/>
        </w:rPr>
        <w:t xml:space="preserve">Limitations:</w:t>
      </w:r>
    </w:p>
    <w:p>
      <w:pPr>
        <w:pStyle w:val="ListParagraph"/>
        <w:numPr>
          <w:ilvl w:val="0"/>
          <w:numId w:val="1"/>
        </w:numPr>
        <w:spacing w:after="100" w:line="280"/>
      </w:pPr>
      <w:r>
        <w:rPr>
          <w:sz w:val="22"/>
          <w:szCs w:val="22"/>
        </w:rPr>
        <w:t xml:space="preserve">Assumes a linear relationship between features and the log-odds of the outcome, which limits its ability to model the complex, non-linear relationship evidently present in this dataset.</w:t>
      </w:r>
    </w:p>
    <w:p>
      <w:pPr>
        <w:pStyle w:val="ListParagraph"/>
        <w:numPr>
          <w:ilvl w:val="0"/>
          <w:numId w:val="1"/>
        </w:numPr>
        <w:spacing w:after="100" w:line="280"/>
      </w:pPr>
      <w:r>
        <w:rPr>
          <w:sz w:val="22"/>
          <w:szCs w:val="22"/>
        </w:rPr>
        <w:t xml:space="preserve">Achieved the lowest overall accuracy among all five models (81.66%), with particularly weak recall for the 'Unhealthy for Sensitive Groups' class (0.27), indicating a systematic difficulty distinguishing this middle category from its neighboring classes using a purely linear decision boundary.</w:t>
      </w:r>
    </w:p>
    <w:p>
      <w:pPr>
        <w:pStyle w:val="ListParagraph"/>
        <w:numPr>
          <w:ilvl w:val="0"/>
          <w:numId w:val="1"/>
        </w:numPr>
        <w:spacing w:after="100" w:line="280"/>
      </w:pPr>
      <w:r>
        <w:rPr>
          <w:sz w:val="22"/>
          <w:szCs w:val="22"/>
        </w:rPr>
        <w:t xml:space="preserve">Like LinearSVC, its performance is dependent on proper feature scaling, which was addressed via the StandardScaler pipeline step.</w:t>
      </w:r>
    </w:p>
    <w:p>
      <w:pPr>
        <w:pStyle w:val="Heading1"/>
        <w:pBdr>
          <w:bottom w:val="single" w:color="1F3864" w:sz="8" w:space="4"/>
        </w:pBdr>
        <w:spacing w:after="240" w:before="480"/>
      </w:pPr>
      <w:r>
        <w:rPr>
          <w:b/>
          <w:bCs/>
          <w:color w:val="1F3864"/>
          <w:sz w:val="32"/>
          <w:szCs w:val="32"/>
        </w:rPr>
        <w:t xml:space="preserve">11. Model Evaluation</w:t>
      </w:r>
    </w:p>
    <w:p>
      <w:pPr>
        <w:spacing w:after="200" w:line="300"/>
        <w:jc w:val="both"/>
      </w:pPr>
      <w:r>
        <w:rPr>
          <w:sz w:val="22"/>
          <w:szCs w:val="22"/>
        </w:rPr>
        <w:t xml:space="preserve">Each of the five trained models was evaluated on the identical held-out test set (2,105 samples, representing 20% of the full dataset, stratified by class) to ensure a fair, consistent basis for comparison. The evaluation metrics used, and their interpretation in this multi-class context, are described below before presenting model-by-model results.</w:t>
      </w:r>
    </w:p>
    <w:p>
      <w:pPr>
        <w:pStyle w:val="Heading2"/>
        <w:spacing w:after="180" w:before="360"/>
      </w:pPr>
      <w:r>
        <w:rPr>
          <w:b/>
          <w:bCs/>
          <w:color w:val="2E75B6"/>
          <w:sz w:val="26"/>
          <w:szCs w:val="26"/>
        </w:rPr>
        <w:t xml:space="preserve">11.1 Evaluation Metrics Explained</w:t>
      </w:r>
    </w:p>
    <w:p>
      <w:pPr>
        <w:pStyle w:val="ListParagraph"/>
        <w:numPr>
          <w:ilvl w:val="0"/>
          <w:numId w:val="1"/>
        </w:numPr>
        <w:spacing w:after="100" w:line="280"/>
      </w:pPr>
      <w:r>
        <w:rPr>
          <w:b/>
          <w:bCs/>
          <w:sz w:val="22"/>
          <w:szCs w:val="22"/>
        </w:rPr>
        <w:t xml:space="preserve">Accuracy — </w:t>
      </w:r>
      <w:r>
        <w:rPr>
          <w:sz w:val="22"/>
          <w:szCs w:val="22"/>
        </w:rPr>
        <w:t xml:space="preserve">the proportion of test samples correctly classified out of all test samples. While intuitive, accuracy alone can be misleading on imbalanced datasets (such as this one, where 'Good' is far more frequent than 'Hazardous'), since a model could achieve deceptively high accuracy by favoring the majority class.</w:t>
      </w:r>
    </w:p>
    <w:p>
      <w:pPr>
        <w:pStyle w:val="ListParagraph"/>
        <w:numPr>
          <w:ilvl w:val="0"/>
          <w:numId w:val="1"/>
        </w:numPr>
        <w:spacing w:after="100" w:line="280"/>
      </w:pPr>
      <w:r>
        <w:rPr>
          <w:b/>
          <w:bCs/>
          <w:sz w:val="22"/>
          <w:szCs w:val="22"/>
        </w:rPr>
        <w:t xml:space="preserve">Precision — </w:t>
      </w:r>
      <w:r>
        <w:rPr>
          <w:sz w:val="22"/>
          <w:szCs w:val="22"/>
        </w:rPr>
        <w:t xml:space="preserve">for a given class, the proportion of samples predicted as that class which were actually correct (true positives divided by all predicted positives). High precision indicates a low false-positive rate for that class.</w:t>
      </w:r>
    </w:p>
    <w:p>
      <w:pPr>
        <w:pStyle w:val="ListParagraph"/>
        <w:numPr>
          <w:ilvl w:val="0"/>
          <w:numId w:val="1"/>
        </w:numPr>
        <w:spacing w:after="100" w:line="280"/>
      </w:pPr>
      <w:r>
        <w:rPr>
          <w:b/>
          <w:bCs/>
          <w:sz w:val="22"/>
          <w:szCs w:val="22"/>
        </w:rPr>
        <w:t xml:space="preserve">Recall — </w:t>
      </w:r>
      <w:r>
        <w:rPr>
          <w:sz w:val="22"/>
          <w:szCs w:val="22"/>
        </w:rPr>
        <w:t xml:space="preserve">for a given class, the proportion of actual samples of that class that were correctly identified (true positives divided by all actual positives). High recall indicates a low false-negative rate — critical in this application, since failing to recognize a genuinely 'Hazardous' reading (a false negative) carries more serious real-world consequences than a false alarm.</w:t>
      </w:r>
    </w:p>
    <w:p>
      <w:pPr>
        <w:pStyle w:val="ListParagraph"/>
        <w:numPr>
          <w:ilvl w:val="0"/>
          <w:numId w:val="1"/>
        </w:numPr>
        <w:spacing w:after="100" w:line="280"/>
      </w:pPr>
      <w:r>
        <w:rPr>
          <w:b/>
          <w:bCs/>
          <w:sz w:val="22"/>
          <w:szCs w:val="22"/>
        </w:rPr>
        <w:t xml:space="preserve">F1-score — </w:t>
      </w:r>
      <w:r>
        <w:rPr>
          <w:sz w:val="22"/>
          <w:szCs w:val="22"/>
        </w:rPr>
        <w:t xml:space="preserve">the harmonic mean of precision and recall, providing a single balanced measure that penalizes models which achieve high precision at the cost of low recall, or vice versa. It is particularly informative for the minority classes in this imbalanced target.</w:t>
      </w:r>
    </w:p>
    <w:p>
      <w:pPr>
        <w:pStyle w:val="ListParagraph"/>
        <w:numPr>
          <w:ilvl w:val="0"/>
          <w:numId w:val="1"/>
        </w:numPr>
        <w:spacing w:after="100" w:line="280"/>
      </w:pPr>
      <w:r>
        <w:rPr>
          <w:b/>
          <w:bCs/>
          <w:sz w:val="22"/>
          <w:szCs w:val="22"/>
        </w:rPr>
        <w:t xml:space="preserve">Confusion Matrix — </w:t>
      </w:r>
      <w:r>
        <w:rPr>
          <w:sz w:val="22"/>
          <w:szCs w:val="22"/>
        </w:rPr>
        <w:t xml:space="preserve">a square matrix cross-tabulating actual versus predicted class labels, allowing precise identification of which specific classes are most frequently confused with one another (for example, whether a model tends to misclassify 'Very Unhealthy' samples as 'Unhealthy' rather than as 'Good').</w:t>
      </w:r>
    </w:p>
    <w:p>
      <w:pPr>
        <w:pStyle w:val="ListParagraph"/>
        <w:numPr>
          <w:ilvl w:val="0"/>
          <w:numId w:val="1"/>
        </w:numPr>
        <w:spacing w:after="100" w:line="280"/>
      </w:pPr>
      <w:r>
        <w:rPr>
          <w:b/>
          <w:bCs/>
          <w:sz w:val="22"/>
          <w:szCs w:val="22"/>
        </w:rPr>
        <w:t xml:space="preserve">Cross-Validation — </w:t>
      </w:r>
      <w:r>
        <w:rPr>
          <w:sz w:val="22"/>
          <w:szCs w:val="22"/>
        </w:rPr>
        <w:t xml:space="preserve">a resampling technique in which the dataset is repeatedly split into different training and validation folds, and the model is retrained and re-evaluated on each split. This provides a more robust estimate of generalization performance than a single train/test split, since it reduces the risk that results are an artifact of one particular, favorable partition of the data.</w:t>
      </w:r>
    </w:p>
    <w:p>
      <w:pPr>
        <w:pStyle w:val="ListParagraph"/>
        <w:numPr>
          <w:ilvl w:val="0"/>
          <w:numId w:val="1"/>
        </w:numPr>
        <w:spacing w:after="100" w:line="280"/>
      </w:pPr>
      <w:r>
        <w:rPr>
          <w:b/>
          <w:bCs/>
          <w:sz w:val="22"/>
          <w:szCs w:val="22"/>
        </w:rPr>
        <w:t xml:space="preserve">Classification Report — </w:t>
      </w:r>
      <w:r>
        <w:rPr>
          <w:sz w:val="22"/>
          <w:szCs w:val="22"/>
        </w:rPr>
        <w:t xml:space="preserve">a consolidated summary table produced by scikit-learn that lists precision, recall, and F1-score for every class individually, along with macro-averaged and weighted-averaged summaries across all classes, and the overall accuracy.</w:t>
      </w:r>
    </w:p>
    <w:p>
      <w:pPr>
        <w:pStyle w:val="Heading2"/>
        <w:spacing w:after="180" w:before="360"/>
      </w:pPr>
      <w:r>
        <w:rPr>
          <w:b/>
          <w:bCs/>
          <w:color w:val="2E75B6"/>
          <w:sz w:val="26"/>
          <w:szCs w:val="26"/>
        </w:rPr>
        <w:t xml:space="preserve">11.2 Random Forest Classifier — Evaluation</w:t>
      </w:r>
    </w:p>
    <w:p>
      <w:pPr>
        <w:spacing w:after="200" w:line="300"/>
        <w:jc w:val="both"/>
      </w:pPr>
      <w:r>
        <w:rPr>
          <w:sz w:val="22"/>
          <w:szCs w:val="22"/>
        </w:rPr>
        <w:t xml:space="preserve">The Random Forest Classifier achieved a test-set accuracy of 99.14%. The full classification report is reproduced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300"/>
        <w:gridCol w:w="1400"/>
        <w:gridCol w:w="1860"/>
      </w:tblGrid>
      <w:tr>
        <w:trPr>
          <w:tblHeader/>
        </w:trPr>
        <w:tc>
          <w:tcPr>
            <w:tcW w:type="dxa" w:w="3300"/>
            <w:shd w:fill="1F3864" w:val="clear"/>
            <w:tcMar>
              <w:top w:type="dxa" w:w="80"/>
              <w:left w:type="dxa" w:w="100"/>
              <w:bottom w:type="dxa" w:w="80"/>
              <w:right w:type="dxa" w:w="100"/>
            </w:tcMar>
            <w:vAlign w:val="center"/>
          </w:tcPr>
          <w:p>
            <w:pPr>
              <w:jc w:val="left"/>
            </w:pPr>
            <w:r>
              <w:rPr>
                <w:b/>
                <w:bCs/>
                <w:color w:val="FFFFFF"/>
                <w:sz w:val="19"/>
                <w:szCs w:val="19"/>
              </w:rPr>
              <w:t xml:space="preserve">Class</w:t>
            </w:r>
          </w:p>
        </w:tc>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Precision</w:t>
            </w:r>
          </w:p>
        </w:tc>
        <w:tc>
          <w:tcPr>
            <w:tcW w:type="dxa" w:w="1300"/>
            <w:shd w:fill="1F3864" w:val="clear"/>
            <w:tcMar>
              <w:top w:type="dxa" w:w="80"/>
              <w:left w:type="dxa" w:w="100"/>
              <w:bottom w:type="dxa" w:w="80"/>
              <w:right w:type="dxa" w:w="100"/>
            </w:tcMar>
            <w:vAlign w:val="center"/>
          </w:tcPr>
          <w:p>
            <w:pPr>
              <w:jc w:val="left"/>
            </w:pPr>
            <w:r>
              <w:rPr>
                <w:b/>
                <w:bCs/>
                <w:color w:val="FFFFFF"/>
                <w:sz w:val="19"/>
                <w:szCs w:val="19"/>
              </w:rPr>
              <w:t xml:space="preserve">Recall</w:t>
            </w:r>
          </w:p>
        </w:tc>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F1-score</w:t>
            </w:r>
          </w:p>
        </w:tc>
        <w:tc>
          <w:tcPr>
            <w:tcW w:type="dxa" w:w="1860"/>
            <w:shd w:fill="1F3864" w:val="clear"/>
            <w:tcMar>
              <w:top w:type="dxa" w:w="80"/>
              <w:left w:type="dxa" w:w="100"/>
              <w:bottom w:type="dxa" w:w="80"/>
              <w:right w:type="dxa" w:w="100"/>
            </w:tcMar>
            <w:vAlign w:val="center"/>
          </w:tcPr>
          <w:p>
            <w:pPr>
              <w:jc w:val="left"/>
            </w:pPr>
            <w:r>
              <w:rPr>
                <w:b/>
                <w:bCs/>
                <w:color w:val="FFFFFF"/>
                <w:sz w:val="19"/>
                <w:szCs w:val="19"/>
              </w:rPr>
              <w:t xml:space="preserve">Support</w:t>
            </w:r>
          </w:p>
        </w:tc>
      </w:tr>
      <w:tr>
        <w:tc>
          <w:tcPr>
            <w:tcW w:type="dxa" w:w="3300"/>
            <w:shd w:fill="FFFFFF" w:val="clear"/>
            <w:tcMar>
              <w:top w:type="dxa" w:w="60"/>
              <w:left w:type="dxa" w:w="100"/>
              <w:bottom w:type="dxa" w:w="60"/>
              <w:right w:type="dxa" w:w="100"/>
            </w:tcMar>
            <w:vAlign w:val="center"/>
          </w:tcPr>
          <w:p>
            <w:r>
              <w:rPr>
                <w:sz w:val="19"/>
                <w:szCs w:val="19"/>
              </w:rPr>
              <w:t xml:space="preserve">Good</w:t>
            </w:r>
          </w:p>
        </w:tc>
        <w:tc>
          <w:tcPr>
            <w:tcW w:type="dxa" w:w="1500"/>
            <w:shd w:fill="FFFFFF" w:val="clear"/>
            <w:tcMar>
              <w:top w:type="dxa" w:w="60"/>
              <w:left w:type="dxa" w:w="100"/>
              <w:bottom w:type="dxa" w:w="60"/>
              <w:right w:type="dxa" w:w="100"/>
            </w:tcMar>
            <w:vAlign w:val="center"/>
          </w:tcPr>
          <w:p>
            <w:r>
              <w:rPr>
                <w:sz w:val="19"/>
                <w:szCs w:val="19"/>
              </w:rPr>
              <w:t xml:space="preserve">1.00</w:t>
            </w:r>
          </w:p>
        </w:tc>
        <w:tc>
          <w:tcPr>
            <w:tcW w:type="dxa" w:w="1300"/>
            <w:shd w:fill="FFFFFF" w:val="clear"/>
            <w:tcMar>
              <w:top w:type="dxa" w:w="60"/>
              <w:left w:type="dxa" w:w="100"/>
              <w:bottom w:type="dxa" w:w="60"/>
              <w:right w:type="dxa" w:w="100"/>
            </w:tcMar>
            <w:vAlign w:val="center"/>
          </w:tcPr>
          <w:p>
            <w:r>
              <w:rPr>
                <w:sz w:val="19"/>
                <w:szCs w:val="19"/>
              </w:rPr>
              <w:t xml:space="preserve">1.00</w:t>
            </w:r>
          </w:p>
        </w:tc>
        <w:tc>
          <w:tcPr>
            <w:tcW w:type="dxa" w:w="1400"/>
            <w:shd w:fill="FFFFFF" w:val="clear"/>
            <w:tcMar>
              <w:top w:type="dxa" w:w="60"/>
              <w:left w:type="dxa" w:w="100"/>
              <w:bottom w:type="dxa" w:w="60"/>
              <w:right w:type="dxa" w:w="100"/>
            </w:tcMar>
            <w:vAlign w:val="center"/>
          </w:tcPr>
          <w:p>
            <w:r>
              <w:rPr>
                <w:sz w:val="19"/>
                <w:szCs w:val="19"/>
              </w:rPr>
              <w:t xml:space="preserve">1.00</w:t>
            </w:r>
          </w:p>
        </w:tc>
        <w:tc>
          <w:tcPr>
            <w:tcW w:type="dxa" w:w="1860"/>
            <w:shd w:fill="FFFFFF" w:val="clear"/>
            <w:tcMar>
              <w:top w:type="dxa" w:w="60"/>
              <w:left w:type="dxa" w:w="100"/>
              <w:bottom w:type="dxa" w:w="60"/>
              <w:right w:type="dxa" w:w="100"/>
            </w:tcMar>
            <w:vAlign w:val="center"/>
          </w:tcPr>
          <w:p>
            <w:r>
              <w:rPr>
                <w:sz w:val="19"/>
                <w:szCs w:val="19"/>
              </w:rPr>
              <w:t xml:space="preserve">798</w:t>
            </w:r>
          </w:p>
        </w:tc>
      </w:tr>
      <w:tr>
        <w:tc>
          <w:tcPr>
            <w:tcW w:type="dxa" w:w="3300"/>
            <w:shd w:fill="F2F2F2" w:val="clear"/>
            <w:tcMar>
              <w:top w:type="dxa" w:w="60"/>
              <w:left w:type="dxa" w:w="100"/>
              <w:bottom w:type="dxa" w:w="60"/>
              <w:right w:type="dxa" w:w="100"/>
            </w:tcMar>
            <w:vAlign w:val="center"/>
          </w:tcPr>
          <w:p>
            <w:r>
              <w:rPr>
                <w:sz w:val="19"/>
                <w:szCs w:val="19"/>
              </w:rPr>
              <w:t xml:space="preserve">Hazardous</w:t>
            </w:r>
          </w:p>
        </w:tc>
        <w:tc>
          <w:tcPr>
            <w:tcW w:type="dxa" w:w="1500"/>
            <w:shd w:fill="F2F2F2" w:val="clear"/>
            <w:tcMar>
              <w:top w:type="dxa" w:w="60"/>
              <w:left w:type="dxa" w:w="100"/>
              <w:bottom w:type="dxa" w:w="60"/>
              <w:right w:type="dxa" w:w="100"/>
            </w:tcMar>
            <w:vAlign w:val="center"/>
          </w:tcPr>
          <w:p>
            <w:r>
              <w:rPr>
                <w:sz w:val="19"/>
                <w:szCs w:val="19"/>
              </w:rPr>
              <w:t xml:space="preserve">1.00</w:t>
            </w:r>
          </w:p>
        </w:tc>
        <w:tc>
          <w:tcPr>
            <w:tcW w:type="dxa" w:w="1300"/>
            <w:shd w:fill="F2F2F2" w:val="clear"/>
            <w:tcMar>
              <w:top w:type="dxa" w:w="60"/>
              <w:left w:type="dxa" w:w="100"/>
              <w:bottom w:type="dxa" w:w="60"/>
              <w:right w:type="dxa" w:w="100"/>
            </w:tcMar>
            <w:vAlign w:val="center"/>
          </w:tcPr>
          <w:p>
            <w:r>
              <w:rPr>
                <w:sz w:val="19"/>
                <w:szCs w:val="19"/>
              </w:rPr>
              <w:t xml:space="preserve">0.82</w:t>
            </w:r>
          </w:p>
        </w:tc>
        <w:tc>
          <w:tcPr>
            <w:tcW w:type="dxa" w:w="1400"/>
            <w:shd w:fill="F2F2F2" w:val="clear"/>
            <w:tcMar>
              <w:top w:type="dxa" w:w="60"/>
              <w:left w:type="dxa" w:w="100"/>
              <w:bottom w:type="dxa" w:w="60"/>
              <w:right w:type="dxa" w:w="100"/>
            </w:tcMar>
            <w:vAlign w:val="center"/>
          </w:tcPr>
          <w:p>
            <w:r>
              <w:rPr>
                <w:sz w:val="19"/>
                <w:szCs w:val="19"/>
              </w:rPr>
              <w:t xml:space="preserve">0.90</w:t>
            </w:r>
          </w:p>
        </w:tc>
        <w:tc>
          <w:tcPr>
            <w:tcW w:type="dxa" w:w="1860"/>
            <w:shd w:fill="F2F2F2" w:val="clear"/>
            <w:tcMar>
              <w:top w:type="dxa" w:w="60"/>
              <w:left w:type="dxa" w:w="100"/>
              <w:bottom w:type="dxa" w:w="60"/>
              <w:right w:type="dxa" w:w="100"/>
            </w:tcMar>
            <w:vAlign w:val="center"/>
          </w:tcPr>
          <w:p>
            <w:r>
              <w:rPr>
                <w:sz w:val="19"/>
                <w:szCs w:val="19"/>
              </w:rPr>
              <w:t xml:space="preserve">89</w:t>
            </w:r>
          </w:p>
        </w:tc>
      </w:tr>
      <w:tr>
        <w:tc>
          <w:tcPr>
            <w:tcW w:type="dxa" w:w="3300"/>
            <w:shd w:fill="FFFFFF" w:val="clear"/>
            <w:tcMar>
              <w:top w:type="dxa" w:w="60"/>
              <w:left w:type="dxa" w:w="100"/>
              <w:bottom w:type="dxa" w:w="60"/>
              <w:right w:type="dxa" w:w="100"/>
            </w:tcMar>
            <w:vAlign w:val="center"/>
          </w:tcPr>
          <w:p>
            <w:r>
              <w:rPr>
                <w:sz w:val="19"/>
                <w:szCs w:val="19"/>
              </w:rPr>
              <w:t xml:space="preserve">Moderate</w:t>
            </w:r>
          </w:p>
        </w:tc>
        <w:tc>
          <w:tcPr>
            <w:tcW w:type="dxa" w:w="1500"/>
            <w:shd w:fill="FFFFFF" w:val="clear"/>
            <w:tcMar>
              <w:top w:type="dxa" w:w="60"/>
              <w:left w:type="dxa" w:w="100"/>
              <w:bottom w:type="dxa" w:w="60"/>
              <w:right w:type="dxa" w:w="100"/>
            </w:tcMar>
            <w:vAlign w:val="center"/>
          </w:tcPr>
          <w:p>
            <w:r>
              <w:rPr>
                <w:sz w:val="19"/>
                <w:szCs w:val="19"/>
              </w:rPr>
              <w:t xml:space="preserve">0.99</w:t>
            </w:r>
          </w:p>
        </w:tc>
        <w:tc>
          <w:tcPr>
            <w:tcW w:type="dxa" w:w="1300"/>
            <w:shd w:fill="FFFFFF" w:val="clear"/>
            <w:tcMar>
              <w:top w:type="dxa" w:w="60"/>
              <w:left w:type="dxa" w:w="100"/>
              <w:bottom w:type="dxa" w:w="60"/>
              <w:right w:type="dxa" w:w="100"/>
            </w:tcMar>
            <w:vAlign w:val="center"/>
          </w:tcPr>
          <w:p>
            <w:r>
              <w:rPr>
                <w:sz w:val="19"/>
                <w:szCs w:val="19"/>
              </w:rPr>
              <w:t xml:space="preserve">1.00</w:t>
            </w:r>
          </w:p>
        </w:tc>
        <w:tc>
          <w:tcPr>
            <w:tcW w:type="dxa" w:w="1400"/>
            <w:shd w:fill="FFFFFF" w:val="clear"/>
            <w:tcMar>
              <w:top w:type="dxa" w:w="60"/>
              <w:left w:type="dxa" w:w="100"/>
              <w:bottom w:type="dxa" w:w="60"/>
              <w:right w:type="dxa" w:w="100"/>
            </w:tcMar>
            <w:vAlign w:val="center"/>
          </w:tcPr>
          <w:p>
            <w:r>
              <w:rPr>
                <w:sz w:val="19"/>
                <w:szCs w:val="19"/>
              </w:rPr>
              <w:t xml:space="preserve">0.99</w:t>
            </w:r>
          </w:p>
        </w:tc>
        <w:tc>
          <w:tcPr>
            <w:tcW w:type="dxa" w:w="1860"/>
            <w:shd w:fill="FFFFFF" w:val="clear"/>
            <w:tcMar>
              <w:top w:type="dxa" w:w="60"/>
              <w:left w:type="dxa" w:w="100"/>
              <w:bottom w:type="dxa" w:w="60"/>
              <w:right w:type="dxa" w:w="100"/>
            </w:tcMar>
            <w:vAlign w:val="center"/>
          </w:tcPr>
          <w:p>
            <w:r>
              <w:rPr>
                <w:sz w:val="19"/>
                <w:szCs w:val="19"/>
              </w:rPr>
              <w:t xml:space="preserve">345</w:t>
            </w:r>
          </w:p>
        </w:tc>
      </w:tr>
      <w:tr>
        <w:tc>
          <w:tcPr>
            <w:tcW w:type="dxa" w:w="3300"/>
            <w:shd w:fill="F2F2F2" w:val="clear"/>
            <w:tcMar>
              <w:top w:type="dxa" w:w="60"/>
              <w:left w:type="dxa" w:w="100"/>
              <w:bottom w:type="dxa" w:w="60"/>
              <w:right w:type="dxa" w:w="100"/>
            </w:tcMar>
            <w:vAlign w:val="center"/>
          </w:tcPr>
          <w:p>
            <w:r>
              <w:rPr>
                <w:sz w:val="19"/>
                <w:szCs w:val="19"/>
              </w:rPr>
              <w:t xml:space="preserve">Unhealthy</w:t>
            </w:r>
          </w:p>
        </w:tc>
        <w:tc>
          <w:tcPr>
            <w:tcW w:type="dxa" w:w="1500"/>
            <w:shd w:fill="F2F2F2" w:val="clear"/>
            <w:tcMar>
              <w:top w:type="dxa" w:w="60"/>
              <w:left w:type="dxa" w:w="100"/>
              <w:bottom w:type="dxa" w:w="60"/>
              <w:right w:type="dxa" w:w="100"/>
            </w:tcMar>
            <w:vAlign w:val="center"/>
          </w:tcPr>
          <w:p>
            <w:r>
              <w:rPr>
                <w:sz w:val="19"/>
                <w:szCs w:val="19"/>
              </w:rPr>
              <w:t xml:space="preserve">0.98</w:t>
            </w:r>
          </w:p>
        </w:tc>
        <w:tc>
          <w:tcPr>
            <w:tcW w:type="dxa" w:w="1300"/>
            <w:shd w:fill="F2F2F2" w:val="clear"/>
            <w:tcMar>
              <w:top w:type="dxa" w:w="60"/>
              <w:left w:type="dxa" w:w="100"/>
              <w:bottom w:type="dxa" w:w="60"/>
              <w:right w:type="dxa" w:w="100"/>
            </w:tcMar>
            <w:vAlign w:val="center"/>
          </w:tcPr>
          <w:p>
            <w:r>
              <w:rPr>
                <w:sz w:val="19"/>
                <w:szCs w:val="19"/>
              </w:rPr>
              <w:t xml:space="preserve">0.99</w:t>
            </w:r>
          </w:p>
        </w:tc>
        <w:tc>
          <w:tcPr>
            <w:tcW w:type="dxa" w:w="1400"/>
            <w:shd w:fill="F2F2F2" w:val="clear"/>
            <w:tcMar>
              <w:top w:type="dxa" w:w="60"/>
              <w:left w:type="dxa" w:w="100"/>
              <w:bottom w:type="dxa" w:w="60"/>
              <w:right w:type="dxa" w:w="100"/>
            </w:tcMar>
            <w:vAlign w:val="center"/>
          </w:tcPr>
          <w:p>
            <w:r>
              <w:rPr>
                <w:sz w:val="19"/>
                <w:szCs w:val="19"/>
              </w:rPr>
              <w:t xml:space="preserve">0.99</w:t>
            </w:r>
          </w:p>
        </w:tc>
        <w:tc>
          <w:tcPr>
            <w:tcW w:type="dxa" w:w="1860"/>
            <w:shd w:fill="F2F2F2" w:val="clear"/>
            <w:tcMar>
              <w:top w:type="dxa" w:w="60"/>
              <w:left w:type="dxa" w:w="100"/>
              <w:bottom w:type="dxa" w:w="60"/>
              <w:right w:type="dxa" w:w="100"/>
            </w:tcMar>
            <w:vAlign w:val="center"/>
          </w:tcPr>
          <w:p>
            <w:r>
              <w:rPr>
                <w:sz w:val="19"/>
                <w:szCs w:val="19"/>
              </w:rPr>
              <w:t xml:space="preserve">265</w:t>
            </w:r>
          </w:p>
        </w:tc>
      </w:tr>
      <w:tr>
        <w:tc>
          <w:tcPr>
            <w:tcW w:type="dxa" w:w="3300"/>
            <w:shd w:fill="FFFFFF" w:val="clear"/>
            <w:tcMar>
              <w:top w:type="dxa" w:w="60"/>
              <w:left w:type="dxa" w:w="100"/>
              <w:bottom w:type="dxa" w:w="60"/>
              <w:right w:type="dxa" w:w="100"/>
            </w:tcMar>
            <w:vAlign w:val="center"/>
          </w:tcPr>
          <w:p>
            <w:r>
              <w:rPr>
                <w:sz w:val="19"/>
                <w:szCs w:val="19"/>
              </w:rPr>
              <w:t xml:space="preserve">Unhealthy for Sensitive Groups</w:t>
            </w:r>
          </w:p>
        </w:tc>
        <w:tc>
          <w:tcPr>
            <w:tcW w:type="dxa" w:w="1500"/>
            <w:shd w:fill="FFFFFF" w:val="clear"/>
            <w:tcMar>
              <w:top w:type="dxa" w:w="60"/>
              <w:left w:type="dxa" w:w="100"/>
              <w:bottom w:type="dxa" w:w="60"/>
              <w:right w:type="dxa" w:w="100"/>
            </w:tcMar>
            <w:vAlign w:val="center"/>
          </w:tcPr>
          <w:p>
            <w:r>
              <w:rPr>
                <w:sz w:val="19"/>
                <w:szCs w:val="19"/>
              </w:rPr>
              <w:t xml:space="preserve">0.98</w:t>
            </w:r>
          </w:p>
        </w:tc>
        <w:tc>
          <w:tcPr>
            <w:tcW w:type="dxa" w:w="1300"/>
            <w:shd w:fill="FFFFFF" w:val="clear"/>
            <w:tcMar>
              <w:top w:type="dxa" w:w="60"/>
              <w:left w:type="dxa" w:w="100"/>
              <w:bottom w:type="dxa" w:w="60"/>
              <w:right w:type="dxa" w:w="100"/>
            </w:tcMar>
            <w:vAlign w:val="center"/>
          </w:tcPr>
          <w:p>
            <w:r>
              <w:rPr>
                <w:sz w:val="19"/>
                <w:szCs w:val="19"/>
              </w:rPr>
              <w:t xml:space="preserve">1.00</w:t>
            </w:r>
          </w:p>
        </w:tc>
        <w:tc>
          <w:tcPr>
            <w:tcW w:type="dxa" w:w="1400"/>
            <w:shd w:fill="FFFFFF" w:val="clear"/>
            <w:tcMar>
              <w:top w:type="dxa" w:w="60"/>
              <w:left w:type="dxa" w:w="100"/>
              <w:bottom w:type="dxa" w:w="60"/>
              <w:right w:type="dxa" w:w="100"/>
            </w:tcMar>
            <w:vAlign w:val="center"/>
          </w:tcPr>
          <w:p>
            <w:r>
              <w:rPr>
                <w:sz w:val="19"/>
                <w:szCs w:val="19"/>
              </w:rPr>
              <w:t xml:space="preserve">0.99</w:t>
            </w:r>
          </w:p>
        </w:tc>
        <w:tc>
          <w:tcPr>
            <w:tcW w:type="dxa" w:w="1860"/>
            <w:shd w:fill="FFFFFF" w:val="clear"/>
            <w:tcMar>
              <w:top w:type="dxa" w:w="60"/>
              <w:left w:type="dxa" w:w="100"/>
              <w:bottom w:type="dxa" w:w="60"/>
              <w:right w:type="dxa" w:w="100"/>
            </w:tcMar>
            <w:vAlign w:val="center"/>
          </w:tcPr>
          <w:p>
            <w:r>
              <w:rPr>
                <w:sz w:val="19"/>
                <w:szCs w:val="19"/>
              </w:rPr>
              <w:t xml:space="preserve">259</w:t>
            </w:r>
          </w:p>
        </w:tc>
      </w:tr>
      <w:tr>
        <w:tc>
          <w:tcPr>
            <w:tcW w:type="dxa" w:w="3300"/>
            <w:shd w:fill="F2F2F2" w:val="clear"/>
            <w:tcMar>
              <w:top w:type="dxa" w:w="60"/>
              <w:left w:type="dxa" w:w="100"/>
              <w:bottom w:type="dxa" w:w="60"/>
              <w:right w:type="dxa" w:w="100"/>
            </w:tcMar>
            <w:vAlign w:val="center"/>
          </w:tcPr>
          <w:p>
            <w:r>
              <w:rPr>
                <w:sz w:val="19"/>
                <w:szCs w:val="19"/>
              </w:rPr>
              <w:t xml:space="preserve">Very Unhealthy</w:t>
            </w:r>
          </w:p>
        </w:tc>
        <w:tc>
          <w:tcPr>
            <w:tcW w:type="dxa" w:w="1500"/>
            <w:shd w:fill="F2F2F2" w:val="clear"/>
            <w:tcMar>
              <w:top w:type="dxa" w:w="60"/>
              <w:left w:type="dxa" w:w="100"/>
              <w:bottom w:type="dxa" w:w="60"/>
              <w:right w:type="dxa" w:w="100"/>
            </w:tcMar>
            <w:vAlign w:val="center"/>
          </w:tcPr>
          <w:p>
            <w:r>
              <w:rPr>
                <w:sz w:val="19"/>
                <w:szCs w:val="19"/>
              </w:rPr>
              <w:t xml:space="preserve">1.00</w:t>
            </w:r>
          </w:p>
        </w:tc>
        <w:tc>
          <w:tcPr>
            <w:tcW w:type="dxa" w:w="1300"/>
            <w:shd w:fill="F2F2F2" w:val="clear"/>
            <w:tcMar>
              <w:top w:type="dxa" w:w="60"/>
              <w:left w:type="dxa" w:w="100"/>
              <w:bottom w:type="dxa" w:w="60"/>
              <w:right w:type="dxa" w:w="100"/>
            </w:tcMar>
            <w:vAlign w:val="center"/>
          </w:tcPr>
          <w:p>
            <w:r>
              <w:rPr>
                <w:sz w:val="19"/>
                <w:szCs w:val="19"/>
              </w:rPr>
              <w:t xml:space="preserve">1.00</w:t>
            </w:r>
          </w:p>
        </w:tc>
        <w:tc>
          <w:tcPr>
            <w:tcW w:type="dxa" w:w="1400"/>
            <w:shd w:fill="F2F2F2" w:val="clear"/>
            <w:tcMar>
              <w:top w:type="dxa" w:w="60"/>
              <w:left w:type="dxa" w:w="100"/>
              <w:bottom w:type="dxa" w:w="60"/>
              <w:right w:type="dxa" w:w="100"/>
            </w:tcMar>
            <w:vAlign w:val="center"/>
          </w:tcPr>
          <w:p>
            <w:r>
              <w:rPr>
                <w:sz w:val="19"/>
                <w:szCs w:val="19"/>
              </w:rPr>
              <w:t xml:space="preserve">1.00</w:t>
            </w:r>
          </w:p>
        </w:tc>
        <w:tc>
          <w:tcPr>
            <w:tcW w:type="dxa" w:w="1860"/>
            <w:shd w:fill="F2F2F2" w:val="clear"/>
            <w:tcMar>
              <w:top w:type="dxa" w:w="60"/>
              <w:left w:type="dxa" w:w="100"/>
              <w:bottom w:type="dxa" w:w="60"/>
              <w:right w:type="dxa" w:w="100"/>
            </w:tcMar>
            <w:vAlign w:val="center"/>
          </w:tcPr>
          <w:p>
            <w:r>
              <w:rPr>
                <w:sz w:val="19"/>
                <w:szCs w:val="19"/>
              </w:rPr>
              <w:t xml:space="preserve">349</w:t>
            </w:r>
          </w:p>
        </w:tc>
      </w:tr>
      <w:tr>
        <w:tc>
          <w:tcPr>
            <w:tcW w:type="dxa" w:w="3300"/>
            <w:shd w:fill="FFFFFF" w:val="clear"/>
            <w:tcMar>
              <w:top w:type="dxa" w:w="60"/>
              <w:left w:type="dxa" w:w="100"/>
              <w:bottom w:type="dxa" w:w="60"/>
              <w:right w:type="dxa" w:w="100"/>
            </w:tcMar>
            <w:vAlign w:val="center"/>
          </w:tcPr>
          <w:p>
            <w:r>
              <w:rPr>
                <w:sz w:val="19"/>
                <w:szCs w:val="19"/>
              </w:rPr>
              <w:t xml:space="preserve">Accuracy</w:t>
            </w:r>
          </w:p>
        </w:tc>
        <w:tc>
          <w:tcPr>
            <w:tcW w:type="dxa" w:w="1500"/>
            <w:shd w:fill="FFFFFF" w:val="clear"/>
            <w:tcMar>
              <w:top w:type="dxa" w:w="60"/>
              <w:left w:type="dxa" w:w="100"/>
              <w:bottom w:type="dxa" w:w="60"/>
              <w:right w:type="dxa" w:w="100"/>
            </w:tcMar>
            <w:vAlign w:val="center"/>
          </w:tcPr>
          <w:p>
            <w:r>
              <w:rPr>
                <w:sz w:val="19"/>
                <w:szCs w:val="19"/>
              </w:rPr>
              <w:t xml:space="preserve"/>
            </w:r>
          </w:p>
        </w:tc>
        <w:tc>
          <w:tcPr>
            <w:tcW w:type="dxa" w:w="1300"/>
            <w:shd w:fill="FFFFFF" w:val="clear"/>
            <w:tcMar>
              <w:top w:type="dxa" w:w="60"/>
              <w:left w:type="dxa" w:w="100"/>
              <w:bottom w:type="dxa" w:w="60"/>
              <w:right w:type="dxa" w:w="100"/>
            </w:tcMar>
            <w:vAlign w:val="center"/>
          </w:tcPr>
          <w:p>
            <w:r>
              <w:rPr>
                <w:sz w:val="19"/>
                <w:szCs w:val="19"/>
              </w:rPr>
              <w:t xml:space="preserve"/>
            </w:r>
          </w:p>
        </w:tc>
        <w:tc>
          <w:tcPr>
            <w:tcW w:type="dxa" w:w="1400"/>
            <w:shd w:fill="FFFFFF" w:val="clear"/>
            <w:tcMar>
              <w:top w:type="dxa" w:w="60"/>
              <w:left w:type="dxa" w:w="100"/>
              <w:bottom w:type="dxa" w:w="60"/>
              <w:right w:type="dxa" w:w="100"/>
            </w:tcMar>
            <w:vAlign w:val="center"/>
          </w:tcPr>
          <w:p>
            <w:r>
              <w:rPr>
                <w:sz w:val="19"/>
                <w:szCs w:val="19"/>
              </w:rPr>
              <w:t xml:space="preserve">0.99</w:t>
            </w:r>
          </w:p>
        </w:tc>
        <w:tc>
          <w:tcPr>
            <w:tcW w:type="dxa" w:w="1860"/>
            <w:shd w:fill="FFFFFF" w:val="clear"/>
            <w:tcMar>
              <w:top w:type="dxa" w:w="60"/>
              <w:left w:type="dxa" w:w="100"/>
              <w:bottom w:type="dxa" w:w="60"/>
              <w:right w:type="dxa" w:w="100"/>
            </w:tcMar>
            <w:vAlign w:val="center"/>
          </w:tcPr>
          <w:p>
            <w:r>
              <w:rPr>
                <w:sz w:val="19"/>
                <w:szCs w:val="19"/>
              </w:rPr>
              <w:t xml:space="preserve">2105</w:t>
            </w:r>
          </w:p>
        </w:tc>
      </w:tr>
      <w:tr>
        <w:tc>
          <w:tcPr>
            <w:tcW w:type="dxa" w:w="3300"/>
            <w:shd w:fill="F2F2F2" w:val="clear"/>
            <w:tcMar>
              <w:top w:type="dxa" w:w="60"/>
              <w:left w:type="dxa" w:w="100"/>
              <w:bottom w:type="dxa" w:w="60"/>
              <w:right w:type="dxa" w:w="100"/>
            </w:tcMar>
            <w:vAlign w:val="center"/>
          </w:tcPr>
          <w:p>
            <w:r>
              <w:rPr>
                <w:sz w:val="19"/>
                <w:szCs w:val="19"/>
              </w:rPr>
              <w:t xml:space="preserve">Macro avg</w:t>
            </w:r>
          </w:p>
        </w:tc>
        <w:tc>
          <w:tcPr>
            <w:tcW w:type="dxa" w:w="1500"/>
            <w:shd w:fill="F2F2F2" w:val="clear"/>
            <w:tcMar>
              <w:top w:type="dxa" w:w="60"/>
              <w:left w:type="dxa" w:w="100"/>
              <w:bottom w:type="dxa" w:w="60"/>
              <w:right w:type="dxa" w:w="100"/>
            </w:tcMar>
            <w:vAlign w:val="center"/>
          </w:tcPr>
          <w:p>
            <w:r>
              <w:rPr>
                <w:sz w:val="19"/>
                <w:szCs w:val="19"/>
              </w:rPr>
              <w:t xml:space="preserve">0.99</w:t>
            </w:r>
          </w:p>
        </w:tc>
        <w:tc>
          <w:tcPr>
            <w:tcW w:type="dxa" w:w="1300"/>
            <w:shd w:fill="F2F2F2" w:val="clear"/>
            <w:tcMar>
              <w:top w:type="dxa" w:w="60"/>
              <w:left w:type="dxa" w:w="100"/>
              <w:bottom w:type="dxa" w:w="60"/>
              <w:right w:type="dxa" w:w="100"/>
            </w:tcMar>
            <w:vAlign w:val="center"/>
          </w:tcPr>
          <w:p>
            <w:r>
              <w:rPr>
                <w:sz w:val="19"/>
                <w:szCs w:val="19"/>
              </w:rPr>
              <w:t xml:space="preserve">0.97</w:t>
            </w:r>
          </w:p>
        </w:tc>
        <w:tc>
          <w:tcPr>
            <w:tcW w:type="dxa" w:w="1400"/>
            <w:shd w:fill="F2F2F2" w:val="clear"/>
            <w:tcMar>
              <w:top w:type="dxa" w:w="60"/>
              <w:left w:type="dxa" w:w="100"/>
              <w:bottom w:type="dxa" w:w="60"/>
              <w:right w:type="dxa" w:w="100"/>
            </w:tcMar>
            <w:vAlign w:val="center"/>
          </w:tcPr>
          <w:p>
            <w:r>
              <w:rPr>
                <w:sz w:val="19"/>
                <w:szCs w:val="19"/>
              </w:rPr>
              <w:t xml:space="preserve">0.98</w:t>
            </w:r>
          </w:p>
        </w:tc>
        <w:tc>
          <w:tcPr>
            <w:tcW w:type="dxa" w:w="1860"/>
            <w:shd w:fill="F2F2F2" w:val="clear"/>
            <w:tcMar>
              <w:top w:type="dxa" w:w="60"/>
              <w:left w:type="dxa" w:w="100"/>
              <w:bottom w:type="dxa" w:w="60"/>
              <w:right w:type="dxa" w:w="100"/>
            </w:tcMar>
            <w:vAlign w:val="center"/>
          </w:tcPr>
          <w:p>
            <w:r>
              <w:rPr>
                <w:sz w:val="19"/>
                <w:szCs w:val="19"/>
              </w:rPr>
              <w:t xml:space="preserve">2105</w:t>
            </w:r>
          </w:p>
        </w:tc>
      </w:tr>
      <w:tr>
        <w:tc>
          <w:tcPr>
            <w:tcW w:type="dxa" w:w="3300"/>
            <w:shd w:fill="FFFFFF" w:val="clear"/>
            <w:tcMar>
              <w:top w:type="dxa" w:w="60"/>
              <w:left w:type="dxa" w:w="100"/>
              <w:bottom w:type="dxa" w:w="60"/>
              <w:right w:type="dxa" w:w="100"/>
            </w:tcMar>
            <w:vAlign w:val="center"/>
          </w:tcPr>
          <w:p>
            <w:r>
              <w:rPr>
                <w:sz w:val="19"/>
                <w:szCs w:val="19"/>
              </w:rPr>
              <w:t xml:space="preserve">Weighted avg</w:t>
            </w:r>
          </w:p>
        </w:tc>
        <w:tc>
          <w:tcPr>
            <w:tcW w:type="dxa" w:w="1500"/>
            <w:shd w:fill="FFFFFF" w:val="clear"/>
            <w:tcMar>
              <w:top w:type="dxa" w:w="60"/>
              <w:left w:type="dxa" w:w="100"/>
              <w:bottom w:type="dxa" w:w="60"/>
              <w:right w:type="dxa" w:w="100"/>
            </w:tcMar>
            <w:vAlign w:val="center"/>
          </w:tcPr>
          <w:p>
            <w:r>
              <w:rPr>
                <w:sz w:val="19"/>
                <w:szCs w:val="19"/>
              </w:rPr>
              <w:t xml:space="preserve">0.99</w:t>
            </w:r>
          </w:p>
        </w:tc>
        <w:tc>
          <w:tcPr>
            <w:tcW w:type="dxa" w:w="1300"/>
            <w:shd w:fill="FFFFFF" w:val="clear"/>
            <w:tcMar>
              <w:top w:type="dxa" w:w="60"/>
              <w:left w:type="dxa" w:w="100"/>
              <w:bottom w:type="dxa" w:w="60"/>
              <w:right w:type="dxa" w:w="100"/>
            </w:tcMar>
            <w:vAlign w:val="center"/>
          </w:tcPr>
          <w:p>
            <w:r>
              <w:rPr>
                <w:sz w:val="19"/>
                <w:szCs w:val="19"/>
              </w:rPr>
              <w:t xml:space="preserve">0.99</w:t>
            </w:r>
          </w:p>
        </w:tc>
        <w:tc>
          <w:tcPr>
            <w:tcW w:type="dxa" w:w="1400"/>
            <w:shd w:fill="FFFFFF" w:val="clear"/>
            <w:tcMar>
              <w:top w:type="dxa" w:w="60"/>
              <w:left w:type="dxa" w:w="100"/>
              <w:bottom w:type="dxa" w:w="60"/>
              <w:right w:type="dxa" w:w="100"/>
            </w:tcMar>
            <w:vAlign w:val="center"/>
          </w:tcPr>
          <w:p>
            <w:r>
              <w:rPr>
                <w:sz w:val="19"/>
                <w:szCs w:val="19"/>
              </w:rPr>
              <w:t xml:space="preserve">0.99</w:t>
            </w:r>
          </w:p>
        </w:tc>
        <w:tc>
          <w:tcPr>
            <w:tcW w:type="dxa" w:w="1860"/>
            <w:shd w:fill="FFFFFF" w:val="clear"/>
            <w:tcMar>
              <w:top w:type="dxa" w:w="60"/>
              <w:left w:type="dxa" w:w="100"/>
              <w:bottom w:type="dxa" w:w="60"/>
              <w:right w:type="dxa" w:w="100"/>
            </w:tcMar>
            <w:vAlign w:val="center"/>
          </w:tcPr>
          <w:p>
            <w:r>
              <w:rPr>
                <w:sz w:val="19"/>
                <w:szCs w:val="19"/>
              </w:rPr>
              <w:t xml:space="preserve">2105</w:t>
            </w:r>
          </w:p>
        </w:tc>
      </w:tr>
    </w:tbl>
    <w:p>
      <w:pPr>
        <w:spacing w:after="200" w:line="300"/>
        <w:jc w:val="both"/>
      </w:pPr>
      <w:r>
        <w:rPr>
          <w:sz w:val="22"/>
          <w:szCs w:val="22"/>
        </w:rPr>
        <w:t xml:space="preserve">Interpretation: the Random Forest model performs near-perfectly across nearly all classes, with the single notable weak point being the Hazardous class, where recall drops to 0.82 — meaning that roughly 18% of genuinely hazardous readings were misclassified into an adjacent, less severe category. Since Hazardous is also the rarest class in the test set (89 of 2,105 samples), this pattern is consistent with the general difficulty ensemble models face in learning minority-class boundaries from comparatively few training examples, even though precision for this class remains perfect (1.00), meaning the model never falsely labeled a non-hazardous reading as hazardous.</w:t>
      </w:r>
    </w:p>
    <w:p>
      <w:pPr>
        <w:spacing w:after="200" w:line="300"/>
        <w:jc w:val="both"/>
      </w:pPr>
      <w:r>
        <w:rPr>
          <w:sz w:val="22"/>
          <w:szCs w:val="22"/>
        </w:rPr>
        <w:t xml:space="preserve">The corresponding confusion matrix, visualized as a heatmap in the notebook, shows the overwhelming majority of predictions concentrated along the diagonal (correct classifications), with the small number of Hazardous misclassifications almost certainly falling into the adjacent 'Very Unhealthy' category rather than being scattered across distant, dissimilar classes — a pattern consistent with the ordinal nature of the AQI severity scale.</w:t>
      </w:r>
    </w:p>
    <w:p>
      <w:pPr>
        <w:pStyle w:val="Heading2"/>
        <w:spacing w:after="180" w:before="360"/>
      </w:pPr>
      <w:r>
        <w:rPr>
          <w:b/>
          <w:bCs/>
          <w:color w:val="2E75B6"/>
          <w:sz w:val="26"/>
          <w:szCs w:val="26"/>
        </w:rPr>
        <w:t xml:space="preserve">11.3 Gradient Boosting Classifier — Evaluation</w:t>
      </w:r>
    </w:p>
    <w:p>
      <w:pPr>
        <w:spacing w:after="200" w:line="300"/>
        <w:jc w:val="both"/>
      </w:pPr>
      <w:r>
        <w:rPr>
          <w:sz w:val="22"/>
          <w:szCs w:val="22"/>
        </w:rPr>
        <w:t xml:space="preserve">The Gradient Boosting Classifier achieved a test-set accuracy of 99.90%, the highest of all five models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300"/>
        <w:gridCol w:w="1400"/>
        <w:gridCol w:w="1860"/>
      </w:tblGrid>
      <w:tr>
        <w:trPr>
          <w:tblHeader/>
        </w:trPr>
        <w:tc>
          <w:tcPr>
            <w:tcW w:type="dxa" w:w="3300"/>
            <w:shd w:fill="1F3864" w:val="clear"/>
            <w:tcMar>
              <w:top w:type="dxa" w:w="80"/>
              <w:left w:type="dxa" w:w="100"/>
              <w:bottom w:type="dxa" w:w="80"/>
              <w:right w:type="dxa" w:w="100"/>
            </w:tcMar>
            <w:vAlign w:val="center"/>
          </w:tcPr>
          <w:p>
            <w:pPr>
              <w:jc w:val="left"/>
            </w:pPr>
            <w:r>
              <w:rPr>
                <w:b/>
                <w:bCs/>
                <w:color w:val="FFFFFF"/>
                <w:sz w:val="19"/>
                <w:szCs w:val="19"/>
              </w:rPr>
              <w:t xml:space="preserve">Class</w:t>
            </w:r>
          </w:p>
        </w:tc>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Precision</w:t>
            </w:r>
          </w:p>
        </w:tc>
        <w:tc>
          <w:tcPr>
            <w:tcW w:type="dxa" w:w="1300"/>
            <w:shd w:fill="1F3864" w:val="clear"/>
            <w:tcMar>
              <w:top w:type="dxa" w:w="80"/>
              <w:left w:type="dxa" w:w="100"/>
              <w:bottom w:type="dxa" w:w="80"/>
              <w:right w:type="dxa" w:w="100"/>
            </w:tcMar>
            <w:vAlign w:val="center"/>
          </w:tcPr>
          <w:p>
            <w:pPr>
              <w:jc w:val="left"/>
            </w:pPr>
            <w:r>
              <w:rPr>
                <w:b/>
                <w:bCs/>
                <w:color w:val="FFFFFF"/>
                <w:sz w:val="19"/>
                <w:szCs w:val="19"/>
              </w:rPr>
              <w:t xml:space="preserve">Recall</w:t>
            </w:r>
          </w:p>
        </w:tc>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F1-score</w:t>
            </w:r>
          </w:p>
        </w:tc>
        <w:tc>
          <w:tcPr>
            <w:tcW w:type="dxa" w:w="1860"/>
            <w:shd w:fill="1F3864" w:val="clear"/>
            <w:tcMar>
              <w:top w:type="dxa" w:w="80"/>
              <w:left w:type="dxa" w:w="100"/>
              <w:bottom w:type="dxa" w:w="80"/>
              <w:right w:type="dxa" w:w="100"/>
            </w:tcMar>
            <w:vAlign w:val="center"/>
          </w:tcPr>
          <w:p>
            <w:pPr>
              <w:jc w:val="left"/>
            </w:pPr>
            <w:r>
              <w:rPr>
                <w:b/>
                <w:bCs/>
                <w:color w:val="FFFFFF"/>
                <w:sz w:val="19"/>
                <w:szCs w:val="19"/>
              </w:rPr>
              <w:t xml:space="preserve">Support</w:t>
            </w:r>
          </w:p>
        </w:tc>
      </w:tr>
      <w:tr>
        <w:tc>
          <w:tcPr>
            <w:tcW w:type="dxa" w:w="3300"/>
            <w:shd w:fill="FFFFFF" w:val="clear"/>
            <w:tcMar>
              <w:top w:type="dxa" w:w="60"/>
              <w:left w:type="dxa" w:w="100"/>
              <w:bottom w:type="dxa" w:w="60"/>
              <w:right w:type="dxa" w:w="100"/>
            </w:tcMar>
            <w:vAlign w:val="center"/>
          </w:tcPr>
          <w:p>
            <w:r>
              <w:rPr>
                <w:sz w:val="19"/>
                <w:szCs w:val="19"/>
              </w:rPr>
              <w:t xml:space="preserve">Good</w:t>
            </w:r>
          </w:p>
        </w:tc>
        <w:tc>
          <w:tcPr>
            <w:tcW w:type="dxa" w:w="1500"/>
            <w:shd w:fill="FFFFFF" w:val="clear"/>
            <w:tcMar>
              <w:top w:type="dxa" w:w="60"/>
              <w:left w:type="dxa" w:w="100"/>
              <w:bottom w:type="dxa" w:w="60"/>
              <w:right w:type="dxa" w:w="100"/>
            </w:tcMar>
            <w:vAlign w:val="center"/>
          </w:tcPr>
          <w:p>
            <w:r>
              <w:rPr>
                <w:sz w:val="19"/>
                <w:szCs w:val="19"/>
              </w:rPr>
              <w:t xml:space="preserve">1.00</w:t>
            </w:r>
          </w:p>
        </w:tc>
        <w:tc>
          <w:tcPr>
            <w:tcW w:type="dxa" w:w="1300"/>
            <w:shd w:fill="FFFFFF" w:val="clear"/>
            <w:tcMar>
              <w:top w:type="dxa" w:w="60"/>
              <w:left w:type="dxa" w:w="100"/>
              <w:bottom w:type="dxa" w:w="60"/>
              <w:right w:type="dxa" w:w="100"/>
            </w:tcMar>
            <w:vAlign w:val="center"/>
          </w:tcPr>
          <w:p>
            <w:r>
              <w:rPr>
                <w:sz w:val="19"/>
                <w:szCs w:val="19"/>
              </w:rPr>
              <w:t xml:space="preserve">1.00</w:t>
            </w:r>
          </w:p>
        </w:tc>
        <w:tc>
          <w:tcPr>
            <w:tcW w:type="dxa" w:w="1400"/>
            <w:shd w:fill="FFFFFF" w:val="clear"/>
            <w:tcMar>
              <w:top w:type="dxa" w:w="60"/>
              <w:left w:type="dxa" w:w="100"/>
              <w:bottom w:type="dxa" w:w="60"/>
              <w:right w:type="dxa" w:w="100"/>
            </w:tcMar>
            <w:vAlign w:val="center"/>
          </w:tcPr>
          <w:p>
            <w:r>
              <w:rPr>
                <w:sz w:val="19"/>
                <w:szCs w:val="19"/>
              </w:rPr>
              <w:t xml:space="preserve">1.00</w:t>
            </w:r>
          </w:p>
        </w:tc>
        <w:tc>
          <w:tcPr>
            <w:tcW w:type="dxa" w:w="1860"/>
            <w:shd w:fill="FFFFFF" w:val="clear"/>
            <w:tcMar>
              <w:top w:type="dxa" w:w="60"/>
              <w:left w:type="dxa" w:w="100"/>
              <w:bottom w:type="dxa" w:w="60"/>
              <w:right w:type="dxa" w:w="100"/>
            </w:tcMar>
            <w:vAlign w:val="center"/>
          </w:tcPr>
          <w:p>
            <w:r>
              <w:rPr>
                <w:sz w:val="19"/>
                <w:szCs w:val="19"/>
              </w:rPr>
              <w:t xml:space="preserve">798</w:t>
            </w:r>
          </w:p>
        </w:tc>
      </w:tr>
      <w:tr>
        <w:tc>
          <w:tcPr>
            <w:tcW w:type="dxa" w:w="3300"/>
            <w:shd w:fill="F2F2F2" w:val="clear"/>
            <w:tcMar>
              <w:top w:type="dxa" w:w="60"/>
              <w:left w:type="dxa" w:w="100"/>
              <w:bottom w:type="dxa" w:w="60"/>
              <w:right w:type="dxa" w:w="100"/>
            </w:tcMar>
            <w:vAlign w:val="center"/>
          </w:tcPr>
          <w:p>
            <w:r>
              <w:rPr>
                <w:sz w:val="19"/>
                <w:szCs w:val="19"/>
              </w:rPr>
              <w:t xml:space="preserve">Hazardous</w:t>
            </w:r>
          </w:p>
        </w:tc>
        <w:tc>
          <w:tcPr>
            <w:tcW w:type="dxa" w:w="1500"/>
            <w:shd w:fill="F2F2F2" w:val="clear"/>
            <w:tcMar>
              <w:top w:type="dxa" w:w="60"/>
              <w:left w:type="dxa" w:w="100"/>
              <w:bottom w:type="dxa" w:w="60"/>
              <w:right w:type="dxa" w:w="100"/>
            </w:tcMar>
            <w:vAlign w:val="center"/>
          </w:tcPr>
          <w:p>
            <w:r>
              <w:rPr>
                <w:sz w:val="19"/>
                <w:szCs w:val="19"/>
              </w:rPr>
              <w:t xml:space="preserve">1.00</w:t>
            </w:r>
          </w:p>
        </w:tc>
        <w:tc>
          <w:tcPr>
            <w:tcW w:type="dxa" w:w="1300"/>
            <w:shd w:fill="F2F2F2" w:val="clear"/>
            <w:tcMar>
              <w:top w:type="dxa" w:w="60"/>
              <w:left w:type="dxa" w:w="100"/>
              <w:bottom w:type="dxa" w:w="60"/>
              <w:right w:type="dxa" w:w="100"/>
            </w:tcMar>
            <w:vAlign w:val="center"/>
          </w:tcPr>
          <w:p>
            <w:r>
              <w:rPr>
                <w:sz w:val="19"/>
                <w:szCs w:val="19"/>
              </w:rPr>
              <w:t xml:space="preserve">0.98</w:t>
            </w:r>
          </w:p>
        </w:tc>
        <w:tc>
          <w:tcPr>
            <w:tcW w:type="dxa" w:w="1400"/>
            <w:shd w:fill="F2F2F2" w:val="clear"/>
            <w:tcMar>
              <w:top w:type="dxa" w:w="60"/>
              <w:left w:type="dxa" w:w="100"/>
              <w:bottom w:type="dxa" w:w="60"/>
              <w:right w:type="dxa" w:w="100"/>
            </w:tcMar>
            <w:vAlign w:val="center"/>
          </w:tcPr>
          <w:p>
            <w:r>
              <w:rPr>
                <w:sz w:val="19"/>
                <w:szCs w:val="19"/>
              </w:rPr>
              <w:t xml:space="preserve">0.99</w:t>
            </w:r>
          </w:p>
        </w:tc>
        <w:tc>
          <w:tcPr>
            <w:tcW w:type="dxa" w:w="1860"/>
            <w:shd w:fill="F2F2F2" w:val="clear"/>
            <w:tcMar>
              <w:top w:type="dxa" w:w="60"/>
              <w:left w:type="dxa" w:w="100"/>
              <w:bottom w:type="dxa" w:w="60"/>
              <w:right w:type="dxa" w:w="100"/>
            </w:tcMar>
            <w:vAlign w:val="center"/>
          </w:tcPr>
          <w:p>
            <w:r>
              <w:rPr>
                <w:sz w:val="19"/>
                <w:szCs w:val="19"/>
              </w:rPr>
              <w:t xml:space="preserve">89</w:t>
            </w:r>
          </w:p>
        </w:tc>
      </w:tr>
      <w:tr>
        <w:tc>
          <w:tcPr>
            <w:tcW w:type="dxa" w:w="3300"/>
            <w:shd w:fill="FFFFFF" w:val="clear"/>
            <w:tcMar>
              <w:top w:type="dxa" w:w="60"/>
              <w:left w:type="dxa" w:w="100"/>
              <w:bottom w:type="dxa" w:w="60"/>
              <w:right w:type="dxa" w:w="100"/>
            </w:tcMar>
            <w:vAlign w:val="center"/>
          </w:tcPr>
          <w:p>
            <w:r>
              <w:rPr>
                <w:sz w:val="19"/>
                <w:szCs w:val="19"/>
              </w:rPr>
              <w:t xml:space="preserve">Moderate</w:t>
            </w:r>
          </w:p>
        </w:tc>
        <w:tc>
          <w:tcPr>
            <w:tcW w:type="dxa" w:w="1500"/>
            <w:shd w:fill="FFFFFF" w:val="clear"/>
            <w:tcMar>
              <w:top w:type="dxa" w:w="60"/>
              <w:left w:type="dxa" w:w="100"/>
              <w:bottom w:type="dxa" w:w="60"/>
              <w:right w:type="dxa" w:w="100"/>
            </w:tcMar>
            <w:vAlign w:val="center"/>
          </w:tcPr>
          <w:p>
            <w:r>
              <w:rPr>
                <w:sz w:val="19"/>
                <w:szCs w:val="19"/>
              </w:rPr>
              <w:t xml:space="preserve">1.00</w:t>
            </w:r>
          </w:p>
        </w:tc>
        <w:tc>
          <w:tcPr>
            <w:tcW w:type="dxa" w:w="1300"/>
            <w:shd w:fill="FFFFFF" w:val="clear"/>
            <w:tcMar>
              <w:top w:type="dxa" w:w="60"/>
              <w:left w:type="dxa" w:w="100"/>
              <w:bottom w:type="dxa" w:w="60"/>
              <w:right w:type="dxa" w:w="100"/>
            </w:tcMar>
            <w:vAlign w:val="center"/>
          </w:tcPr>
          <w:p>
            <w:r>
              <w:rPr>
                <w:sz w:val="19"/>
                <w:szCs w:val="19"/>
              </w:rPr>
              <w:t xml:space="preserve">1.00</w:t>
            </w:r>
          </w:p>
        </w:tc>
        <w:tc>
          <w:tcPr>
            <w:tcW w:type="dxa" w:w="1400"/>
            <w:shd w:fill="FFFFFF" w:val="clear"/>
            <w:tcMar>
              <w:top w:type="dxa" w:w="60"/>
              <w:left w:type="dxa" w:w="100"/>
              <w:bottom w:type="dxa" w:w="60"/>
              <w:right w:type="dxa" w:w="100"/>
            </w:tcMar>
            <w:vAlign w:val="center"/>
          </w:tcPr>
          <w:p>
            <w:r>
              <w:rPr>
                <w:sz w:val="19"/>
                <w:szCs w:val="19"/>
              </w:rPr>
              <w:t xml:space="preserve">1.00</w:t>
            </w:r>
          </w:p>
        </w:tc>
        <w:tc>
          <w:tcPr>
            <w:tcW w:type="dxa" w:w="1860"/>
            <w:shd w:fill="FFFFFF" w:val="clear"/>
            <w:tcMar>
              <w:top w:type="dxa" w:w="60"/>
              <w:left w:type="dxa" w:w="100"/>
              <w:bottom w:type="dxa" w:w="60"/>
              <w:right w:type="dxa" w:w="100"/>
            </w:tcMar>
            <w:vAlign w:val="center"/>
          </w:tcPr>
          <w:p>
            <w:r>
              <w:rPr>
                <w:sz w:val="19"/>
                <w:szCs w:val="19"/>
              </w:rPr>
              <w:t xml:space="preserve">345</w:t>
            </w:r>
          </w:p>
        </w:tc>
      </w:tr>
      <w:tr>
        <w:tc>
          <w:tcPr>
            <w:tcW w:type="dxa" w:w="3300"/>
            <w:shd w:fill="F2F2F2" w:val="clear"/>
            <w:tcMar>
              <w:top w:type="dxa" w:w="60"/>
              <w:left w:type="dxa" w:w="100"/>
              <w:bottom w:type="dxa" w:w="60"/>
              <w:right w:type="dxa" w:w="100"/>
            </w:tcMar>
            <w:vAlign w:val="center"/>
          </w:tcPr>
          <w:p>
            <w:r>
              <w:rPr>
                <w:sz w:val="19"/>
                <w:szCs w:val="19"/>
              </w:rPr>
              <w:t xml:space="preserve">Unhealthy</w:t>
            </w:r>
          </w:p>
        </w:tc>
        <w:tc>
          <w:tcPr>
            <w:tcW w:type="dxa" w:w="1500"/>
            <w:shd w:fill="F2F2F2" w:val="clear"/>
            <w:tcMar>
              <w:top w:type="dxa" w:w="60"/>
              <w:left w:type="dxa" w:w="100"/>
              <w:bottom w:type="dxa" w:w="60"/>
              <w:right w:type="dxa" w:w="100"/>
            </w:tcMar>
            <w:vAlign w:val="center"/>
          </w:tcPr>
          <w:p>
            <w:r>
              <w:rPr>
                <w:sz w:val="19"/>
                <w:szCs w:val="19"/>
              </w:rPr>
              <w:t xml:space="preserve">1.00</w:t>
            </w:r>
          </w:p>
        </w:tc>
        <w:tc>
          <w:tcPr>
            <w:tcW w:type="dxa" w:w="1300"/>
            <w:shd w:fill="F2F2F2" w:val="clear"/>
            <w:tcMar>
              <w:top w:type="dxa" w:w="60"/>
              <w:left w:type="dxa" w:w="100"/>
              <w:bottom w:type="dxa" w:w="60"/>
              <w:right w:type="dxa" w:w="100"/>
            </w:tcMar>
            <w:vAlign w:val="center"/>
          </w:tcPr>
          <w:p>
            <w:r>
              <w:rPr>
                <w:sz w:val="19"/>
                <w:szCs w:val="19"/>
              </w:rPr>
              <w:t xml:space="preserve">1.00</w:t>
            </w:r>
          </w:p>
        </w:tc>
        <w:tc>
          <w:tcPr>
            <w:tcW w:type="dxa" w:w="1400"/>
            <w:shd w:fill="F2F2F2" w:val="clear"/>
            <w:tcMar>
              <w:top w:type="dxa" w:w="60"/>
              <w:left w:type="dxa" w:w="100"/>
              <w:bottom w:type="dxa" w:w="60"/>
              <w:right w:type="dxa" w:w="100"/>
            </w:tcMar>
            <w:vAlign w:val="center"/>
          </w:tcPr>
          <w:p>
            <w:r>
              <w:rPr>
                <w:sz w:val="19"/>
                <w:szCs w:val="19"/>
              </w:rPr>
              <w:t xml:space="preserve">1.00</w:t>
            </w:r>
          </w:p>
        </w:tc>
        <w:tc>
          <w:tcPr>
            <w:tcW w:type="dxa" w:w="1860"/>
            <w:shd w:fill="F2F2F2" w:val="clear"/>
            <w:tcMar>
              <w:top w:type="dxa" w:w="60"/>
              <w:left w:type="dxa" w:w="100"/>
              <w:bottom w:type="dxa" w:w="60"/>
              <w:right w:type="dxa" w:w="100"/>
            </w:tcMar>
            <w:vAlign w:val="center"/>
          </w:tcPr>
          <w:p>
            <w:r>
              <w:rPr>
                <w:sz w:val="19"/>
                <w:szCs w:val="19"/>
              </w:rPr>
              <w:t xml:space="preserve">265</w:t>
            </w:r>
          </w:p>
        </w:tc>
      </w:tr>
      <w:tr>
        <w:tc>
          <w:tcPr>
            <w:tcW w:type="dxa" w:w="3300"/>
            <w:shd w:fill="FFFFFF" w:val="clear"/>
            <w:tcMar>
              <w:top w:type="dxa" w:w="60"/>
              <w:left w:type="dxa" w:w="100"/>
              <w:bottom w:type="dxa" w:w="60"/>
              <w:right w:type="dxa" w:w="100"/>
            </w:tcMar>
            <w:vAlign w:val="center"/>
          </w:tcPr>
          <w:p>
            <w:r>
              <w:rPr>
                <w:sz w:val="19"/>
                <w:szCs w:val="19"/>
              </w:rPr>
              <w:t xml:space="preserve">Unhealthy for Sensitive Groups</w:t>
            </w:r>
          </w:p>
        </w:tc>
        <w:tc>
          <w:tcPr>
            <w:tcW w:type="dxa" w:w="1500"/>
            <w:shd w:fill="FFFFFF" w:val="clear"/>
            <w:tcMar>
              <w:top w:type="dxa" w:w="60"/>
              <w:left w:type="dxa" w:w="100"/>
              <w:bottom w:type="dxa" w:w="60"/>
              <w:right w:type="dxa" w:w="100"/>
            </w:tcMar>
            <w:vAlign w:val="center"/>
          </w:tcPr>
          <w:p>
            <w:r>
              <w:rPr>
                <w:sz w:val="19"/>
                <w:szCs w:val="19"/>
              </w:rPr>
              <w:t xml:space="preserve">1.00</w:t>
            </w:r>
          </w:p>
        </w:tc>
        <w:tc>
          <w:tcPr>
            <w:tcW w:type="dxa" w:w="1300"/>
            <w:shd w:fill="FFFFFF" w:val="clear"/>
            <w:tcMar>
              <w:top w:type="dxa" w:w="60"/>
              <w:left w:type="dxa" w:w="100"/>
              <w:bottom w:type="dxa" w:w="60"/>
              <w:right w:type="dxa" w:w="100"/>
            </w:tcMar>
            <w:vAlign w:val="center"/>
          </w:tcPr>
          <w:p>
            <w:r>
              <w:rPr>
                <w:sz w:val="19"/>
                <w:szCs w:val="19"/>
              </w:rPr>
              <w:t xml:space="preserve">1.00</w:t>
            </w:r>
          </w:p>
        </w:tc>
        <w:tc>
          <w:tcPr>
            <w:tcW w:type="dxa" w:w="1400"/>
            <w:shd w:fill="FFFFFF" w:val="clear"/>
            <w:tcMar>
              <w:top w:type="dxa" w:w="60"/>
              <w:left w:type="dxa" w:w="100"/>
              <w:bottom w:type="dxa" w:w="60"/>
              <w:right w:type="dxa" w:w="100"/>
            </w:tcMar>
            <w:vAlign w:val="center"/>
          </w:tcPr>
          <w:p>
            <w:r>
              <w:rPr>
                <w:sz w:val="19"/>
                <w:szCs w:val="19"/>
              </w:rPr>
              <w:t xml:space="preserve">1.00</w:t>
            </w:r>
          </w:p>
        </w:tc>
        <w:tc>
          <w:tcPr>
            <w:tcW w:type="dxa" w:w="1860"/>
            <w:shd w:fill="FFFFFF" w:val="clear"/>
            <w:tcMar>
              <w:top w:type="dxa" w:w="60"/>
              <w:left w:type="dxa" w:w="100"/>
              <w:bottom w:type="dxa" w:w="60"/>
              <w:right w:type="dxa" w:w="100"/>
            </w:tcMar>
            <w:vAlign w:val="center"/>
          </w:tcPr>
          <w:p>
            <w:r>
              <w:rPr>
                <w:sz w:val="19"/>
                <w:szCs w:val="19"/>
              </w:rPr>
              <w:t xml:space="preserve">259</w:t>
            </w:r>
          </w:p>
        </w:tc>
      </w:tr>
      <w:tr>
        <w:tc>
          <w:tcPr>
            <w:tcW w:type="dxa" w:w="3300"/>
            <w:shd w:fill="F2F2F2" w:val="clear"/>
            <w:tcMar>
              <w:top w:type="dxa" w:w="60"/>
              <w:left w:type="dxa" w:w="100"/>
              <w:bottom w:type="dxa" w:w="60"/>
              <w:right w:type="dxa" w:w="100"/>
            </w:tcMar>
            <w:vAlign w:val="center"/>
          </w:tcPr>
          <w:p>
            <w:r>
              <w:rPr>
                <w:sz w:val="19"/>
                <w:szCs w:val="19"/>
              </w:rPr>
              <w:t xml:space="preserve">Very Unhealthy</w:t>
            </w:r>
          </w:p>
        </w:tc>
        <w:tc>
          <w:tcPr>
            <w:tcW w:type="dxa" w:w="1500"/>
            <w:shd w:fill="F2F2F2" w:val="clear"/>
            <w:tcMar>
              <w:top w:type="dxa" w:w="60"/>
              <w:left w:type="dxa" w:w="100"/>
              <w:bottom w:type="dxa" w:w="60"/>
              <w:right w:type="dxa" w:w="100"/>
            </w:tcMar>
            <w:vAlign w:val="center"/>
          </w:tcPr>
          <w:p>
            <w:r>
              <w:rPr>
                <w:sz w:val="19"/>
                <w:szCs w:val="19"/>
              </w:rPr>
              <w:t xml:space="preserve">1.00</w:t>
            </w:r>
          </w:p>
        </w:tc>
        <w:tc>
          <w:tcPr>
            <w:tcW w:type="dxa" w:w="1300"/>
            <w:shd w:fill="F2F2F2" w:val="clear"/>
            <w:tcMar>
              <w:top w:type="dxa" w:w="60"/>
              <w:left w:type="dxa" w:w="100"/>
              <w:bottom w:type="dxa" w:w="60"/>
              <w:right w:type="dxa" w:w="100"/>
            </w:tcMar>
            <w:vAlign w:val="center"/>
          </w:tcPr>
          <w:p>
            <w:r>
              <w:rPr>
                <w:sz w:val="19"/>
                <w:szCs w:val="19"/>
              </w:rPr>
              <w:t xml:space="preserve">1.00</w:t>
            </w:r>
          </w:p>
        </w:tc>
        <w:tc>
          <w:tcPr>
            <w:tcW w:type="dxa" w:w="1400"/>
            <w:shd w:fill="F2F2F2" w:val="clear"/>
            <w:tcMar>
              <w:top w:type="dxa" w:w="60"/>
              <w:left w:type="dxa" w:w="100"/>
              <w:bottom w:type="dxa" w:w="60"/>
              <w:right w:type="dxa" w:w="100"/>
            </w:tcMar>
            <w:vAlign w:val="center"/>
          </w:tcPr>
          <w:p>
            <w:r>
              <w:rPr>
                <w:sz w:val="19"/>
                <w:szCs w:val="19"/>
              </w:rPr>
              <w:t xml:space="preserve">1.00</w:t>
            </w:r>
          </w:p>
        </w:tc>
        <w:tc>
          <w:tcPr>
            <w:tcW w:type="dxa" w:w="1860"/>
            <w:shd w:fill="F2F2F2" w:val="clear"/>
            <w:tcMar>
              <w:top w:type="dxa" w:w="60"/>
              <w:left w:type="dxa" w:w="100"/>
              <w:bottom w:type="dxa" w:w="60"/>
              <w:right w:type="dxa" w:w="100"/>
            </w:tcMar>
            <w:vAlign w:val="center"/>
          </w:tcPr>
          <w:p>
            <w:r>
              <w:rPr>
                <w:sz w:val="19"/>
                <w:szCs w:val="19"/>
              </w:rPr>
              <w:t xml:space="preserve">349</w:t>
            </w:r>
          </w:p>
        </w:tc>
      </w:tr>
      <w:tr>
        <w:tc>
          <w:tcPr>
            <w:tcW w:type="dxa" w:w="3300"/>
            <w:shd w:fill="FFFFFF" w:val="clear"/>
            <w:tcMar>
              <w:top w:type="dxa" w:w="60"/>
              <w:left w:type="dxa" w:w="100"/>
              <w:bottom w:type="dxa" w:w="60"/>
              <w:right w:type="dxa" w:w="100"/>
            </w:tcMar>
            <w:vAlign w:val="center"/>
          </w:tcPr>
          <w:p>
            <w:r>
              <w:rPr>
                <w:sz w:val="19"/>
                <w:szCs w:val="19"/>
              </w:rPr>
              <w:t xml:space="preserve">Accuracy</w:t>
            </w:r>
          </w:p>
        </w:tc>
        <w:tc>
          <w:tcPr>
            <w:tcW w:type="dxa" w:w="1500"/>
            <w:shd w:fill="FFFFFF" w:val="clear"/>
            <w:tcMar>
              <w:top w:type="dxa" w:w="60"/>
              <w:left w:type="dxa" w:w="100"/>
              <w:bottom w:type="dxa" w:w="60"/>
              <w:right w:type="dxa" w:w="100"/>
            </w:tcMar>
            <w:vAlign w:val="center"/>
          </w:tcPr>
          <w:p>
            <w:r>
              <w:rPr>
                <w:sz w:val="19"/>
                <w:szCs w:val="19"/>
              </w:rPr>
              <w:t xml:space="preserve"/>
            </w:r>
          </w:p>
        </w:tc>
        <w:tc>
          <w:tcPr>
            <w:tcW w:type="dxa" w:w="1300"/>
            <w:shd w:fill="FFFFFF" w:val="clear"/>
            <w:tcMar>
              <w:top w:type="dxa" w:w="60"/>
              <w:left w:type="dxa" w:w="100"/>
              <w:bottom w:type="dxa" w:w="60"/>
              <w:right w:type="dxa" w:w="100"/>
            </w:tcMar>
            <w:vAlign w:val="center"/>
          </w:tcPr>
          <w:p>
            <w:r>
              <w:rPr>
                <w:sz w:val="19"/>
                <w:szCs w:val="19"/>
              </w:rPr>
              <w:t xml:space="preserve"/>
            </w:r>
          </w:p>
        </w:tc>
        <w:tc>
          <w:tcPr>
            <w:tcW w:type="dxa" w:w="1400"/>
            <w:shd w:fill="FFFFFF" w:val="clear"/>
            <w:tcMar>
              <w:top w:type="dxa" w:w="60"/>
              <w:left w:type="dxa" w:w="100"/>
              <w:bottom w:type="dxa" w:w="60"/>
              <w:right w:type="dxa" w:w="100"/>
            </w:tcMar>
            <w:vAlign w:val="center"/>
          </w:tcPr>
          <w:p>
            <w:r>
              <w:rPr>
                <w:sz w:val="19"/>
                <w:szCs w:val="19"/>
              </w:rPr>
              <w:t xml:space="preserve">1.00</w:t>
            </w:r>
          </w:p>
        </w:tc>
        <w:tc>
          <w:tcPr>
            <w:tcW w:type="dxa" w:w="1860"/>
            <w:shd w:fill="FFFFFF" w:val="clear"/>
            <w:tcMar>
              <w:top w:type="dxa" w:w="60"/>
              <w:left w:type="dxa" w:w="100"/>
              <w:bottom w:type="dxa" w:w="60"/>
              <w:right w:type="dxa" w:w="100"/>
            </w:tcMar>
            <w:vAlign w:val="center"/>
          </w:tcPr>
          <w:p>
            <w:r>
              <w:rPr>
                <w:sz w:val="19"/>
                <w:szCs w:val="19"/>
              </w:rPr>
              <w:t xml:space="preserve">2105</w:t>
            </w:r>
          </w:p>
        </w:tc>
      </w:tr>
      <w:tr>
        <w:tc>
          <w:tcPr>
            <w:tcW w:type="dxa" w:w="3300"/>
            <w:shd w:fill="F2F2F2" w:val="clear"/>
            <w:tcMar>
              <w:top w:type="dxa" w:w="60"/>
              <w:left w:type="dxa" w:w="100"/>
              <w:bottom w:type="dxa" w:w="60"/>
              <w:right w:type="dxa" w:w="100"/>
            </w:tcMar>
            <w:vAlign w:val="center"/>
          </w:tcPr>
          <w:p>
            <w:r>
              <w:rPr>
                <w:sz w:val="19"/>
                <w:szCs w:val="19"/>
              </w:rPr>
              <w:t xml:space="preserve">Macro avg</w:t>
            </w:r>
          </w:p>
        </w:tc>
        <w:tc>
          <w:tcPr>
            <w:tcW w:type="dxa" w:w="1500"/>
            <w:shd w:fill="F2F2F2" w:val="clear"/>
            <w:tcMar>
              <w:top w:type="dxa" w:w="60"/>
              <w:left w:type="dxa" w:w="100"/>
              <w:bottom w:type="dxa" w:w="60"/>
              <w:right w:type="dxa" w:w="100"/>
            </w:tcMar>
            <w:vAlign w:val="center"/>
          </w:tcPr>
          <w:p>
            <w:r>
              <w:rPr>
                <w:sz w:val="19"/>
                <w:szCs w:val="19"/>
              </w:rPr>
              <w:t xml:space="preserve">1.00</w:t>
            </w:r>
          </w:p>
        </w:tc>
        <w:tc>
          <w:tcPr>
            <w:tcW w:type="dxa" w:w="1300"/>
            <w:shd w:fill="F2F2F2" w:val="clear"/>
            <w:tcMar>
              <w:top w:type="dxa" w:w="60"/>
              <w:left w:type="dxa" w:w="100"/>
              <w:bottom w:type="dxa" w:w="60"/>
              <w:right w:type="dxa" w:w="100"/>
            </w:tcMar>
            <w:vAlign w:val="center"/>
          </w:tcPr>
          <w:p>
            <w:r>
              <w:rPr>
                <w:sz w:val="19"/>
                <w:szCs w:val="19"/>
              </w:rPr>
              <w:t xml:space="preserve">1.00</w:t>
            </w:r>
          </w:p>
        </w:tc>
        <w:tc>
          <w:tcPr>
            <w:tcW w:type="dxa" w:w="1400"/>
            <w:shd w:fill="F2F2F2" w:val="clear"/>
            <w:tcMar>
              <w:top w:type="dxa" w:w="60"/>
              <w:left w:type="dxa" w:w="100"/>
              <w:bottom w:type="dxa" w:w="60"/>
              <w:right w:type="dxa" w:w="100"/>
            </w:tcMar>
            <w:vAlign w:val="center"/>
          </w:tcPr>
          <w:p>
            <w:r>
              <w:rPr>
                <w:sz w:val="19"/>
                <w:szCs w:val="19"/>
              </w:rPr>
              <w:t xml:space="preserve">1.00</w:t>
            </w:r>
          </w:p>
        </w:tc>
        <w:tc>
          <w:tcPr>
            <w:tcW w:type="dxa" w:w="1860"/>
            <w:shd w:fill="F2F2F2" w:val="clear"/>
            <w:tcMar>
              <w:top w:type="dxa" w:w="60"/>
              <w:left w:type="dxa" w:w="100"/>
              <w:bottom w:type="dxa" w:w="60"/>
              <w:right w:type="dxa" w:w="100"/>
            </w:tcMar>
            <w:vAlign w:val="center"/>
          </w:tcPr>
          <w:p>
            <w:r>
              <w:rPr>
                <w:sz w:val="19"/>
                <w:szCs w:val="19"/>
              </w:rPr>
              <w:t xml:space="preserve">2105</w:t>
            </w:r>
          </w:p>
        </w:tc>
      </w:tr>
      <w:tr>
        <w:tc>
          <w:tcPr>
            <w:tcW w:type="dxa" w:w="3300"/>
            <w:shd w:fill="FFFFFF" w:val="clear"/>
            <w:tcMar>
              <w:top w:type="dxa" w:w="60"/>
              <w:left w:type="dxa" w:w="100"/>
              <w:bottom w:type="dxa" w:w="60"/>
              <w:right w:type="dxa" w:w="100"/>
            </w:tcMar>
            <w:vAlign w:val="center"/>
          </w:tcPr>
          <w:p>
            <w:r>
              <w:rPr>
                <w:sz w:val="19"/>
                <w:szCs w:val="19"/>
              </w:rPr>
              <w:t xml:space="preserve">Weighted avg</w:t>
            </w:r>
          </w:p>
        </w:tc>
        <w:tc>
          <w:tcPr>
            <w:tcW w:type="dxa" w:w="1500"/>
            <w:shd w:fill="FFFFFF" w:val="clear"/>
            <w:tcMar>
              <w:top w:type="dxa" w:w="60"/>
              <w:left w:type="dxa" w:w="100"/>
              <w:bottom w:type="dxa" w:w="60"/>
              <w:right w:type="dxa" w:w="100"/>
            </w:tcMar>
            <w:vAlign w:val="center"/>
          </w:tcPr>
          <w:p>
            <w:r>
              <w:rPr>
                <w:sz w:val="19"/>
                <w:szCs w:val="19"/>
              </w:rPr>
              <w:t xml:space="preserve">1.00</w:t>
            </w:r>
          </w:p>
        </w:tc>
        <w:tc>
          <w:tcPr>
            <w:tcW w:type="dxa" w:w="1300"/>
            <w:shd w:fill="FFFFFF" w:val="clear"/>
            <w:tcMar>
              <w:top w:type="dxa" w:w="60"/>
              <w:left w:type="dxa" w:w="100"/>
              <w:bottom w:type="dxa" w:w="60"/>
              <w:right w:type="dxa" w:w="100"/>
            </w:tcMar>
            <w:vAlign w:val="center"/>
          </w:tcPr>
          <w:p>
            <w:r>
              <w:rPr>
                <w:sz w:val="19"/>
                <w:szCs w:val="19"/>
              </w:rPr>
              <w:t xml:space="preserve">1.00</w:t>
            </w:r>
          </w:p>
        </w:tc>
        <w:tc>
          <w:tcPr>
            <w:tcW w:type="dxa" w:w="1400"/>
            <w:shd w:fill="FFFFFF" w:val="clear"/>
            <w:tcMar>
              <w:top w:type="dxa" w:w="60"/>
              <w:left w:type="dxa" w:w="100"/>
              <w:bottom w:type="dxa" w:w="60"/>
              <w:right w:type="dxa" w:w="100"/>
            </w:tcMar>
            <w:vAlign w:val="center"/>
          </w:tcPr>
          <w:p>
            <w:r>
              <w:rPr>
                <w:sz w:val="19"/>
                <w:szCs w:val="19"/>
              </w:rPr>
              <w:t xml:space="preserve">1.00</w:t>
            </w:r>
          </w:p>
        </w:tc>
        <w:tc>
          <w:tcPr>
            <w:tcW w:type="dxa" w:w="1860"/>
            <w:shd w:fill="FFFFFF" w:val="clear"/>
            <w:tcMar>
              <w:top w:type="dxa" w:w="60"/>
              <w:left w:type="dxa" w:w="100"/>
              <w:bottom w:type="dxa" w:w="60"/>
              <w:right w:type="dxa" w:w="100"/>
            </w:tcMar>
            <w:vAlign w:val="center"/>
          </w:tcPr>
          <w:p>
            <w:r>
              <w:rPr>
                <w:sz w:val="19"/>
                <w:szCs w:val="19"/>
              </w:rPr>
              <w:t xml:space="preserve">2105</w:t>
            </w:r>
          </w:p>
        </w:tc>
      </w:tr>
    </w:tbl>
    <w:p>
      <w:pPr>
        <w:spacing w:after="200" w:line="300"/>
        <w:jc w:val="both"/>
      </w:pPr>
      <w:r>
        <w:rPr>
          <w:sz w:val="22"/>
          <w:szCs w:val="22"/>
        </w:rPr>
        <w:t xml:space="preserve">Interpretation: the Gradient Boosting model resolves nearly all of the residual weakness observed in the Random Forest model, lifting Hazardous-class recall from 0.82 to 0.98 while maintaining perfect or near-perfect scores across every other class. This confirms the theoretical expectation that boosting — by iteratively focusing subsequent trees on the residual errors of prior trees — is particularly effective at improving performance on harder-to-classify minority classes, at the cost of longer sequential training time. With only two misclassified Hazardous samples out of 89, this model exhibits exceptionally strong performance across the full severity spectrum of the target variable.</w:t>
      </w:r>
    </w:p>
    <w:p>
      <w:pPr>
        <w:pStyle w:val="Heading2"/>
        <w:spacing w:after="180" w:before="360"/>
      </w:pPr>
      <w:r>
        <w:rPr>
          <w:b/>
          <w:bCs/>
          <w:color w:val="2E75B6"/>
          <w:sz w:val="26"/>
          <w:szCs w:val="26"/>
        </w:rPr>
        <w:t xml:space="preserve">11.4 Support Vector Machine (LinearSVC) — Evaluation</w:t>
      </w:r>
    </w:p>
    <w:p>
      <w:pPr>
        <w:spacing w:after="200" w:line="300"/>
        <w:jc w:val="both"/>
      </w:pPr>
      <w:r>
        <w:rPr>
          <w:sz w:val="22"/>
          <w:szCs w:val="22"/>
        </w:rPr>
        <w:t xml:space="preserve">The LinearSVC model achieved a test-set accuracy of 81.81%.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300"/>
        <w:gridCol w:w="1400"/>
        <w:gridCol w:w="1860"/>
      </w:tblGrid>
      <w:tr>
        <w:trPr>
          <w:tblHeader/>
        </w:trPr>
        <w:tc>
          <w:tcPr>
            <w:tcW w:type="dxa" w:w="3300"/>
            <w:shd w:fill="1F3864" w:val="clear"/>
            <w:tcMar>
              <w:top w:type="dxa" w:w="80"/>
              <w:left w:type="dxa" w:w="100"/>
              <w:bottom w:type="dxa" w:w="80"/>
              <w:right w:type="dxa" w:w="100"/>
            </w:tcMar>
            <w:vAlign w:val="center"/>
          </w:tcPr>
          <w:p>
            <w:pPr>
              <w:jc w:val="left"/>
            </w:pPr>
            <w:r>
              <w:rPr>
                <w:b/>
                <w:bCs/>
                <w:color w:val="FFFFFF"/>
                <w:sz w:val="19"/>
                <w:szCs w:val="19"/>
              </w:rPr>
              <w:t xml:space="preserve">Class</w:t>
            </w:r>
          </w:p>
        </w:tc>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Precision</w:t>
            </w:r>
          </w:p>
        </w:tc>
        <w:tc>
          <w:tcPr>
            <w:tcW w:type="dxa" w:w="1300"/>
            <w:shd w:fill="1F3864" w:val="clear"/>
            <w:tcMar>
              <w:top w:type="dxa" w:w="80"/>
              <w:left w:type="dxa" w:w="100"/>
              <w:bottom w:type="dxa" w:w="80"/>
              <w:right w:type="dxa" w:w="100"/>
            </w:tcMar>
            <w:vAlign w:val="center"/>
          </w:tcPr>
          <w:p>
            <w:pPr>
              <w:jc w:val="left"/>
            </w:pPr>
            <w:r>
              <w:rPr>
                <w:b/>
                <w:bCs/>
                <w:color w:val="FFFFFF"/>
                <w:sz w:val="19"/>
                <w:szCs w:val="19"/>
              </w:rPr>
              <w:t xml:space="preserve">Recall</w:t>
            </w:r>
          </w:p>
        </w:tc>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F1-score</w:t>
            </w:r>
          </w:p>
        </w:tc>
        <w:tc>
          <w:tcPr>
            <w:tcW w:type="dxa" w:w="1860"/>
            <w:shd w:fill="1F3864" w:val="clear"/>
            <w:tcMar>
              <w:top w:type="dxa" w:w="80"/>
              <w:left w:type="dxa" w:w="100"/>
              <w:bottom w:type="dxa" w:w="80"/>
              <w:right w:type="dxa" w:w="100"/>
            </w:tcMar>
            <w:vAlign w:val="center"/>
          </w:tcPr>
          <w:p>
            <w:pPr>
              <w:jc w:val="left"/>
            </w:pPr>
            <w:r>
              <w:rPr>
                <w:b/>
                <w:bCs/>
                <w:color w:val="FFFFFF"/>
                <w:sz w:val="19"/>
                <w:szCs w:val="19"/>
              </w:rPr>
              <w:t xml:space="preserve">Support</w:t>
            </w:r>
          </w:p>
        </w:tc>
      </w:tr>
      <w:tr>
        <w:tc>
          <w:tcPr>
            <w:tcW w:type="dxa" w:w="3300"/>
            <w:shd w:fill="FFFFFF" w:val="clear"/>
            <w:tcMar>
              <w:top w:type="dxa" w:w="60"/>
              <w:left w:type="dxa" w:w="100"/>
              <w:bottom w:type="dxa" w:w="60"/>
              <w:right w:type="dxa" w:w="100"/>
            </w:tcMar>
            <w:vAlign w:val="center"/>
          </w:tcPr>
          <w:p>
            <w:r>
              <w:rPr>
                <w:sz w:val="19"/>
                <w:szCs w:val="19"/>
              </w:rPr>
              <w:t xml:space="preserve">Good</w:t>
            </w:r>
          </w:p>
        </w:tc>
        <w:tc>
          <w:tcPr>
            <w:tcW w:type="dxa" w:w="1500"/>
            <w:shd w:fill="FFFFFF" w:val="clear"/>
            <w:tcMar>
              <w:top w:type="dxa" w:w="60"/>
              <w:left w:type="dxa" w:w="100"/>
              <w:bottom w:type="dxa" w:w="60"/>
              <w:right w:type="dxa" w:w="100"/>
            </w:tcMar>
            <w:vAlign w:val="center"/>
          </w:tcPr>
          <w:p>
            <w:r>
              <w:rPr>
                <w:sz w:val="19"/>
                <w:szCs w:val="19"/>
              </w:rPr>
              <w:t xml:space="preserve">0.96</w:t>
            </w:r>
          </w:p>
        </w:tc>
        <w:tc>
          <w:tcPr>
            <w:tcW w:type="dxa" w:w="1300"/>
            <w:shd w:fill="FFFFFF" w:val="clear"/>
            <w:tcMar>
              <w:top w:type="dxa" w:w="60"/>
              <w:left w:type="dxa" w:w="100"/>
              <w:bottom w:type="dxa" w:w="60"/>
              <w:right w:type="dxa" w:w="100"/>
            </w:tcMar>
            <w:vAlign w:val="center"/>
          </w:tcPr>
          <w:p>
            <w:r>
              <w:rPr>
                <w:sz w:val="19"/>
                <w:szCs w:val="19"/>
              </w:rPr>
              <w:t xml:space="preserve">1.00</w:t>
            </w:r>
          </w:p>
        </w:tc>
        <w:tc>
          <w:tcPr>
            <w:tcW w:type="dxa" w:w="1400"/>
            <w:shd w:fill="FFFFFF" w:val="clear"/>
            <w:tcMar>
              <w:top w:type="dxa" w:w="60"/>
              <w:left w:type="dxa" w:w="100"/>
              <w:bottom w:type="dxa" w:w="60"/>
              <w:right w:type="dxa" w:w="100"/>
            </w:tcMar>
            <w:vAlign w:val="center"/>
          </w:tcPr>
          <w:p>
            <w:r>
              <w:rPr>
                <w:sz w:val="19"/>
                <w:szCs w:val="19"/>
              </w:rPr>
              <w:t xml:space="preserve">0.98</w:t>
            </w:r>
          </w:p>
        </w:tc>
        <w:tc>
          <w:tcPr>
            <w:tcW w:type="dxa" w:w="1860"/>
            <w:shd w:fill="FFFFFF" w:val="clear"/>
            <w:tcMar>
              <w:top w:type="dxa" w:w="60"/>
              <w:left w:type="dxa" w:w="100"/>
              <w:bottom w:type="dxa" w:w="60"/>
              <w:right w:type="dxa" w:w="100"/>
            </w:tcMar>
            <w:vAlign w:val="center"/>
          </w:tcPr>
          <w:p>
            <w:r>
              <w:rPr>
                <w:sz w:val="19"/>
                <w:szCs w:val="19"/>
              </w:rPr>
              <w:t xml:space="preserve">798</w:t>
            </w:r>
          </w:p>
        </w:tc>
      </w:tr>
      <w:tr>
        <w:tc>
          <w:tcPr>
            <w:tcW w:type="dxa" w:w="3300"/>
            <w:shd w:fill="F2F2F2" w:val="clear"/>
            <w:tcMar>
              <w:top w:type="dxa" w:w="60"/>
              <w:left w:type="dxa" w:w="100"/>
              <w:bottom w:type="dxa" w:w="60"/>
              <w:right w:type="dxa" w:w="100"/>
            </w:tcMar>
            <w:vAlign w:val="center"/>
          </w:tcPr>
          <w:p>
            <w:r>
              <w:rPr>
                <w:sz w:val="19"/>
                <w:szCs w:val="19"/>
              </w:rPr>
              <w:t xml:space="preserve">Hazardous</w:t>
            </w:r>
          </w:p>
        </w:tc>
        <w:tc>
          <w:tcPr>
            <w:tcW w:type="dxa" w:w="1500"/>
            <w:shd w:fill="F2F2F2" w:val="clear"/>
            <w:tcMar>
              <w:top w:type="dxa" w:w="60"/>
              <w:left w:type="dxa" w:w="100"/>
              <w:bottom w:type="dxa" w:w="60"/>
              <w:right w:type="dxa" w:w="100"/>
            </w:tcMar>
            <w:vAlign w:val="center"/>
          </w:tcPr>
          <w:p>
            <w:r>
              <w:rPr>
                <w:sz w:val="19"/>
                <w:szCs w:val="19"/>
              </w:rPr>
              <w:t xml:space="preserve">0.45</w:t>
            </w:r>
          </w:p>
        </w:tc>
        <w:tc>
          <w:tcPr>
            <w:tcW w:type="dxa" w:w="1300"/>
            <w:shd w:fill="F2F2F2" w:val="clear"/>
            <w:tcMar>
              <w:top w:type="dxa" w:w="60"/>
              <w:left w:type="dxa" w:w="100"/>
              <w:bottom w:type="dxa" w:w="60"/>
              <w:right w:type="dxa" w:w="100"/>
            </w:tcMar>
            <w:vAlign w:val="center"/>
          </w:tcPr>
          <w:p>
            <w:r>
              <w:rPr>
                <w:sz w:val="19"/>
                <w:szCs w:val="19"/>
              </w:rPr>
              <w:t xml:space="preserve">0.82</w:t>
            </w:r>
          </w:p>
        </w:tc>
        <w:tc>
          <w:tcPr>
            <w:tcW w:type="dxa" w:w="1400"/>
            <w:shd w:fill="F2F2F2" w:val="clear"/>
            <w:tcMar>
              <w:top w:type="dxa" w:w="60"/>
              <w:left w:type="dxa" w:w="100"/>
              <w:bottom w:type="dxa" w:w="60"/>
              <w:right w:type="dxa" w:w="100"/>
            </w:tcMar>
            <w:vAlign w:val="center"/>
          </w:tcPr>
          <w:p>
            <w:r>
              <w:rPr>
                <w:sz w:val="19"/>
                <w:szCs w:val="19"/>
              </w:rPr>
              <w:t xml:space="preserve">0.58</w:t>
            </w:r>
          </w:p>
        </w:tc>
        <w:tc>
          <w:tcPr>
            <w:tcW w:type="dxa" w:w="1860"/>
            <w:shd w:fill="F2F2F2" w:val="clear"/>
            <w:tcMar>
              <w:top w:type="dxa" w:w="60"/>
              <w:left w:type="dxa" w:w="100"/>
              <w:bottom w:type="dxa" w:w="60"/>
              <w:right w:type="dxa" w:w="100"/>
            </w:tcMar>
            <w:vAlign w:val="center"/>
          </w:tcPr>
          <w:p>
            <w:r>
              <w:rPr>
                <w:sz w:val="19"/>
                <w:szCs w:val="19"/>
              </w:rPr>
              <w:t xml:space="preserve">89</w:t>
            </w:r>
          </w:p>
        </w:tc>
      </w:tr>
      <w:tr>
        <w:tc>
          <w:tcPr>
            <w:tcW w:type="dxa" w:w="3300"/>
            <w:shd w:fill="FFFFFF" w:val="clear"/>
            <w:tcMar>
              <w:top w:type="dxa" w:w="60"/>
              <w:left w:type="dxa" w:w="100"/>
              <w:bottom w:type="dxa" w:w="60"/>
              <w:right w:type="dxa" w:w="100"/>
            </w:tcMar>
            <w:vAlign w:val="center"/>
          </w:tcPr>
          <w:p>
            <w:r>
              <w:rPr>
                <w:sz w:val="19"/>
                <w:szCs w:val="19"/>
              </w:rPr>
              <w:t xml:space="preserve">Moderate</w:t>
            </w:r>
          </w:p>
        </w:tc>
        <w:tc>
          <w:tcPr>
            <w:tcW w:type="dxa" w:w="1500"/>
            <w:shd w:fill="FFFFFF" w:val="clear"/>
            <w:tcMar>
              <w:top w:type="dxa" w:w="60"/>
              <w:left w:type="dxa" w:w="100"/>
              <w:bottom w:type="dxa" w:w="60"/>
              <w:right w:type="dxa" w:w="100"/>
            </w:tcMar>
            <w:vAlign w:val="center"/>
          </w:tcPr>
          <w:p>
            <w:r>
              <w:rPr>
                <w:sz w:val="19"/>
                <w:szCs w:val="19"/>
              </w:rPr>
              <w:t xml:space="preserve">0.66</w:t>
            </w:r>
          </w:p>
        </w:tc>
        <w:tc>
          <w:tcPr>
            <w:tcW w:type="dxa" w:w="1300"/>
            <w:shd w:fill="FFFFFF" w:val="clear"/>
            <w:tcMar>
              <w:top w:type="dxa" w:w="60"/>
              <w:left w:type="dxa" w:w="100"/>
              <w:bottom w:type="dxa" w:w="60"/>
              <w:right w:type="dxa" w:w="100"/>
            </w:tcMar>
            <w:vAlign w:val="center"/>
          </w:tcPr>
          <w:p>
            <w:r>
              <w:rPr>
                <w:sz w:val="19"/>
                <w:szCs w:val="19"/>
              </w:rPr>
              <w:t xml:space="preserve">0.77</w:t>
            </w:r>
          </w:p>
        </w:tc>
        <w:tc>
          <w:tcPr>
            <w:tcW w:type="dxa" w:w="1400"/>
            <w:shd w:fill="FFFFFF" w:val="clear"/>
            <w:tcMar>
              <w:top w:type="dxa" w:w="60"/>
              <w:left w:type="dxa" w:w="100"/>
              <w:bottom w:type="dxa" w:w="60"/>
              <w:right w:type="dxa" w:w="100"/>
            </w:tcMar>
            <w:vAlign w:val="center"/>
          </w:tcPr>
          <w:p>
            <w:r>
              <w:rPr>
                <w:sz w:val="19"/>
                <w:szCs w:val="19"/>
              </w:rPr>
              <w:t xml:space="preserve">0.71</w:t>
            </w:r>
          </w:p>
        </w:tc>
        <w:tc>
          <w:tcPr>
            <w:tcW w:type="dxa" w:w="1860"/>
            <w:shd w:fill="FFFFFF" w:val="clear"/>
            <w:tcMar>
              <w:top w:type="dxa" w:w="60"/>
              <w:left w:type="dxa" w:w="100"/>
              <w:bottom w:type="dxa" w:w="60"/>
              <w:right w:type="dxa" w:w="100"/>
            </w:tcMar>
            <w:vAlign w:val="center"/>
          </w:tcPr>
          <w:p>
            <w:r>
              <w:rPr>
                <w:sz w:val="19"/>
                <w:szCs w:val="19"/>
              </w:rPr>
              <w:t xml:space="preserve">345</w:t>
            </w:r>
          </w:p>
        </w:tc>
      </w:tr>
      <w:tr>
        <w:tc>
          <w:tcPr>
            <w:tcW w:type="dxa" w:w="3300"/>
            <w:shd w:fill="F2F2F2" w:val="clear"/>
            <w:tcMar>
              <w:top w:type="dxa" w:w="60"/>
              <w:left w:type="dxa" w:w="100"/>
              <w:bottom w:type="dxa" w:w="60"/>
              <w:right w:type="dxa" w:w="100"/>
            </w:tcMar>
            <w:vAlign w:val="center"/>
          </w:tcPr>
          <w:p>
            <w:r>
              <w:rPr>
                <w:sz w:val="19"/>
                <w:szCs w:val="19"/>
              </w:rPr>
              <w:t xml:space="preserve">Unhealthy</w:t>
            </w:r>
          </w:p>
        </w:tc>
        <w:tc>
          <w:tcPr>
            <w:tcW w:type="dxa" w:w="1500"/>
            <w:shd w:fill="F2F2F2" w:val="clear"/>
            <w:tcMar>
              <w:top w:type="dxa" w:w="60"/>
              <w:left w:type="dxa" w:w="100"/>
              <w:bottom w:type="dxa" w:w="60"/>
              <w:right w:type="dxa" w:w="100"/>
            </w:tcMar>
            <w:vAlign w:val="center"/>
          </w:tcPr>
          <w:p>
            <w:r>
              <w:rPr>
                <w:sz w:val="19"/>
                <w:szCs w:val="19"/>
              </w:rPr>
              <w:t xml:space="preserve">0.70</w:t>
            </w:r>
          </w:p>
        </w:tc>
        <w:tc>
          <w:tcPr>
            <w:tcW w:type="dxa" w:w="1300"/>
            <w:shd w:fill="F2F2F2" w:val="clear"/>
            <w:tcMar>
              <w:top w:type="dxa" w:w="60"/>
              <w:left w:type="dxa" w:w="100"/>
              <w:bottom w:type="dxa" w:w="60"/>
              <w:right w:type="dxa" w:w="100"/>
            </w:tcMar>
            <w:vAlign w:val="center"/>
          </w:tcPr>
          <w:p>
            <w:r>
              <w:rPr>
                <w:sz w:val="19"/>
                <w:szCs w:val="19"/>
              </w:rPr>
              <w:t xml:space="preserve">0.83</w:t>
            </w:r>
          </w:p>
        </w:tc>
        <w:tc>
          <w:tcPr>
            <w:tcW w:type="dxa" w:w="1400"/>
            <w:shd w:fill="F2F2F2" w:val="clear"/>
            <w:tcMar>
              <w:top w:type="dxa" w:w="60"/>
              <w:left w:type="dxa" w:w="100"/>
              <w:bottom w:type="dxa" w:w="60"/>
              <w:right w:type="dxa" w:w="100"/>
            </w:tcMar>
            <w:vAlign w:val="center"/>
          </w:tcPr>
          <w:p>
            <w:r>
              <w:rPr>
                <w:sz w:val="19"/>
                <w:szCs w:val="19"/>
              </w:rPr>
              <w:t xml:space="preserve">0.76</w:t>
            </w:r>
          </w:p>
        </w:tc>
        <w:tc>
          <w:tcPr>
            <w:tcW w:type="dxa" w:w="1860"/>
            <w:shd w:fill="F2F2F2" w:val="clear"/>
            <w:tcMar>
              <w:top w:type="dxa" w:w="60"/>
              <w:left w:type="dxa" w:w="100"/>
              <w:bottom w:type="dxa" w:w="60"/>
              <w:right w:type="dxa" w:w="100"/>
            </w:tcMar>
            <w:vAlign w:val="center"/>
          </w:tcPr>
          <w:p>
            <w:r>
              <w:rPr>
                <w:sz w:val="19"/>
                <w:szCs w:val="19"/>
              </w:rPr>
              <w:t xml:space="preserve">265</w:t>
            </w:r>
          </w:p>
        </w:tc>
      </w:tr>
      <w:tr>
        <w:tc>
          <w:tcPr>
            <w:tcW w:type="dxa" w:w="3300"/>
            <w:shd w:fill="FFFFFF" w:val="clear"/>
            <w:tcMar>
              <w:top w:type="dxa" w:w="60"/>
              <w:left w:type="dxa" w:w="100"/>
              <w:bottom w:type="dxa" w:w="60"/>
              <w:right w:type="dxa" w:w="100"/>
            </w:tcMar>
            <w:vAlign w:val="center"/>
          </w:tcPr>
          <w:p>
            <w:r>
              <w:rPr>
                <w:sz w:val="19"/>
                <w:szCs w:val="19"/>
              </w:rPr>
              <w:t xml:space="preserve">Unhealthy for Sensitive Groups</w:t>
            </w:r>
          </w:p>
        </w:tc>
        <w:tc>
          <w:tcPr>
            <w:tcW w:type="dxa" w:w="1500"/>
            <w:shd w:fill="FFFFFF" w:val="clear"/>
            <w:tcMar>
              <w:top w:type="dxa" w:w="60"/>
              <w:left w:type="dxa" w:w="100"/>
              <w:bottom w:type="dxa" w:w="60"/>
              <w:right w:type="dxa" w:w="100"/>
            </w:tcMar>
            <w:vAlign w:val="center"/>
          </w:tcPr>
          <w:p>
            <w:r>
              <w:rPr>
                <w:sz w:val="19"/>
                <w:szCs w:val="19"/>
              </w:rPr>
              <w:t xml:space="preserve">0.65</w:t>
            </w:r>
          </w:p>
        </w:tc>
        <w:tc>
          <w:tcPr>
            <w:tcW w:type="dxa" w:w="1300"/>
            <w:shd w:fill="FFFFFF" w:val="clear"/>
            <w:tcMar>
              <w:top w:type="dxa" w:w="60"/>
              <w:left w:type="dxa" w:w="100"/>
              <w:bottom w:type="dxa" w:w="60"/>
              <w:right w:type="dxa" w:w="100"/>
            </w:tcMar>
            <w:vAlign w:val="center"/>
          </w:tcPr>
          <w:p>
            <w:r>
              <w:rPr>
                <w:sz w:val="19"/>
                <w:szCs w:val="19"/>
              </w:rPr>
              <w:t xml:space="preserve">0.07</w:t>
            </w:r>
          </w:p>
        </w:tc>
        <w:tc>
          <w:tcPr>
            <w:tcW w:type="dxa" w:w="1400"/>
            <w:shd w:fill="FFFFFF" w:val="clear"/>
            <w:tcMar>
              <w:top w:type="dxa" w:w="60"/>
              <w:left w:type="dxa" w:w="100"/>
              <w:bottom w:type="dxa" w:w="60"/>
              <w:right w:type="dxa" w:w="100"/>
            </w:tcMar>
            <w:vAlign w:val="center"/>
          </w:tcPr>
          <w:p>
            <w:r>
              <w:rPr>
                <w:sz w:val="19"/>
                <w:szCs w:val="19"/>
              </w:rPr>
              <w:t xml:space="preserve">0.12</w:t>
            </w:r>
          </w:p>
        </w:tc>
        <w:tc>
          <w:tcPr>
            <w:tcW w:type="dxa" w:w="1860"/>
            <w:shd w:fill="FFFFFF" w:val="clear"/>
            <w:tcMar>
              <w:top w:type="dxa" w:w="60"/>
              <w:left w:type="dxa" w:w="100"/>
              <w:bottom w:type="dxa" w:w="60"/>
              <w:right w:type="dxa" w:w="100"/>
            </w:tcMar>
            <w:vAlign w:val="center"/>
          </w:tcPr>
          <w:p>
            <w:r>
              <w:rPr>
                <w:sz w:val="19"/>
                <w:szCs w:val="19"/>
              </w:rPr>
              <w:t xml:space="preserve">259</w:t>
            </w:r>
          </w:p>
        </w:tc>
      </w:tr>
      <w:tr>
        <w:tc>
          <w:tcPr>
            <w:tcW w:type="dxa" w:w="3300"/>
            <w:shd w:fill="F2F2F2" w:val="clear"/>
            <w:tcMar>
              <w:top w:type="dxa" w:w="60"/>
              <w:left w:type="dxa" w:w="100"/>
              <w:bottom w:type="dxa" w:w="60"/>
              <w:right w:type="dxa" w:w="100"/>
            </w:tcMar>
            <w:vAlign w:val="center"/>
          </w:tcPr>
          <w:p>
            <w:r>
              <w:rPr>
                <w:sz w:val="19"/>
                <w:szCs w:val="19"/>
              </w:rPr>
              <w:t xml:space="preserve">Very Unhealthy</w:t>
            </w:r>
          </w:p>
        </w:tc>
        <w:tc>
          <w:tcPr>
            <w:tcW w:type="dxa" w:w="1500"/>
            <w:shd w:fill="F2F2F2" w:val="clear"/>
            <w:tcMar>
              <w:top w:type="dxa" w:w="60"/>
              <w:left w:type="dxa" w:w="100"/>
              <w:bottom w:type="dxa" w:w="60"/>
              <w:right w:type="dxa" w:w="100"/>
            </w:tcMar>
            <w:vAlign w:val="center"/>
          </w:tcPr>
          <w:p>
            <w:r>
              <w:rPr>
                <w:sz w:val="19"/>
                <w:szCs w:val="19"/>
              </w:rPr>
              <w:t xml:space="preserve">0.93</w:t>
            </w:r>
          </w:p>
        </w:tc>
        <w:tc>
          <w:tcPr>
            <w:tcW w:type="dxa" w:w="1300"/>
            <w:shd w:fill="F2F2F2" w:val="clear"/>
            <w:tcMar>
              <w:top w:type="dxa" w:w="60"/>
              <w:left w:type="dxa" w:w="100"/>
              <w:bottom w:type="dxa" w:w="60"/>
              <w:right w:type="dxa" w:w="100"/>
            </w:tcMar>
            <w:vAlign w:val="center"/>
          </w:tcPr>
          <w:p>
            <w:r>
              <w:rPr>
                <w:sz w:val="19"/>
                <w:szCs w:val="19"/>
              </w:rPr>
              <w:t xml:space="preserve">1.00</w:t>
            </w:r>
          </w:p>
        </w:tc>
        <w:tc>
          <w:tcPr>
            <w:tcW w:type="dxa" w:w="1400"/>
            <w:shd w:fill="F2F2F2" w:val="clear"/>
            <w:tcMar>
              <w:top w:type="dxa" w:w="60"/>
              <w:left w:type="dxa" w:w="100"/>
              <w:bottom w:type="dxa" w:w="60"/>
              <w:right w:type="dxa" w:w="100"/>
            </w:tcMar>
            <w:vAlign w:val="center"/>
          </w:tcPr>
          <w:p>
            <w:r>
              <w:rPr>
                <w:sz w:val="19"/>
                <w:szCs w:val="19"/>
              </w:rPr>
              <w:t xml:space="preserve">0.97</w:t>
            </w:r>
          </w:p>
        </w:tc>
        <w:tc>
          <w:tcPr>
            <w:tcW w:type="dxa" w:w="1860"/>
            <w:shd w:fill="F2F2F2" w:val="clear"/>
            <w:tcMar>
              <w:top w:type="dxa" w:w="60"/>
              <w:left w:type="dxa" w:w="100"/>
              <w:bottom w:type="dxa" w:w="60"/>
              <w:right w:type="dxa" w:w="100"/>
            </w:tcMar>
            <w:vAlign w:val="center"/>
          </w:tcPr>
          <w:p>
            <w:r>
              <w:rPr>
                <w:sz w:val="19"/>
                <w:szCs w:val="19"/>
              </w:rPr>
              <w:t xml:space="preserve">349</w:t>
            </w:r>
          </w:p>
        </w:tc>
      </w:tr>
      <w:tr>
        <w:tc>
          <w:tcPr>
            <w:tcW w:type="dxa" w:w="3300"/>
            <w:shd w:fill="FFFFFF" w:val="clear"/>
            <w:tcMar>
              <w:top w:type="dxa" w:w="60"/>
              <w:left w:type="dxa" w:w="100"/>
              <w:bottom w:type="dxa" w:w="60"/>
              <w:right w:type="dxa" w:w="100"/>
            </w:tcMar>
            <w:vAlign w:val="center"/>
          </w:tcPr>
          <w:p>
            <w:r>
              <w:rPr>
                <w:sz w:val="19"/>
                <w:szCs w:val="19"/>
              </w:rPr>
              <w:t xml:space="preserve">Accuracy</w:t>
            </w:r>
          </w:p>
        </w:tc>
        <w:tc>
          <w:tcPr>
            <w:tcW w:type="dxa" w:w="1500"/>
            <w:shd w:fill="FFFFFF" w:val="clear"/>
            <w:tcMar>
              <w:top w:type="dxa" w:w="60"/>
              <w:left w:type="dxa" w:w="100"/>
              <w:bottom w:type="dxa" w:w="60"/>
              <w:right w:type="dxa" w:w="100"/>
            </w:tcMar>
            <w:vAlign w:val="center"/>
          </w:tcPr>
          <w:p>
            <w:r>
              <w:rPr>
                <w:sz w:val="19"/>
                <w:szCs w:val="19"/>
              </w:rPr>
              <w:t xml:space="preserve"/>
            </w:r>
          </w:p>
        </w:tc>
        <w:tc>
          <w:tcPr>
            <w:tcW w:type="dxa" w:w="1300"/>
            <w:shd w:fill="FFFFFF" w:val="clear"/>
            <w:tcMar>
              <w:top w:type="dxa" w:w="60"/>
              <w:left w:type="dxa" w:w="100"/>
              <w:bottom w:type="dxa" w:w="60"/>
              <w:right w:type="dxa" w:w="100"/>
            </w:tcMar>
            <w:vAlign w:val="center"/>
          </w:tcPr>
          <w:p>
            <w:r>
              <w:rPr>
                <w:sz w:val="19"/>
                <w:szCs w:val="19"/>
              </w:rPr>
              <w:t xml:space="preserve"/>
            </w:r>
          </w:p>
        </w:tc>
        <w:tc>
          <w:tcPr>
            <w:tcW w:type="dxa" w:w="1400"/>
            <w:shd w:fill="FFFFFF" w:val="clear"/>
            <w:tcMar>
              <w:top w:type="dxa" w:w="60"/>
              <w:left w:type="dxa" w:w="100"/>
              <w:bottom w:type="dxa" w:w="60"/>
              <w:right w:type="dxa" w:w="100"/>
            </w:tcMar>
            <w:vAlign w:val="center"/>
          </w:tcPr>
          <w:p>
            <w:r>
              <w:rPr>
                <w:sz w:val="19"/>
                <w:szCs w:val="19"/>
              </w:rPr>
              <w:t xml:space="preserve">0.82</w:t>
            </w:r>
          </w:p>
        </w:tc>
        <w:tc>
          <w:tcPr>
            <w:tcW w:type="dxa" w:w="1860"/>
            <w:shd w:fill="FFFFFF" w:val="clear"/>
            <w:tcMar>
              <w:top w:type="dxa" w:w="60"/>
              <w:left w:type="dxa" w:w="100"/>
              <w:bottom w:type="dxa" w:w="60"/>
              <w:right w:type="dxa" w:w="100"/>
            </w:tcMar>
            <w:vAlign w:val="center"/>
          </w:tcPr>
          <w:p>
            <w:r>
              <w:rPr>
                <w:sz w:val="19"/>
                <w:szCs w:val="19"/>
              </w:rPr>
              <w:t xml:space="preserve">2105</w:t>
            </w:r>
          </w:p>
        </w:tc>
      </w:tr>
      <w:tr>
        <w:tc>
          <w:tcPr>
            <w:tcW w:type="dxa" w:w="3300"/>
            <w:shd w:fill="F2F2F2" w:val="clear"/>
            <w:tcMar>
              <w:top w:type="dxa" w:w="60"/>
              <w:left w:type="dxa" w:w="100"/>
              <w:bottom w:type="dxa" w:w="60"/>
              <w:right w:type="dxa" w:w="100"/>
            </w:tcMar>
            <w:vAlign w:val="center"/>
          </w:tcPr>
          <w:p>
            <w:r>
              <w:rPr>
                <w:sz w:val="19"/>
                <w:szCs w:val="19"/>
              </w:rPr>
              <w:t xml:space="preserve">Macro avg</w:t>
            </w:r>
          </w:p>
        </w:tc>
        <w:tc>
          <w:tcPr>
            <w:tcW w:type="dxa" w:w="1500"/>
            <w:shd w:fill="F2F2F2" w:val="clear"/>
            <w:tcMar>
              <w:top w:type="dxa" w:w="60"/>
              <w:left w:type="dxa" w:w="100"/>
              <w:bottom w:type="dxa" w:w="60"/>
              <w:right w:type="dxa" w:w="100"/>
            </w:tcMar>
            <w:vAlign w:val="center"/>
          </w:tcPr>
          <w:p>
            <w:r>
              <w:rPr>
                <w:sz w:val="19"/>
                <w:szCs w:val="19"/>
              </w:rPr>
              <w:t xml:space="preserve">0.73</w:t>
            </w:r>
          </w:p>
        </w:tc>
        <w:tc>
          <w:tcPr>
            <w:tcW w:type="dxa" w:w="1300"/>
            <w:shd w:fill="F2F2F2" w:val="clear"/>
            <w:tcMar>
              <w:top w:type="dxa" w:w="60"/>
              <w:left w:type="dxa" w:w="100"/>
              <w:bottom w:type="dxa" w:w="60"/>
              <w:right w:type="dxa" w:w="100"/>
            </w:tcMar>
            <w:vAlign w:val="center"/>
          </w:tcPr>
          <w:p>
            <w:r>
              <w:rPr>
                <w:sz w:val="19"/>
                <w:szCs w:val="19"/>
              </w:rPr>
              <w:t xml:space="preserve">0.75</w:t>
            </w:r>
          </w:p>
        </w:tc>
        <w:tc>
          <w:tcPr>
            <w:tcW w:type="dxa" w:w="1400"/>
            <w:shd w:fill="F2F2F2" w:val="clear"/>
            <w:tcMar>
              <w:top w:type="dxa" w:w="60"/>
              <w:left w:type="dxa" w:w="100"/>
              <w:bottom w:type="dxa" w:w="60"/>
              <w:right w:type="dxa" w:w="100"/>
            </w:tcMar>
            <w:vAlign w:val="center"/>
          </w:tcPr>
          <w:p>
            <w:r>
              <w:rPr>
                <w:sz w:val="19"/>
                <w:szCs w:val="19"/>
              </w:rPr>
              <w:t xml:space="preserve">0.69</w:t>
            </w:r>
          </w:p>
        </w:tc>
        <w:tc>
          <w:tcPr>
            <w:tcW w:type="dxa" w:w="1860"/>
            <w:shd w:fill="F2F2F2" w:val="clear"/>
            <w:tcMar>
              <w:top w:type="dxa" w:w="60"/>
              <w:left w:type="dxa" w:w="100"/>
              <w:bottom w:type="dxa" w:w="60"/>
              <w:right w:type="dxa" w:w="100"/>
            </w:tcMar>
            <w:vAlign w:val="center"/>
          </w:tcPr>
          <w:p>
            <w:r>
              <w:rPr>
                <w:sz w:val="19"/>
                <w:szCs w:val="19"/>
              </w:rPr>
              <w:t xml:space="preserve">2105</w:t>
            </w:r>
          </w:p>
        </w:tc>
      </w:tr>
      <w:tr>
        <w:tc>
          <w:tcPr>
            <w:tcW w:type="dxa" w:w="3300"/>
            <w:shd w:fill="FFFFFF" w:val="clear"/>
            <w:tcMar>
              <w:top w:type="dxa" w:w="60"/>
              <w:left w:type="dxa" w:w="100"/>
              <w:bottom w:type="dxa" w:w="60"/>
              <w:right w:type="dxa" w:w="100"/>
            </w:tcMar>
            <w:vAlign w:val="center"/>
          </w:tcPr>
          <w:p>
            <w:r>
              <w:rPr>
                <w:sz w:val="19"/>
                <w:szCs w:val="19"/>
              </w:rPr>
              <w:t xml:space="preserve">Weighted avg</w:t>
            </w:r>
          </w:p>
        </w:tc>
        <w:tc>
          <w:tcPr>
            <w:tcW w:type="dxa" w:w="1500"/>
            <w:shd w:fill="FFFFFF" w:val="clear"/>
            <w:tcMar>
              <w:top w:type="dxa" w:w="60"/>
              <w:left w:type="dxa" w:w="100"/>
              <w:bottom w:type="dxa" w:w="60"/>
              <w:right w:type="dxa" w:w="100"/>
            </w:tcMar>
            <w:vAlign w:val="center"/>
          </w:tcPr>
          <w:p>
            <w:r>
              <w:rPr>
                <w:sz w:val="19"/>
                <w:szCs w:val="19"/>
              </w:rPr>
              <w:t xml:space="preserve">0.82</w:t>
            </w:r>
          </w:p>
        </w:tc>
        <w:tc>
          <w:tcPr>
            <w:tcW w:type="dxa" w:w="1300"/>
            <w:shd w:fill="FFFFFF" w:val="clear"/>
            <w:tcMar>
              <w:top w:type="dxa" w:w="60"/>
              <w:left w:type="dxa" w:w="100"/>
              <w:bottom w:type="dxa" w:w="60"/>
              <w:right w:type="dxa" w:w="100"/>
            </w:tcMar>
            <w:vAlign w:val="center"/>
          </w:tcPr>
          <w:p>
            <w:r>
              <w:rPr>
                <w:sz w:val="19"/>
                <w:szCs w:val="19"/>
              </w:rPr>
              <w:t xml:space="preserve">0.82</w:t>
            </w:r>
          </w:p>
        </w:tc>
        <w:tc>
          <w:tcPr>
            <w:tcW w:type="dxa" w:w="1400"/>
            <w:shd w:fill="FFFFFF" w:val="clear"/>
            <w:tcMar>
              <w:top w:type="dxa" w:w="60"/>
              <w:left w:type="dxa" w:w="100"/>
              <w:bottom w:type="dxa" w:w="60"/>
              <w:right w:type="dxa" w:w="100"/>
            </w:tcMar>
            <w:vAlign w:val="center"/>
          </w:tcPr>
          <w:p>
            <w:r>
              <w:rPr>
                <w:sz w:val="19"/>
                <w:szCs w:val="19"/>
              </w:rPr>
              <w:t xml:space="preserve">0.78</w:t>
            </w:r>
          </w:p>
        </w:tc>
        <w:tc>
          <w:tcPr>
            <w:tcW w:type="dxa" w:w="1860"/>
            <w:shd w:fill="FFFFFF" w:val="clear"/>
            <w:tcMar>
              <w:top w:type="dxa" w:w="60"/>
              <w:left w:type="dxa" w:w="100"/>
              <w:bottom w:type="dxa" w:w="60"/>
              <w:right w:type="dxa" w:w="100"/>
            </w:tcMar>
            <w:vAlign w:val="center"/>
          </w:tcPr>
          <w:p>
            <w:r>
              <w:rPr>
                <w:sz w:val="19"/>
                <w:szCs w:val="19"/>
              </w:rPr>
              <w:t xml:space="preserve">2105</w:t>
            </w:r>
          </w:p>
        </w:tc>
      </w:tr>
    </w:tbl>
    <w:p>
      <w:pPr>
        <w:spacing w:after="200" w:line="300"/>
        <w:jc w:val="both"/>
      </w:pPr>
      <w:r>
        <w:rPr>
          <w:sz w:val="22"/>
          <w:szCs w:val="22"/>
        </w:rPr>
        <w:t xml:space="preserve">Interpretation: the LinearSVC model's overall accuracy of 81.81% conceals a severe weakness in the 'Unhealthy for Sensitive Groups' class, where recall collapses to just 0.07 — meaning the model correctly identified only about 7% of the true samples in that category, almost certainly misclassifying most of them into the adjacent 'Unhealthy' or 'Moderate' classes. This is a clear illustration of why accuracy alone is an insufficient metric: a linear decision boundary struggles to carve out this particular middle category, which sits between two other classes on a continuous severity spectrum, and the model's aggregate accuracy is propped up primarily by strong performance on the large, well-separated 'Good' and 'Very Unhealthy' classes.</w:t>
      </w:r>
    </w:p>
    <w:p>
      <w:pPr>
        <w:pStyle w:val="Heading2"/>
        <w:spacing w:after="180" w:before="360"/>
      </w:pPr>
      <w:r>
        <w:rPr>
          <w:b/>
          <w:bCs/>
          <w:color w:val="2E75B6"/>
          <w:sz w:val="26"/>
          <w:szCs w:val="26"/>
        </w:rPr>
        <w:t xml:space="preserve">11.5 K-Nearest Neighbors — Evaluation</w:t>
      </w:r>
    </w:p>
    <w:p>
      <w:pPr>
        <w:spacing w:after="200" w:line="300"/>
        <w:jc w:val="both"/>
      </w:pPr>
      <w:r>
        <w:rPr>
          <w:sz w:val="22"/>
          <w:szCs w:val="22"/>
        </w:rPr>
        <w:t xml:space="preserve">The K-Nearest Neighbors model achieved a test-set accuracy of 93.73%.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300"/>
        <w:gridCol w:w="1400"/>
        <w:gridCol w:w="1860"/>
      </w:tblGrid>
      <w:tr>
        <w:trPr>
          <w:tblHeader/>
        </w:trPr>
        <w:tc>
          <w:tcPr>
            <w:tcW w:type="dxa" w:w="3300"/>
            <w:shd w:fill="1F3864" w:val="clear"/>
            <w:tcMar>
              <w:top w:type="dxa" w:w="80"/>
              <w:left w:type="dxa" w:w="100"/>
              <w:bottom w:type="dxa" w:w="80"/>
              <w:right w:type="dxa" w:w="100"/>
            </w:tcMar>
            <w:vAlign w:val="center"/>
          </w:tcPr>
          <w:p>
            <w:pPr>
              <w:jc w:val="left"/>
            </w:pPr>
            <w:r>
              <w:rPr>
                <w:b/>
                <w:bCs/>
                <w:color w:val="FFFFFF"/>
                <w:sz w:val="19"/>
                <w:szCs w:val="19"/>
              </w:rPr>
              <w:t xml:space="preserve">Class</w:t>
            </w:r>
          </w:p>
        </w:tc>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Precision</w:t>
            </w:r>
          </w:p>
        </w:tc>
        <w:tc>
          <w:tcPr>
            <w:tcW w:type="dxa" w:w="1300"/>
            <w:shd w:fill="1F3864" w:val="clear"/>
            <w:tcMar>
              <w:top w:type="dxa" w:w="80"/>
              <w:left w:type="dxa" w:w="100"/>
              <w:bottom w:type="dxa" w:w="80"/>
              <w:right w:type="dxa" w:w="100"/>
            </w:tcMar>
            <w:vAlign w:val="center"/>
          </w:tcPr>
          <w:p>
            <w:pPr>
              <w:jc w:val="left"/>
            </w:pPr>
            <w:r>
              <w:rPr>
                <w:b/>
                <w:bCs/>
                <w:color w:val="FFFFFF"/>
                <w:sz w:val="19"/>
                <w:szCs w:val="19"/>
              </w:rPr>
              <w:t xml:space="preserve">Recall</w:t>
            </w:r>
          </w:p>
        </w:tc>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F1-score</w:t>
            </w:r>
          </w:p>
        </w:tc>
        <w:tc>
          <w:tcPr>
            <w:tcW w:type="dxa" w:w="1860"/>
            <w:shd w:fill="1F3864" w:val="clear"/>
            <w:tcMar>
              <w:top w:type="dxa" w:w="80"/>
              <w:left w:type="dxa" w:w="100"/>
              <w:bottom w:type="dxa" w:w="80"/>
              <w:right w:type="dxa" w:w="100"/>
            </w:tcMar>
            <w:vAlign w:val="center"/>
          </w:tcPr>
          <w:p>
            <w:pPr>
              <w:jc w:val="left"/>
            </w:pPr>
            <w:r>
              <w:rPr>
                <w:b/>
                <w:bCs/>
                <w:color w:val="FFFFFF"/>
                <w:sz w:val="19"/>
                <w:szCs w:val="19"/>
              </w:rPr>
              <w:t xml:space="preserve">Support</w:t>
            </w:r>
          </w:p>
        </w:tc>
      </w:tr>
      <w:tr>
        <w:tc>
          <w:tcPr>
            <w:tcW w:type="dxa" w:w="3300"/>
            <w:shd w:fill="FFFFFF" w:val="clear"/>
            <w:tcMar>
              <w:top w:type="dxa" w:w="60"/>
              <w:left w:type="dxa" w:w="100"/>
              <w:bottom w:type="dxa" w:w="60"/>
              <w:right w:type="dxa" w:w="100"/>
            </w:tcMar>
            <w:vAlign w:val="center"/>
          </w:tcPr>
          <w:p>
            <w:r>
              <w:rPr>
                <w:sz w:val="19"/>
                <w:szCs w:val="19"/>
              </w:rPr>
              <w:t xml:space="preserve">Good</w:t>
            </w:r>
          </w:p>
        </w:tc>
        <w:tc>
          <w:tcPr>
            <w:tcW w:type="dxa" w:w="1500"/>
            <w:shd w:fill="FFFFFF" w:val="clear"/>
            <w:tcMar>
              <w:top w:type="dxa" w:w="60"/>
              <w:left w:type="dxa" w:w="100"/>
              <w:bottom w:type="dxa" w:w="60"/>
              <w:right w:type="dxa" w:w="100"/>
            </w:tcMar>
            <w:vAlign w:val="center"/>
          </w:tcPr>
          <w:p>
            <w:r>
              <w:rPr>
                <w:sz w:val="19"/>
                <w:szCs w:val="19"/>
              </w:rPr>
              <w:t xml:space="preserve">0.98</w:t>
            </w:r>
          </w:p>
        </w:tc>
        <w:tc>
          <w:tcPr>
            <w:tcW w:type="dxa" w:w="1300"/>
            <w:shd w:fill="FFFFFF" w:val="clear"/>
            <w:tcMar>
              <w:top w:type="dxa" w:w="60"/>
              <w:left w:type="dxa" w:w="100"/>
              <w:bottom w:type="dxa" w:w="60"/>
              <w:right w:type="dxa" w:w="100"/>
            </w:tcMar>
            <w:vAlign w:val="center"/>
          </w:tcPr>
          <w:p>
            <w:r>
              <w:rPr>
                <w:sz w:val="19"/>
                <w:szCs w:val="19"/>
              </w:rPr>
              <w:t xml:space="preserve">0.99</w:t>
            </w:r>
          </w:p>
        </w:tc>
        <w:tc>
          <w:tcPr>
            <w:tcW w:type="dxa" w:w="1400"/>
            <w:shd w:fill="FFFFFF" w:val="clear"/>
            <w:tcMar>
              <w:top w:type="dxa" w:w="60"/>
              <w:left w:type="dxa" w:w="100"/>
              <w:bottom w:type="dxa" w:w="60"/>
              <w:right w:type="dxa" w:w="100"/>
            </w:tcMar>
            <w:vAlign w:val="center"/>
          </w:tcPr>
          <w:p>
            <w:r>
              <w:rPr>
                <w:sz w:val="19"/>
                <w:szCs w:val="19"/>
              </w:rPr>
              <w:t xml:space="preserve">0.98</w:t>
            </w:r>
          </w:p>
        </w:tc>
        <w:tc>
          <w:tcPr>
            <w:tcW w:type="dxa" w:w="1860"/>
            <w:shd w:fill="FFFFFF" w:val="clear"/>
            <w:tcMar>
              <w:top w:type="dxa" w:w="60"/>
              <w:left w:type="dxa" w:w="100"/>
              <w:bottom w:type="dxa" w:w="60"/>
              <w:right w:type="dxa" w:w="100"/>
            </w:tcMar>
            <w:vAlign w:val="center"/>
          </w:tcPr>
          <w:p>
            <w:r>
              <w:rPr>
                <w:sz w:val="19"/>
                <w:szCs w:val="19"/>
              </w:rPr>
              <w:t xml:space="preserve">798</w:t>
            </w:r>
          </w:p>
        </w:tc>
      </w:tr>
      <w:tr>
        <w:tc>
          <w:tcPr>
            <w:tcW w:type="dxa" w:w="3300"/>
            <w:shd w:fill="F2F2F2" w:val="clear"/>
            <w:tcMar>
              <w:top w:type="dxa" w:w="60"/>
              <w:left w:type="dxa" w:w="100"/>
              <w:bottom w:type="dxa" w:w="60"/>
              <w:right w:type="dxa" w:w="100"/>
            </w:tcMar>
            <w:vAlign w:val="center"/>
          </w:tcPr>
          <w:p>
            <w:r>
              <w:rPr>
                <w:sz w:val="19"/>
                <w:szCs w:val="19"/>
              </w:rPr>
              <w:t xml:space="preserve">Hazardous</w:t>
            </w:r>
          </w:p>
        </w:tc>
        <w:tc>
          <w:tcPr>
            <w:tcW w:type="dxa" w:w="1500"/>
            <w:shd w:fill="F2F2F2" w:val="clear"/>
            <w:tcMar>
              <w:top w:type="dxa" w:w="60"/>
              <w:left w:type="dxa" w:w="100"/>
              <w:bottom w:type="dxa" w:w="60"/>
              <w:right w:type="dxa" w:w="100"/>
            </w:tcMar>
            <w:vAlign w:val="center"/>
          </w:tcPr>
          <w:p>
            <w:r>
              <w:rPr>
                <w:sz w:val="19"/>
                <w:szCs w:val="19"/>
              </w:rPr>
              <w:t xml:space="preserve">0.86</w:t>
            </w:r>
          </w:p>
        </w:tc>
        <w:tc>
          <w:tcPr>
            <w:tcW w:type="dxa" w:w="1300"/>
            <w:shd w:fill="F2F2F2" w:val="clear"/>
            <w:tcMar>
              <w:top w:type="dxa" w:w="60"/>
              <w:left w:type="dxa" w:w="100"/>
              <w:bottom w:type="dxa" w:w="60"/>
              <w:right w:type="dxa" w:w="100"/>
            </w:tcMar>
            <w:vAlign w:val="center"/>
          </w:tcPr>
          <w:p>
            <w:r>
              <w:rPr>
                <w:sz w:val="19"/>
                <w:szCs w:val="19"/>
              </w:rPr>
              <w:t xml:space="preserve">0.82</w:t>
            </w:r>
          </w:p>
        </w:tc>
        <w:tc>
          <w:tcPr>
            <w:tcW w:type="dxa" w:w="1400"/>
            <w:shd w:fill="F2F2F2" w:val="clear"/>
            <w:tcMar>
              <w:top w:type="dxa" w:w="60"/>
              <w:left w:type="dxa" w:w="100"/>
              <w:bottom w:type="dxa" w:w="60"/>
              <w:right w:type="dxa" w:w="100"/>
            </w:tcMar>
            <w:vAlign w:val="center"/>
          </w:tcPr>
          <w:p>
            <w:r>
              <w:rPr>
                <w:sz w:val="19"/>
                <w:szCs w:val="19"/>
              </w:rPr>
              <w:t xml:space="preserve">0.84</w:t>
            </w:r>
          </w:p>
        </w:tc>
        <w:tc>
          <w:tcPr>
            <w:tcW w:type="dxa" w:w="1860"/>
            <w:shd w:fill="F2F2F2" w:val="clear"/>
            <w:tcMar>
              <w:top w:type="dxa" w:w="60"/>
              <w:left w:type="dxa" w:w="100"/>
              <w:bottom w:type="dxa" w:w="60"/>
              <w:right w:type="dxa" w:w="100"/>
            </w:tcMar>
            <w:vAlign w:val="center"/>
          </w:tcPr>
          <w:p>
            <w:r>
              <w:rPr>
                <w:sz w:val="19"/>
                <w:szCs w:val="19"/>
              </w:rPr>
              <w:t xml:space="preserve">89</w:t>
            </w:r>
          </w:p>
        </w:tc>
      </w:tr>
      <w:tr>
        <w:tc>
          <w:tcPr>
            <w:tcW w:type="dxa" w:w="3300"/>
            <w:shd w:fill="FFFFFF" w:val="clear"/>
            <w:tcMar>
              <w:top w:type="dxa" w:w="60"/>
              <w:left w:type="dxa" w:w="100"/>
              <w:bottom w:type="dxa" w:w="60"/>
              <w:right w:type="dxa" w:w="100"/>
            </w:tcMar>
            <w:vAlign w:val="center"/>
          </w:tcPr>
          <w:p>
            <w:r>
              <w:rPr>
                <w:sz w:val="19"/>
                <w:szCs w:val="19"/>
              </w:rPr>
              <w:t xml:space="preserve">Moderate</w:t>
            </w:r>
          </w:p>
        </w:tc>
        <w:tc>
          <w:tcPr>
            <w:tcW w:type="dxa" w:w="1500"/>
            <w:shd w:fill="FFFFFF" w:val="clear"/>
            <w:tcMar>
              <w:top w:type="dxa" w:w="60"/>
              <w:left w:type="dxa" w:w="100"/>
              <w:bottom w:type="dxa" w:w="60"/>
              <w:right w:type="dxa" w:w="100"/>
            </w:tcMar>
            <w:vAlign w:val="center"/>
          </w:tcPr>
          <w:p>
            <w:r>
              <w:rPr>
                <w:sz w:val="19"/>
                <w:szCs w:val="19"/>
              </w:rPr>
              <w:t xml:space="preserve">0.91</w:t>
            </w:r>
          </w:p>
        </w:tc>
        <w:tc>
          <w:tcPr>
            <w:tcW w:type="dxa" w:w="1300"/>
            <w:shd w:fill="FFFFFF" w:val="clear"/>
            <w:tcMar>
              <w:top w:type="dxa" w:w="60"/>
              <w:left w:type="dxa" w:w="100"/>
              <w:bottom w:type="dxa" w:w="60"/>
              <w:right w:type="dxa" w:w="100"/>
            </w:tcMar>
            <w:vAlign w:val="center"/>
          </w:tcPr>
          <w:p>
            <w:r>
              <w:rPr>
                <w:sz w:val="19"/>
                <w:szCs w:val="19"/>
              </w:rPr>
              <w:t xml:space="preserve">0.92</w:t>
            </w:r>
          </w:p>
        </w:tc>
        <w:tc>
          <w:tcPr>
            <w:tcW w:type="dxa" w:w="1400"/>
            <w:shd w:fill="FFFFFF" w:val="clear"/>
            <w:tcMar>
              <w:top w:type="dxa" w:w="60"/>
              <w:left w:type="dxa" w:w="100"/>
              <w:bottom w:type="dxa" w:w="60"/>
              <w:right w:type="dxa" w:w="100"/>
            </w:tcMar>
            <w:vAlign w:val="center"/>
          </w:tcPr>
          <w:p>
            <w:r>
              <w:rPr>
                <w:sz w:val="19"/>
                <w:szCs w:val="19"/>
              </w:rPr>
              <w:t xml:space="preserve">0.92</w:t>
            </w:r>
          </w:p>
        </w:tc>
        <w:tc>
          <w:tcPr>
            <w:tcW w:type="dxa" w:w="1860"/>
            <w:shd w:fill="FFFFFF" w:val="clear"/>
            <w:tcMar>
              <w:top w:type="dxa" w:w="60"/>
              <w:left w:type="dxa" w:w="100"/>
              <w:bottom w:type="dxa" w:w="60"/>
              <w:right w:type="dxa" w:w="100"/>
            </w:tcMar>
            <w:vAlign w:val="center"/>
          </w:tcPr>
          <w:p>
            <w:r>
              <w:rPr>
                <w:sz w:val="19"/>
                <w:szCs w:val="19"/>
              </w:rPr>
              <w:t xml:space="preserve">345</w:t>
            </w:r>
          </w:p>
        </w:tc>
      </w:tr>
      <w:tr>
        <w:tc>
          <w:tcPr>
            <w:tcW w:type="dxa" w:w="3300"/>
            <w:shd w:fill="F2F2F2" w:val="clear"/>
            <w:tcMar>
              <w:top w:type="dxa" w:w="60"/>
              <w:left w:type="dxa" w:w="100"/>
              <w:bottom w:type="dxa" w:w="60"/>
              <w:right w:type="dxa" w:w="100"/>
            </w:tcMar>
            <w:vAlign w:val="center"/>
          </w:tcPr>
          <w:p>
            <w:r>
              <w:rPr>
                <w:sz w:val="19"/>
                <w:szCs w:val="19"/>
              </w:rPr>
              <w:t xml:space="preserve">Unhealthy</w:t>
            </w:r>
          </w:p>
        </w:tc>
        <w:tc>
          <w:tcPr>
            <w:tcW w:type="dxa" w:w="1500"/>
            <w:shd w:fill="F2F2F2" w:val="clear"/>
            <w:tcMar>
              <w:top w:type="dxa" w:w="60"/>
              <w:left w:type="dxa" w:w="100"/>
              <w:bottom w:type="dxa" w:w="60"/>
              <w:right w:type="dxa" w:w="100"/>
            </w:tcMar>
            <w:vAlign w:val="center"/>
          </w:tcPr>
          <w:p>
            <w:r>
              <w:rPr>
                <w:sz w:val="19"/>
                <w:szCs w:val="19"/>
              </w:rPr>
              <w:t xml:space="preserve">0.88</w:t>
            </w:r>
          </w:p>
        </w:tc>
        <w:tc>
          <w:tcPr>
            <w:tcW w:type="dxa" w:w="1300"/>
            <w:shd w:fill="F2F2F2" w:val="clear"/>
            <w:tcMar>
              <w:top w:type="dxa" w:w="60"/>
              <w:left w:type="dxa" w:w="100"/>
              <w:bottom w:type="dxa" w:w="60"/>
              <w:right w:type="dxa" w:w="100"/>
            </w:tcMar>
            <w:vAlign w:val="center"/>
          </w:tcPr>
          <w:p>
            <w:r>
              <w:rPr>
                <w:sz w:val="19"/>
                <w:szCs w:val="19"/>
              </w:rPr>
              <w:t xml:space="preserve">0.89</w:t>
            </w:r>
          </w:p>
        </w:tc>
        <w:tc>
          <w:tcPr>
            <w:tcW w:type="dxa" w:w="1400"/>
            <w:shd w:fill="F2F2F2" w:val="clear"/>
            <w:tcMar>
              <w:top w:type="dxa" w:w="60"/>
              <w:left w:type="dxa" w:w="100"/>
              <w:bottom w:type="dxa" w:w="60"/>
              <w:right w:type="dxa" w:w="100"/>
            </w:tcMar>
            <w:vAlign w:val="center"/>
          </w:tcPr>
          <w:p>
            <w:r>
              <w:rPr>
                <w:sz w:val="19"/>
                <w:szCs w:val="19"/>
              </w:rPr>
              <w:t xml:space="preserve">0.89</w:t>
            </w:r>
          </w:p>
        </w:tc>
        <w:tc>
          <w:tcPr>
            <w:tcW w:type="dxa" w:w="1860"/>
            <w:shd w:fill="F2F2F2" w:val="clear"/>
            <w:tcMar>
              <w:top w:type="dxa" w:w="60"/>
              <w:left w:type="dxa" w:w="100"/>
              <w:bottom w:type="dxa" w:w="60"/>
              <w:right w:type="dxa" w:w="100"/>
            </w:tcMar>
            <w:vAlign w:val="center"/>
          </w:tcPr>
          <w:p>
            <w:r>
              <w:rPr>
                <w:sz w:val="19"/>
                <w:szCs w:val="19"/>
              </w:rPr>
              <w:t xml:space="preserve">265</w:t>
            </w:r>
          </w:p>
        </w:tc>
      </w:tr>
      <w:tr>
        <w:tc>
          <w:tcPr>
            <w:tcW w:type="dxa" w:w="3300"/>
            <w:shd w:fill="FFFFFF" w:val="clear"/>
            <w:tcMar>
              <w:top w:type="dxa" w:w="60"/>
              <w:left w:type="dxa" w:w="100"/>
              <w:bottom w:type="dxa" w:w="60"/>
              <w:right w:type="dxa" w:w="100"/>
            </w:tcMar>
            <w:vAlign w:val="center"/>
          </w:tcPr>
          <w:p>
            <w:r>
              <w:rPr>
                <w:sz w:val="19"/>
                <w:szCs w:val="19"/>
              </w:rPr>
              <w:t xml:space="preserve">Unhealthy for Sensitive Groups</w:t>
            </w:r>
          </w:p>
        </w:tc>
        <w:tc>
          <w:tcPr>
            <w:tcW w:type="dxa" w:w="1500"/>
            <w:shd w:fill="FFFFFF" w:val="clear"/>
            <w:tcMar>
              <w:top w:type="dxa" w:w="60"/>
              <w:left w:type="dxa" w:w="100"/>
              <w:bottom w:type="dxa" w:w="60"/>
              <w:right w:type="dxa" w:w="100"/>
            </w:tcMar>
            <w:vAlign w:val="center"/>
          </w:tcPr>
          <w:p>
            <w:r>
              <w:rPr>
                <w:sz w:val="19"/>
                <w:szCs w:val="19"/>
              </w:rPr>
              <w:t xml:space="preserve">0.90</w:t>
            </w:r>
          </w:p>
        </w:tc>
        <w:tc>
          <w:tcPr>
            <w:tcW w:type="dxa" w:w="1300"/>
            <w:shd w:fill="FFFFFF" w:val="clear"/>
            <w:tcMar>
              <w:top w:type="dxa" w:w="60"/>
              <w:left w:type="dxa" w:w="100"/>
              <w:bottom w:type="dxa" w:w="60"/>
              <w:right w:type="dxa" w:w="100"/>
            </w:tcMar>
            <w:vAlign w:val="center"/>
          </w:tcPr>
          <w:p>
            <w:r>
              <w:rPr>
                <w:sz w:val="19"/>
                <w:szCs w:val="19"/>
              </w:rPr>
              <w:t xml:space="preserve">0.85</w:t>
            </w:r>
          </w:p>
        </w:tc>
        <w:tc>
          <w:tcPr>
            <w:tcW w:type="dxa" w:w="1400"/>
            <w:shd w:fill="FFFFFF" w:val="clear"/>
            <w:tcMar>
              <w:top w:type="dxa" w:w="60"/>
              <w:left w:type="dxa" w:w="100"/>
              <w:bottom w:type="dxa" w:w="60"/>
              <w:right w:type="dxa" w:w="100"/>
            </w:tcMar>
            <w:vAlign w:val="center"/>
          </w:tcPr>
          <w:p>
            <w:r>
              <w:rPr>
                <w:sz w:val="19"/>
                <w:szCs w:val="19"/>
              </w:rPr>
              <w:t xml:space="preserve">0.88</w:t>
            </w:r>
          </w:p>
        </w:tc>
        <w:tc>
          <w:tcPr>
            <w:tcW w:type="dxa" w:w="1860"/>
            <w:shd w:fill="FFFFFF" w:val="clear"/>
            <w:tcMar>
              <w:top w:type="dxa" w:w="60"/>
              <w:left w:type="dxa" w:w="100"/>
              <w:bottom w:type="dxa" w:w="60"/>
              <w:right w:type="dxa" w:w="100"/>
            </w:tcMar>
            <w:vAlign w:val="center"/>
          </w:tcPr>
          <w:p>
            <w:r>
              <w:rPr>
                <w:sz w:val="19"/>
                <w:szCs w:val="19"/>
              </w:rPr>
              <w:t xml:space="preserve">259</w:t>
            </w:r>
          </w:p>
        </w:tc>
      </w:tr>
      <w:tr>
        <w:tc>
          <w:tcPr>
            <w:tcW w:type="dxa" w:w="3300"/>
            <w:shd w:fill="F2F2F2" w:val="clear"/>
            <w:tcMar>
              <w:top w:type="dxa" w:w="60"/>
              <w:left w:type="dxa" w:w="100"/>
              <w:bottom w:type="dxa" w:w="60"/>
              <w:right w:type="dxa" w:w="100"/>
            </w:tcMar>
            <w:vAlign w:val="center"/>
          </w:tcPr>
          <w:p>
            <w:r>
              <w:rPr>
                <w:sz w:val="19"/>
                <w:szCs w:val="19"/>
              </w:rPr>
              <w:t xml:space="preserve">Very Unhealthy</w:t>
            </w:r>
          </w:p>
        </w:tc>
        <w:tc>
          <w:tcPr>
            <w:tcW w:type="dxa" w:w="1500"/>
            <w:shd w:fill="F2F2F2" w:val="clear"/>
            <w:tcMar>
              <w:top w:type="dxa" w:w="60"/>
              <w:left w:type="dxa" w:w="100"/>
              <w:bottom w:type="dxa" w:w="60"/>
              <w:right w:type="dxa" w:w="100"/>
            </w:tcMar>
            <w:vAlign w:val="center"/>
          </w:tcPr>
          <w:p>
            <w:r>
              <w:rPr>
                <w:sz w:val="19"/>
                <w:szCs w:val="19"/>
              </w:rPr>
              <w:t xml:space="preserve">0.96</w:t>
            </w:r>
          </w:p>
        </w:tc>
        <w:tc>
          <w:tcPr>
            <w:tcW w:type="dxa" w:w="1300"/>
            <w:shd w:fill="F2F2F2" w:val="clear"/>
            <w:tcMar>
              <w:top w:type="dxa" w:w="60"/>
              <w:left w:type="dxa" w:w="100"/>
              <w:bottom w:type="dxa" w:w="60"/>
              <w:right w:type="dxa" w:w="100"/>
            </w:tcMar>
            <w:vAlign w:val="center"/>
          </w:tcPr>
          <w:p>
            <w:r>
              <w:rPr>
                <w:sz w:val="19"/>
                <w:szCs w:val="19"/>
              </w:rPr>
              <w:t xml:space="preserve">0.96</w:t>
            </w:r>
          </w:p>
        </w:tc>
        <w:tc>
          <w:tcPr>
            <w:tcW w:type="dxa" w:w="1400"/>
            <w:shd w:fill="F2F2F2" w:val="clear"/>
            <w:tcMar>
              <w:top w:type="dxa" w:w="60"/>
              <w:left w:type="dxa" w:w="100"/>
              <w:bottom w:type="dxa" w:w="60"/>
              <w:right w:type="dxa" w:w="100"/>
            </w:tcMar>
            <w:vAlign w:val="center"/>
          </w:tcPr>
          <w:p>
            <w:r>
              <w:rPr>
                <w:sz w:val="19"/>
                <w:szCs w:val="19"/>
              </w:rPr>
              <w:t xml:space="preserve">0.96</w:t>
            </w:r>
          </w:p>
        </w:tc>
        <w:tc>
          <w:tcPr>
            <w:tcW w:type="dxa" w:w="1860"/>
            <w:shd w:fill="F2F2F2" w:val="clear"/>
            <w:tcMar>
              <w:top w:type="dxa" w:w="60"/>
              <w:left w:type="dxa" w:w="100"/>
              <w:bottom w:type="dxa" w:w="60"/>
              <w:right w:type="dxa" w:w="100"/>
            </w:tcMar>
            <w:vAlign w:val="center"/>
          </w:tcPr>
          <w:p>
            <w:r>
              <w:rPr>
                <w:sz w:val="19"/>
                <w:szCs w:val="19"/>
              </w:rPr>
              <w:t xml:space="preserve">349</w:t>
            </w:r>
          </w:p>
        </w:tc>
      </w:tr>
      <w:tr>
        <w:tc>
          <w:tcPr>
            <w:tcW w:type="dxa" w:w="3300"/>
            <w:shd w:fill="FFFFFF" w:val="clear"/>
            <w:tcMar>
              <w:top w:type="dxa" w:w="60"/>
              <w:left w:type="dxa" w:w="100"/>
              <w:bottom w:type="dxa" w:w="60"/>
              <w:right w:type="dxa" w:w="100"/>
            </w:tcMar>
            <w:vAlign w:val="center"/>
          </w:tcPr>
          <w:p>
            <w:r>
              <w:rPr>
                <w:sz w:val="19"/>
                <w:szCs w:val="19"/>
              </w:rPr>
              <w:t xml:space="preserve">Accuracy</w:t>
            </w:r>
          </w:p>
        </w:tc>
        <w:tc>
          <w:tcPr>
            <w:tcW w:type="dxa" w:w="1500"/>
            <w:shd w:fill="FFFFFF" w:val="clear"/>
            <w:tcMar>
              <w:top w:type="dxa" w:w="60"/>
              <w:left w:type="dxa" w:w="100"/>
              <w:bottom w:type="dxa" w:w="60"/>
              <w:right w:type="dxa" w:w="100"/>
            </w:tcMar>
            <w:vAlign w:val="center"/>
          </w:tcPr>
          <w:p>
            <w:r>
              <w:rPr>
                <w:sz w:val="19"/>
                <w:szCs w:val="19"/>
              </w:rPr>
              <w:t xml:space="preserve"/>
            </w:r>
          </w:p>
        </w:tc>
        <w:tc>
          <w:tcPr>
            <w:tcW w:type="dxa" w:w="1300"/>
            <w:shd w:fill="FFFFFF" w:val="clear"/>
            <w:tcMar>
              <w:top w:type="dxa" w:w="60"/>
              <w:left w:type="dxa" w:w="100"/>
              <w:bottom w:type="dxa" w:w="60"/>
              <w:right w:type="dxa" w:w="100"/>
            </w:tcMar>
            <w:vAlign w:val="center"/>
          </w:tcPr>
          <w:p>
            <w:r>
              <w:rPr>
                <w:sz w:val="19"/>
                <w:szCs w:val="19"/>
              </w:rPr>
              <w:t xml:space="preserve"/>
            </w:r>
          </w:p>
        </w:tc>
        <w:tc>
          <w:tcPr>
            <w:tcW w:type="dxa" w:w="1400"/>
            <w:shd w:fill="FFFFFF" w:val="clear"/>
            <w:tcMar>
              <w:top w:type="dxa" w:w="60"/>
              <w:left w:type="dxa" w:w="100"/>
              <w:bottom w:type="dxa" w:w="60"/>
              <w:right w:type="dxa" w:w="100"/>
            </w:tcMar>
            <w:vAlign w:val="center"/>
          </w:tcPr>
          <w:p>
            <w:r>
              <w:rPr>
                <w:sz w:val="19"/>
                <w:szCs w:val="19"/>
              </w:rPr>
              <w:t xml:space="preserve">0.94</w:t>
            </w:r>
          </w:p>
        </w:tc>
        <w:tc>
          <w:tcPr>
            <w:tcW w:type="dxa" w:w="1860"/>
            <w:shd w:fill="FFFFFF" w:val="clear"/>
            <w:tcMar>
              <w:top w:type="dxa" w:w="60"/>
              <w:left w:type="dxa" w:w="100"/>
              <w:bottom w:type="dxa" w:w="60"/>
              <w:right w:type="dxa" w:w="100"/>
            </w:tcMar>
            <w:vAlign w:val="center"/>
          </w:tcPr>
          <w:p>
            <w:r>
              <w:rPr>
                <w:sz w:val="19"/>
                <w:szCs w:val="19"/>
              </w:rPr>
              <w:t xml:space="preserve">2105</w:t>
            </w:r>
          </w:p>
        </w:tc>
      </w:tr>
      <w:tr>
        <w:tc>
          <w:tcPr>
            <w:tcW w:type="dxa" w:w="3300"/>
            <w:shd w:fill="F2F2F2" w:val="clear"/>
            <w:tcMar>
              <w:top w:type="dxa" w:w="60"/>
              <w:left w:type="dxa" w:w="100"/>
              <w:bottom w:type="dxa" w:w="60"/>
              <w:right w:type="dxa" w:w="100"/>
            </w:tcMar>
            <w:vAlign w:val="center"/>
          </w:tcPr>
          <w:p>
            <w:r>
              <w:rPr>
                <w:sz w:val="19"/>
                <w:szCs w:val="19"/>
              </w:rPr>
              <w:t xml:space="preserve">Macro avg</w:t>
            </w:r>
          </w:p>
        </w:tc>
        <w:tc>
          <w:tcPr>
            <w:tcW w:type="dxa" w:w="1500"/>
            <w:shd w:fill="F2F2F2" w:val="clear"/>
            <w:tcMar>
              <w:top w:type="dxa" w:w="60"/>
              <w:left w:type="dxa" w:w="100"/>
              <w:bottom w:type="dxa" w:w="60"/>
              <w:right w:type="dxa" w:w="100"/>
            </w:tcMar>
            <w:vAlign w:val="center"/>
          </w:tcPr>
          <w:p>
            <w:r>
              <w:rPr>
                <w:sz w:val="19"/>
                <w:szCs w:val="19"/>
              </w:rPr>
              <w:t xml:space="preserve">0.91</w:t>
            </w:r>
          </w:p>
        </w:tc>
        <w:tc>
          <w:tcPr>
            <w:tcW w:type="dxa" w:w="1300"/>
            <w:shd w:fill="F2F2F2" w:val="clear"/>
            <w:tcMar>
              <w:top w:type="dxa" w:w="60"/>
              <w:left w:type="dxa" w:w="100"/>
              <w:bottom w:type="dxa" w:w="60"/>
              <w:right w:type="dxa" w:w="100"/>
            </w:tcMar>
            <w:vAlign w:val="center"/>
          </w:tcPr>
          <w:p>
            <w:r>
              <w:rPr>
                <w:sz w:val="19"/>
                <w:szCs w:val="19"/>
              </w:rPr>
              <w:t xml:space="preserve">0.91</w:t>
            </w:r>
          </w:p>
        </w:tc>
        <w:tc>
          <w:tcPr>
            <w:tcW w:type="dxa" w:w="1400"/>
            <w:shd w:fill="F2F2F2" w:val="clear"/>
            <w:tcMar>
              <w:top w:type="dxa" w:w="60"/>
              <w:left w:type="dxa" w:w="100"/>
              <w:bottom w:type="dxa" w:w="60"/>
              <w:right w:type="dxa" w:w="100"/>
            </w:tcMar>
            <w:vAlign w:val="center"/>
          </w:tcPr>
          <w:p>
            <w:r>
              <w:rPr>
                <w:sz w:val="19"/>
                <w:szCs w:val="19"/>
              </w:rPr>
              <w:t xml:space="preserve">0.91</w:t>
            </w:r>
          </w:p>
        </w:tc>
        <w:tc>
          <w:tcPr>
            <w:tcW w:type="dxa" w:w="1860"/>
            <w:shd w:fill="F2F2F2" w:val="clear"/>
            <w:tcMar>
              <w:top w:type="dxa" w:w="60"/>
              <w:left w:type="dxa" w:w="100"/>
              <w:bottom w:type="dxa" w:w="60"/>
              <w:right w:type="dxa" w:w="100"/>
            </w:tcMar>
            <w:vAlign w:val="center"/>
          </w:tcPr>
          <w:p>
            <w:r>
              <w:rPr>
                <w:sz w:val="19"/>
                <w:szCs w:val="19"/>
              </w:rPr>
              <w:t xml:space="preserve">2105</w:t>
            </w:r>
          </w:p>
        </w:tc>
      </w:tr>
      <w:tr>
        <w:tc>
          <w:tcPr>
            <w:tcW w:type="dxa" w:w="3300"/>
            <w:shd w:fill="FFFFFF" w:val="clear"/>
            <w:tcMar>
              <w:top w:type="dxa" w:w="60"/>
              <w:left w:type="dxa" w:w="100"/>
              <w:bottom w:type="dxa" w:w="60"/>
              <w:right w:type="dxa" w:w="100"/>
            </w:tcMar>
            <w:vAlign w:val="center"/>
          </w:tcPr>
          <w:p>
            <w:r>
              <w:rPr>
                <w:sz w:val="19"/>
                <w:szCs w:val="19"/>
              </w:rPr>
              <w:t xml:space="preserve">Weighted avg</w:t>
            </w:r>
          </w:p>
        </w:tc>
        <w:tc>
          <w:tcPr>
            <w:tcW w:type="dxa" w:w="1500"/>
            <w:shd w:fill="FFFFFF" w:val="clear"/>
            <w:tcMar>
              <w:top w:type="dxa" w:w="60"/>
              <w:left w:type="dxa" w:w="100"/>
              <w:bottom w:type="dxa" w:w="60"/>
              <w:right w:type="dxa" w:w="100"/>
            </w:tcMar>
            <w:vAlign w:val="center"/>
          </w:tcPr>
          <w:p>
            <w:r>
              <w:rPr>
                <w:sz w:val="19"/>
                <w:szCs w:val="19"/>
              </w:rPr>
              <w:t xml:space="preserve">0.94</w:t>
            </w:r>
          </w:p>
        </w:tc>
        <w:tc>
          <w:tcPr>
            <w:tcW w:type="dxa" w:w="1300"/>
            <w:shd w:fill="FFFFFF" w:val="clear"/>
            <w:tcMar>
              <w:top w:type="dxa" w:w="60"/>
              <w:left w:type="dxa" w:w="100"/>
              <w:bottom w:type="dxa" w:w="60"/>
              <w:right w:type="dxa" w:w="100"/>
            </w:tcMar>
            <w:vAlign w:val="center"/>
          </w:tcPr>
          <w:p>
            <w:r>
              <w:rPr>
                <w:sz w:val="19"/>
                <w:szCs w:val="19"/>
              </w:rPr>
              <w:t xml:space="preserve">0.94</w:t>
            </w:r>
          </w:p>
        </w:tc>
        <w:tc>
          <w:tcPr>
            <w:tcW w:type="dxa" w:w="1400"/>
            <w:shd w:fill="FFFFFF" w:val="clear"/>
            <w:tcMar>
              <w:top w:type="dxa" w:w="60"/>
              <w:left w:type="dxa" w:w="100"/>
              <w:bottom w:type="dxa" w:w="60"/>
              <w:right w:type="dxa" w:w="100"/>
            </w:tcMar>
            <w:vAlign w:val="center"/>
          </w:tcPr>
          <w:p>
            <w:r>
              <w:rPr>
                <w:sz w:val="19"/>
                <w:szCs w:val="19"/>
              </w:rPr>
              <w:t xml:space="preserve">0.94</w:t>
            </w:r>
          </w:p>
        </w:tc>
        <w:tc>
          <w:tcPr>
            <w:tcW w:type="dxa" w:w="1860"/>
            <w:shd w:fill="FFFFFF" w:val="clear"/>
            <w:tcMar>
              <w:top w:type="dxa" w:w="60"/>
              <w:left w:type="dxa" w:w="100"/>
              <w:bottom w:type="dxa" w:w="60"/>
              <w:right w:type="dxa" w:w="100"/>
            </w:tcMar>
            <w:vAlign w:val="center"/>
          </w:tcPr>
          <w:p>
            <w:r>
              <w:rPr>
                <w:sz w:val="19"/>
                <w:szCs w:val="19"/>
              </w:rPr>
              <w:t xml:space="preserve">2105</w:t>
            </w:r>
          </w:p>
        </w:tc>
      </w:tr>
    </w:tbl>
    <w:p>
      <w:pPr>
        <w:spacing w:after="200" w:line="300"/>
        <w:jc w:val="both"/>
      </w:pPr>
      <w:r>
        <w:rPr>
          <w:sz w:val="22"/>
          <w:szCs w:val="22"/>
        </w:rPr>
        <w:t xml:space="preserve">Interpretation: KNN performs consistently well across all six classes, with no single class suffering the kind of collapse observed for LinearSVC and Logistic Regression on the 'Unhealthy for Sensitive Groups' category (recall of 0.85 here, versus 0.07 and 0.27 for the linear models respectively). This confirms that the true decision boundaries between adjacent AQI categories are locally non-linear — a property that a non-parametric, neighborhood-based method like KNN can capture directly, even without an explicit model of the global decision surface. Its performance nonetheless remains below both ensemble tree methods, particularly for the Hazardous class (recall 0.82), reflecting the inherent limitation of distance-based voting when minority-class samples are sparsely represented in the training set.</w:t>
      </w:r>
    </w:p>
    <w:p>
      <w:pPr>
        <w:pStyle w:val="Heading2"/>
        <w:spacing w:after="180" w:before="360"/>
      </w:pPr>
      <w:r>
        <w:rPr>
          <w:b/>
          <w:bCs/>
          <w:color w:val="2E75B6"/>
          <w:sz w:val="26"/>
          <w:szCs w:val="26"/>
        </w:rPr>
        <w:t xml:space="preserve">11.6 Logistic Regression — Evaluation</w:t>
      </w:r>
    </w:p>
    <w:p>
      <w:pPr>
        <w:spacing w:after="200" w:line="300"/>
        <w:jc w:val="both"/>
      </w:pPr>
      <w:r>
        <w:rPr>
          <w:sz w:val="22"/>
          <w:szCs w:val="22"/>
        </w:rPr>
        <w:t xml:space="preserve">The Logistic Regression model achieved a test-set accuracy of 81.66%, the lowest among the five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300"/>
        <w:gridCol w:w="1400"/>
        <w:gridCol w:w="1860"/>
      </w:tblGrid>
      <w:tr>
        <w:trPr>
          <w:tblHeader/>
        </w:trPr>
        <w:tc>
          <w:tcPr>
            <w:tcW w:type="dxa" w:w="3300"/>
            <w:shd w:fill="1F3864" w:val="clear"/>
            <w:tcMar>
              <w:top w:type="dxa" w:w="80"/>
              <w:left w:type="dxa" w:w="100"/>
              <w:bottom w:type="dxa" w:w="80"/>
              <w:right w:type="dxa" w:w="100"/>
            </w:tcMar>
            <w:vAlign w:val="center"/>
          </w:tcPr>
          <w:p>
            <w:pPr>
              <w:jc w:val="left"/>
            </w:pPr>
            <w:r>
              <w:rPr>
                <w:b/>
                <w:bCs/>
                <w:color w:val="FFFFFF"/>
                <w:sz w:val="19"/>
                <w:szCs w:val="19"/>
              </w:rPr>
              <w:t xml:space="preserve">Class</w:t>
            </w:r>
          </w:p>
        </w:tc>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Precision</w:t>
            </w:r>
          </w:p>
        </w:tc>
        <w:tc>
          <w:tcPr>
            <w:tcW w:type="dxa" w:w="1300"/>
            <w:shd w:fill="1F3864" w:val="clear"/>
            <w:tcMar>
              <w:top w:type="dxa" w:w="80"/>
              <w:left w:type="dxa" w:w="100"/>
              <w:bottom w:type="dxa" w:w="80"/>
              <w:right w:type="dxa" w:w="100"/>
            </w:tcMar>
            <w:vAlign w:val="center"/>
          </w:tcPr>
          <w:p>
            <w:pPr>
              <w:jc w:val="left"/>
            </w:pPr>
            <w:r>
              <w:rPr>
                <w:b/>
                <w:bCs/>
                <w:color w:val="FFFFFF"/>
                <w:sz w:val="19"/>
                <w:szCs w:val="19"/>
              </w:rPr>
              <w:t xml:space="preserve">Recall</w:t>
            </w:r>
          </w:p>
        </w:tc>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F1-score</w:t>
            </w:r>
          </w:p>
        </w:tc>
        <w:tc>
          <w:tcPr>
            <w:tcW w:type="dxa" w:w="1860"/>
            <w:shd w:fill="1F3864" w:val="clear"/>
            <w:tcMar>
              <w:top w:type="dxa" w:w="80"/>
              <w:left w:type="dxa" w:w="100"/>
              <w:bottom w:type="dxa" w:w="80"/>
              <w:right w:type="dxa" w:w="100"/>
            </w:tcMar>
            <w:vAlign w:val="center"/>
          </w:tcPr>
          <w:p>
            <w:pPr>
              <w:jc w:val="left"/>
            </w:pPr>
            <w:r>
              <w:rPr>
                <w:b/>
                <w:bCs/>
                <w:color w:val="FFFFFF"/>
                <w:sz w:val="19"/>
                <w:szCs w:val="19"/>
              </w:rPr>
              <w:t xml:space="preserve">Support</w:t>
            </w:r>
          </w:p>
        </w:tc>
      </w:tr>
      <w:tr>
        <w:tc>
          <w:tcPr>
            <w:tcW w:type="dxa" w:w="3300"/>
            <w:shd w:fill="FFFFFF" w:val="clear"/>
            <w:tcMar>
              <w:top w:type="dxa" w:w="60"/>
              <w:left w:type="dxa" w:w="100"/>
              <w:bottom w:type="dxa" w:w="60"/>
              <w:right w:type="dxa" w:w="100"/>
            </w:tcMar>
            <w:vAlign w:val="center"/>
          </w:tcPr>
          <w:p>
            <w:r>
              <w:rPr>
                <w:sz w:val="19"/>
                <w:szCs w:val="19"/>
              </w:rPr>
              <w:t xml:space="preserve">Good</w:t>
            </w:r>
          </w:p>
        </w:tc>
        <w:tc>
          <w:tcPr>
            <w:tcW w:type="dxa" w:w="1500"/>
            <w:shd w:fill="FFFFFF" w:val="clear"/>
            <w:tcMar>
              <w:top w:type="dxa" w:w="60"/>
              <w:left w:type="dxa" w:w="100"/>
              <w:bottom w:type="dxa" w:w="60"/>
              <w:right w:type="dxa" w:w="100"/>
            </w:tcMar>
            <w:vAlign w:val="center"/>
          </w:tcPr>
          <w:p>
            <w:r>
              <w:rPr>
                <w:sz w:val="19"/>
                <w:szCs w:val="19"/>
              </w:rPr>
              <w:t xml:space="preserve">0.92</w:t>
            </w:r>
          </w:p>
        </w:tc>
        <w:tc>
          <w:tcPr>
            <w:tcW w:type="dxa" w:w="1300"/>
            <w:shd w:fill="FFFFFF" w:val="clear"/>
            <w:tcMar>
              <w:top w:type="dxa" w:w="60"/>
              <w:left w:type="dxa" w:w="100"/>
              <w:bottom w:type="dxa" w:w="60"/>
              <w:right w:type="dxa" w:w="100"/>
            </w:tcMar>
            <w:vAlign w:val="center"/>
          </w:tcPr>
          <w:p>
            <w:r>
              <w:rPr>
                <w:sz w:val="19"/>
                <w:szCs w:val="19"/>
              </w:rPr>
              <w:t xml:space="preserve">1.00</w:t>
            </w:r>
          </w:p>
        </w:tc>
        <w:tc>
          <w:tcPr>
            <w:tcW w:type="dxa" w:w="1400"/>
            <w:shd w:fill="FFFFFF" w:val="clear"/>
            <w:tcMar>
              <w:top w:type="dxa" w:w="60"/>
              <w:left w:type="dxa" w:w="100"/>
              <w:bottom w:type="dxa" w:w="60"/>
              <w:right w:type="dxa" w:w="100"/>
            </w:tcMar>
            <w:vAlign w:val="center"/>
          </w:tcPr>
          <w:p>
            <w:r>
              <w:rPr>
                <w:sz w:val="19"/>
                <w:szCs w:val="19"/>
              </w:rPr>
              <w:t xml:space="preserve">0.96</w:t>
            </w:r>
          </w:p>
        </w:tc>
        <w:tc>
          <w:tcPr>
            <w:tcW w:type="dxa" w:w="1860"/>
            <w:shd w:fill="FFFFFF" w:val="clear"/>
            <w:tcMar>
              <w:top w:type="dxa" w:w="60"/>
              <w:left w:type="dxa" w:w="100"/>
              <w:bottom w:type="dxa" w:w="60"/>
              <w:right w:type="dxa" w:w="100"/>
            </w:tcMar>
            <w:vAlign w:val="center"/>
          </w:tcPr>
          <w:p>
            <w:r>
              <w:rPr>
                <w:sz w:val="19"/>
                <w:szCs w:val="19"/>
              </w:rPr>
              <w:t xml:space="preserve">798</w:t>
            </w:r>
          </w:p>
        </w:tc>
      </w:tr>
      <w:tr>
        <w:tc>
          <w:tcPr>
            <w:tcW w:type="dxa" w:w="3300"/>
            <w:shd w:fill="F2F2F2" w:val="clear"/>
            <w:tcMar>
              <w:top w:type="dxa" w:w="60"/>
              <w:left w:type="dxa" w:w="100"/>
              <w:bottom w:type="dxa" w:w="60"/>
              <w:right w:type="dxa" w:w="100"/>
            </w:tcMar>
            <w:vAlign w:val="center"/>
          </w:tcPr>
          <w:p>
            <w:r>
              <w:rPr>
                <w:sz w:val="19"/>
                <w:szCs w:val="19"/>
              </w:rPr>
              <w:t xml:space="preserve">Hazardous</w:t>
            </w:r>
          </w:p>
        </w:tc>
        <w:tc>
          <w:tcPr>
            <w:tcW w:type="dxa" w:w="1500"/>
            <w:shd w:fill="F2F2F2" w:val="clear"/>
            <w:tcMar>
              <w:top w:type="dxa" w:w="60"/>
              <w:left w:type="dxa" w:w="100"/>
              <w:bottom w:type="dxa" w:w="60"/>
              <w:right w:type="dxa" w:w="100"/>
            </w:tcMar>
            <w:vAlign w:val="center"/>
          </w:tcPr>
          <w:p>
            <w:r>
              <w:rPr>
                <w:sz w:val="19"/>
                <w:szCs w:val="19"/>
              </w:rPr>
              <w:t xml:space="preserve">0.50</w:t>
            </w:r>
          </w:p>
        </w:tc>
        <w:tc>
          <w:tcPr>
            <w:tcW w:type="dxa" w:w="1300"/>
            <w:shd w:fill="F2F2F2" w:val="clear"/>
            <w:tcMar>
              <w:top w:type="dxa" w:w="60"/>
              <w:left w:type="dxa" w:w="100"/>
              <w:bottom w:type="dxa" w:w="60"/>
              <w:right w:type="dxa" w:w="100"/>
            </w:tcMar>
            <w:vAlign w:val="center"/>
          </w:tcPr>
          <w:p>
            <w:r>
              <w:rPr>
                <w:sz w:val="19"/>
                <w:szCs w:val="19"/>
              </w:rPr>
              <w:t xml:space="preserve">0.82</w:t>
            </w:r>
          </w:p>
        </w:tc>
        <w:tc>
          <w:tcPr>
            <w:tcW w:type="dxa" w:w="1400"/>
            <w:shd w:fill="F2F2F2" w:val="clear"/>
            <w:tcMar>
              <w:top w:type="dxa" w:w="60"/>
              <w:left w:type="dxa" w:w="100"/>
              <w:bottom w:type="dxa" w:w="60"/>
              <w:right w:type="dxa" w:w="100"/>
            </w:tcMar>
            <w:vAlign w:val="center"/>
          </w:tcPr>
          <w:p>
            <w:r>
              <w:rPr>
                <w:sz w:val="19"/>
                <w:szCs w:val="19"/>
              </w:rPr>
              <w:t xml:space="preserve">0.62</w:t>
            </w:r>
          </w:p>
        </w:tc>
        <w:tc>
          <w:tcPr>
            <w:tcW w:type="dxa" w:w="1860"/>
            <w:shd w:fill="F2F2F2" w:val="clear"/>
            <w:tcMar>
              <w:top w:type="dxa" w:w="60"/>
              <w:left w:type="dxa" w:w="100"/>
              <w:bottom w:type="dxa" w:w="60"/>
              <w:right w:type="dxa" w:w="100"/>
            </w:tcMar>
            <w:vAlign w:val="center"/>
          </w:tcPr>
          <w:p>
            <w:r>
              <w:rPr>
                <w:sz w:val="19"/>
                <w:szCs w:val="19"/>
              </w:rPr>
              <w:t xml:space="preserve">89</w:t>
            </w:r>
          </w:p>
        </w:tc>
      </w:tr>
      <w:tr>
        <w:tc>
          <w:tcPr>
            <w:tcW w:type="dxa" w:w="3300"/>
            <w:shd w:fill="FFFFFF" w:val="clear"/>
            <w:tcMar>
              <w:top w:type="dxa" w:w="60"/>
              <w:left w:type="dxa" w:w="100"/>
              <w:bottom w:type="dxa" w:w="60"/>
              <w:right w:type="dxa" w:w="100"/>
            </w:tcMar>
            <w:vAlign w:val="center"/>
          </w:tcPr>
          <w:p>
            <w:r>
              <w:rPr>
                <w:sz w:val="19"/>
                <w:szCs w:val="19"/>
              </w:rPr>
              <w:t xml:space="preserve">Moderate</w:t>
            </w:r>
          </w:p>
        </w:tc>
        <w:tc>
          <w:tcPr>
            <w:tcW w:type="dxa" w:w="1500"/>
            <w:shd w:fill="FFFFFF" w:val="clear"/>
            <w:tcMar>
              <w:top w:type="dxa" w:w="60"/>
              <w:left w:type="dxa" w:w="100"/>
              <w:bottom w:type="dxa" w:w="60"/>
              <w:right w:type="dxa" w:w="100"/>
            </w:tcMar>
            <w:vAlign w:val="center"/>
          </w:tcPr>
          <w:p>
            <w:r>
              <w:rPr>
                <w:sz w:val="19"/>
                <w:szCs w:val="19"/>
              </w:rPr>
              <w:t xml:space="preserve">0.66</w:t>
            </w:r>
          </w:p>
        </w:tc>
        <w:tc>
          <w:tcPr>
            <w:tcW w:type="dxa" w:w="1300"/>
            <w:shd w:fill="FFFFFF" w:val="clear"/>
            <w:tcMar>
              <w:top w:type="dxa" w:w="60"/>
              <w:left w:type="dxa" w:w="100"/>
              <w:bottom w:type="dxa" w:w="60"/>
              <w:right w:type="dxa" w:w="100"/>
            </w:tcMar>
            <w:vAlign w:val="center"/>
          </w:tcPr>
          <w:p>
            <w:r>
              <w:rPr>
                <w:sz w:val="19"/>
                <w:szCs w:val="19"/>
              </w:rPr>
              <w:t xml:space="preserve">0.72</w:t>
            </w:r>
          </w:p>
        </w:tc>
        <w:tc>
          <w:tcPr>
            <w:tcW w:type="dxa" w:w="1400"/>
            <w:shd w:fill="FFFFFF" w:val="clear"/>
            <w:tcMar>
              <w:top w:type="dxa" w:w="60"/>
              <w:left w:type="dxa" w:w="100"/>
              <w:bottom w:type="dxa" w:w="60"/>
              <w:right w:type="dxa" w:w="100"/>
            </w:tcMar>
            <w:vAlign w:val="center"/>
          </w:tcPr>
          <w:p>
            <w:r>
              <w:rPr>
                <w:sz w:val="19"/>
                <w:szCs w:val="19"/>
              </w:rPr>
              <w:t xml:space="preserve">0.69</w:t>
            </w:r>
          </w:p>
        </w:tc>
        <w:tc>
          <w:tcPr>
            <w:tcW w:type="dxa" w:w="1860"/>
            <w:shd w:fill="FFFFFF" w:val="clear"/>
            <w:tcMar>
              <w:top w:type="dxa" w:w="60"/>
              <w:left w:type="dxa" w:w="100"/>
              <w:bottom w:type="dxa" w:w="60"/>
              <w:right w:type="dxa" w:w="100"/>
            </w:tcMar>
            <w:vAlign w:val="center"/>
          </w:tcPr>
          <w:p>
            <w:r>
              <w:rPr>
                <w:sz w:val="19"/>
                <w:szCs w:val="19"/>
              </w:rPr>
              <w:t xml:space="preserve">345</w:t>
            </w:r>
          </w:p>
        </w:tc>
      </w:tr>
      <w:tr>
        <w:tc>
          <w:tcPr>
            <w:tcW w:type="dxa" w:w="3300"/>
            <w:shd w:fill="F2F2F2" w:val="clear"/>
            <w:tcMar>
              <w:top w:type="dxa" w:w="60"/>
              <w:left w:type="dxa" w:w="100"/>
              <w:bottom w:type="dxa" w:w="60"/>
              <w:right w:type="dxa" w:w="100"/>
            </w:tcMar>
            <w:vAlign w:val="center"/>
          </w:tcPr>
          <w:p>
            <w:r>
              <w:rPr>
                <w:sz w:val="19"/>
                <w:szCs w:val="19"/>
              </w:rPr>
              <w:t xml:space="preserve">Unhealthy</w:t>
            </w:r>
          </w:p>
        </w:tc>
        <w:tc>
          <w:tcPr>
            <w:tcW w:type="dxa" w:w="1500"/>
            <w:shd w:fill="F2F2F2" w:val="clear"/>
            <w:tcMar>
              <w:top w:type="dxa" w:w="60"/>
              <w:left w:type="dxa" w:w="100"/>
              <w:bottom w:type="dxa" w:w="60"/>
              <w:right w:type="dxa" w:w="100"/>
            </w:tcMar>
            <w:vAlign w:val="center"/>
          </w:tcPr>
          <w:p>
            <w:r>
              <w:rPr>
                <w:sz w:val="19"/>
                <w:szCs w:val="19"/>
              </w:rPr>
              <w:t xml:space="preserve">0.82</w:t>
            </w:r>
          </w:p>
        </w:tc>
        <w:tc>
          <w:tcPr>
            <w:tcW w:type="dxa" w:w="1300"/>
            <w:shd w:fill="F2F2F2" w:val="clear"/>
            <w:tcMar>
              <w:top w:type="dxa" w:w="60"/>
              <w:left w:type="dxa" w:w="100"/>
              <w:bottom w:type="dxa" w:w="60"/>
              <w:right w:type="dxa" w:w="100"/>
            </w:tcMar>
            <w:vAlign w:val="center"/>
          </w:tcPr>
          <w:p>
            <w:r>
              <w:rPr>
                <w:sz w:val="19"/>
                <w:szCs w:val="19"/>
              </w:rPr>
              <w:t xml:space="preserve">0.68</w:t>
            </w:r>
          </w:p>
        </w:tc>
        <w:tc>
          <w:tcPr>
            <w:tcW w:type="dxa" w:w="1400"/>
            <w:shd w:fill="F2F2F2" w:val="clear"/>
            <w:tcMar>
              <w:top w:type="dxa" w:w="60"/>
              <w:left w:type="dxa" w:w="100"/>
              <w:bottom w:type="dxa" w:w="60"/>
              <w:right w:type="dxa" w:w="100"/>
            </w:tcMar>
            <w:vAlign w:val="center"/>
          </w:tcPr>
          <w:p>
            <w:r>
              <w:rPr>
                <w:sz w:val="19"/>
                <w:szCs w:val="19"/>
              </w:rPr>
              <w:t xml:space="preserve">0.74</w:t>
            </w:r>
          </w:p>
        </w:tc>
        <w:tc>
          <w:tcPr>
            <w:tcW w:type="dxa" w:w="1860"/>
            <w:shd w:fill="F2F2F2" w:val="clear"/>
            <w:tcMar>
              <w:top w:type="dxa" w:w="60"/>
              <w:left w:type="dxa" w:w="100"/>
              <w:bottom w:type="dxa" w:w="60"/>
              <w:right w:type="dxa" w:w="100"/>
            </w:tcMar>
            <w:vAlign w:val="center"/>
          </w:tcPr>
          <w:p>
            <w:r>
              <w:rPr>
                <w:sz w:val="19"/>
                <w:szCs w:val="19"/>
              </w:rPr>
              <w:t xml:space="preserve">265</w:t>
            </w:r>
          </w:p>
        </w:tc>
      </w:tr>
      <w:tr>
        <w:tc>
          <w:tcPr>
            <w:tcW w:type="dxa" w:w="3300"/>
            <w:shd w:fill="FFFFFF" w:val="clear"/>
            <w:tcMar>
              <w:top w:type="dxa" w:w="60"/>
              <w:left w:type="dxa" w:w="100"/>
              <w:bottom w:type="dxa" w:w="60"/>
              <w:right w:type="dxa" w:w="100"/>
            </w:tcMar>
            <w:vAlign w:val="center"/>
          </w:tcPr>
          <w:p>
            <w:r>
              <w:rPr>
                <w:sz w:val="19"/>
                <w:szCs w:val="19"/>
              </w:rPr>
              <w:t xml:space="preserve">Unhealthy for Sensitive Groups</w:t>
            </w:r>
          </w:p>
        </w:tc>
        <w:tc>
          <w:tcPr>
            <w:tcW w:type="dxa" w:w="1500"/>
            <w:shd w:fill="FFFFFF" w:val="clear"/>
            <w:tcMar>
              <w:top w:type="dxa" w:w="60"/>
              <w:left w:type="dxa" w:w="100"/>
              <w:bottom w:type="dxa" w:w="60"/>
              <w:right w:type="dxa" w:w="100"/>
            </w:tcMar>
            <w:vAlign w:val="center"/>
          </w:tcPr>
          <w:p>
            <w:r>
              <w:rPr>
                <w:sz w:val="19"/>
                <w:szCs w:val="19"/>
              </w:rPr>
              <w:t xml:space="preserve">0.73</w:t>
            </w:r>
          </w:p>
        </w:tc>
        <w:tc>
          <w:tcPr>
            <w:tcW w:type="dxa" w:w="1300"/>
            <w:shd w:fill="FFFFFF" w:val="clear"/>
            <w:tcMar>
              <w:top w:type="dxa" w:w="60"/>
              <w:left w:type="dxa" w:w="100"/>
              <w:bottom w:type="dxa" w:w="60"/>
              <w:right w:type="dxa" w:w="100"/>
            </w:tcMar>
            <w:vAlign w:val="center"/>
          </w:tcPr>
          <w:p>
            <w:r>
              <w:rPr>
                <w:sz w:val="19"/>
                <w:szCs w:val="19"/>
              </w:rPr>
              <w:t xml:space="preserve">0.27</w:t>
            </w:r>
          </w:p>
        </w:tc>
        <w:tc>
          <w:tcPr>
            <w:tcW w:type="dxa" w:w="1400"/>
            <w:shd w:fill="FFFFFF" w:val="clear"/>
            <w:tcMar>
              <w:top w:type="dxa" w:w="60"/>
              <w:left w:type="dxa" w:w="100"/>
              <w:bottom w:type="dxa" w:w="60"/>
              <w:right w:type="dxa" w:w="100"/>
            </w:tcMar>
            <w:vAlign w:val="center"/>
          </w:tcPr>
          <w:p>
            <w:r>
              <w:rPr>
                <w:sz w:val="19"/>
                <w:szCs w:val="19"/>
              </w:rPr>
              <w:t xml:space="preserve">0.39</w:t>
            </w:r>
          </w:p>
        </w:tc>
        <w:tc>
          <w:tcPr>
            <w:tcW w:type="dxa" w:w="1860"/>
            <w:shd w:fill="FFFFFF" w:val="clear"/>
            <w:tcMar>
              <w:top w:type="dxa" w:w="60"/>
              <w:left w:type="dxa" w:w="100"/>
              <w:bottom w:type="dxa" w:w="60"/>
              <w:right w:type="dxa" w:w="100"/>
            </w:tcMar>
            <w:vAlign w:val="center"/>
          </w:tcPr>
          <w:p>
            <w:r>
              <w:rPr>
                <w:sz w:val="19"/>
                <w:szCs w:val="19"/>
              </w:rPr>
              <w:t xml:space="preserve">259</w:t>
            </w:r>
          </w:p>
        </w:tc>
      </w:tr>
      <w:tr>
        <w:tc>
          <w:tcPr>
            <w:tcW w:type="dxa" w:w="3300"/>
            <w:shd w:fill="F2F2F2" w:val="clear"/>
            <w:tcMar>
              <w:top w:type="dxa" w:w="60"/>
              <w:left w:type="dxa" w:w="100"/>
              <w:bottom w:type="dxa" w:w="60"/>
              <w:right w:type="dxa" w:w="100"/>
            </w:tcMar>
            <w:vAlign w:val="center"/>
          </w:tcPr>
          <w:p>
            <w:r>
              <w:rPr>
                <w:sz w:val="19"/>
                <w:szCs w:val="19"/>
              </w:rPr>
              <w:t xml:space="preserve">Very Unhealthy</w:t>
            </w:r>
          </w:p>
        </w:tc>
        <w:tc>
          <w:tcPr>
            <w:tcW w:type="dxa" w:w="1500"/>
            <w:shd w:fill="F2F2F2" w:val="clear"/>
            <w:tcMar>
              <w:top w:type="dxa" w:w="60"/>
              <w:left w:type="dxa" w:w="100"/>
              <w:bottom w:type="dxa" w:w="60"/>
              <w:right w:type="dxa" w:w="100"/>
            </w:tcMar>
            <w:vAlign w:val="center"/>
          </w:tcPr>
          <w:p>
            <w:r>
              <w:rPr>
                <w:sz w:val="19"/>
                <w:szCs w:val="19"/>
              </w:rPr>
              <w:t xml:space="preserve">0.88</w:t>
            </w:r>
          </w:p>
        </w:tc>
        <w:tc>
          <w:tcPr>
            <w:tcW w:type="dxa" w:w="1300"/>
            <w:shd w:fill="F2F2F2" w:val="clear"/>
            <w:tcMar>
              <w:top w:type="dxa" w:w="60"/>
              <w:left w:type="dxa" w:w="100"/>
              <w:bottom w:type="dxa" w:w="60"/>
              <w:right w:type="dxa" w:w="100"/>
            </w:tcMar>
            <w:vAlign w:val="center"/>
          </w:tcPr>
          <w:p>
            <w:r>
              <w:rPr>
                <w:sz w:val="19"/>
                <w:szCs w:val="19"/>
              </w:rPr>
              <w:t xml:space="preserve">1.00</w:t>
            </w:r>
          </w:p>
        </w:tc>
        <w:tc>
          <w:tcPr>
            <w:tcW w:type="dxa" w:w="1400"/>
            <w:shd w:fill="F2F2F2" w:val="clear"/>
            <w:tcMar>
              <w:top w:type="dxa" w:w="60"/>
              <w:left w:type="dxa" w:w="100"/>
              <w:bottom w:type="dxa" w:w="60"/>
              <w:right w:type="dxa" w:w="100"/>
            </w:tcMar>
            <w:vAlign w:val="center"/>
          </w:tcPr>
          <w:p>
            <w:r>
              <w:rPr>
                <w:sz w:val="19"/>
                <w:szCs w:val="19"/>
              </w:rPr>
              <w:t xml:space="preserve">0.93</w:t>
            </w:r>
          </w:p>
        </w:tc>
        <w:tc>
          <w:tcPr>
            <w:tcW w:type="dxa" w:w="1860"/>
            <w:shd w:fill="F2F2F2" w:val="clear"/>
            <w:tcMar>
              <w:top w:type="dxa" w:w="60"/>
              <w:left w:type="dxa" w:w="100"/>
              <w:bottom w:type="dxa" w:w="60"/>
              <w:right w:type="dxa" w:w="100"/>
            </w:tcMar>
            <w:vAlign w:val="center"/>
          </w:tcPr>
          <w:p>
            <w:r>
              <w:rPr>
                <w:sz w:val="19"/>
                <w:szCs w:val="19"/>
              </w:rPr>
              <w:t xml:space="preserve">349</w:t>
            </w:r>
          </w:p>
        </w:tc>
      </w:tr>
      <w:tr>
        <w:tc>
          <w:tcPr>
            <w:tcW w:type="dxa" w:w="3300"/>
            <w:shd w:fill="FFFFFF" w:val="clear"/>
            <w:tcMar>
              <w:top w:type="dxa" w:w="60"/>
              <w:left w:type="dxa" w:w="100"/>
              <w:bottom w:type="dxa" w:w="60"/>
              <w:right w:type="dxa" w:w="100"/>
            </w:tcMar>
            <w:vAlign w:val="center"/>
          </w:tcPr>
          <w:p>
            <w:r>
              <w:rPr>
                <w:sz w:val="19"/>
                <w:szCs w:val="19"/>
              </w:rPr>
              <w:t xml:space="preserve">Accuracy</w:t>
            </w:r>
          </w:p>
        </w:tc>
        <w:tc>
          <w:tcPr>
            <w:tcW w:type="dxa" w:w="1500"/>
            <w:shd w:fill="FFFFFF" w:val="clear"/>
            <w:tcMar>
              <w:top w:type="dxa" w:w="60"/>
              <w:left w:type="dxa" w:w="100"/>
              <w:bottom w:type="dxa" w:w="60"/>
              <w:right w:type="dxa" w:w="100"/>
            </w:tcMar>
            <w:vAlign w:val="center"/>
          </w:tcPr>
          <w:p>
            <w:r>
              <w:rPr>
                <w:sz w:val="19"/>
                <w:szCs w:val="19"/>
              </w:rPr>
              <w:t xml:space="preserve"/>
            </w:r>
          </w:p>
        </w:tc>
        <w:tc>
          <w:tcPr>
            <w:tcW w:type="dxa" w:w="1300"/>
            <w:shd w:fill="FFFFFF" w:val="clear"/>
            <w:tcMar>
              <w:top w:type="dxa" w:w="60"/>
              <w:left w:type="dxa" w:w="100"/>
              <w:bottom w:type="dxa" w:w="60"/>
              <w:right w:type="dxa" w:w="100"/>
            </w:tcMar>
            <w:vAlign w:val="center"/>
          </w:tcPr>
          <w:p>
            <w:r>
              <w:rPr>
                <w:sz w:val="19"/>
                <w:szCs w:val="19"/>
              </w:rPr>
              <w:t xml:space="preserve"/>
            </w:r>
          </w:p>
        </w:tc>
        <w:tc>
          <w:tcPr>
            <w:tcW w:type="dxa" w:w="1400"/>
            <w:shd w:fill="FFFFFF" w:val="clear"/>
            <w:tcMar>
              <w:top w:type="dxa" w:w="60"/>
              <w:left w:type="dxa" w:w="100"/>
              <w:bottom w:type="dxa" w:w="60"/>
              <w:right w:type="dxa" w:w="100"/>
            </w:tcMar>
            <w:vAlign w:val="center"/>
          </w:tcPr>
          <w:p>
            <w:r>
              <w:rPr>
                <w:sz w:val="19"/>
                <w:szCs w:val="19"/>
              </w:rPr>
              <w:t xml:space="preserve">0.82</w:t>
            </w:r>
          </w:p>
        </w:tc>
        <w:tc>
          <w:tcPr>
            <w:tcW w:type="dxa" w:w="1860"/>
            <w:shd w:fill="FFFFFF" w:val="clear"/>
            <w:tcMar>
              <w:top w:type="dxa" w:w="60"/>
              <w:left w:type="dxa" w:w="100"/>
              <w:bottom w:type="dxa" w:w="60"/>
              <w:right w:type="dxa" w:w="100"/>
            </w:tcMar>
            <w:vAlign w:val="center"/>
          </w:tcPr>
          <w:p>
            <w:r>
              <w:rPr>
                <w:sz w:val="19"/>
                <w:szCs w:val="19"/>
              </w:rPr>
              <w:t xml:space="preserve">2105</w:t>
            </w:r>
          </w:p>
        </w:tc>
      </w:tr>
      <w:tr>
        <w:tc>
          <w:tcPr>
            <w:tcW w:type="dxa" w:w="3300"/>
            <w:shd w:fill="F2F2F2" w:val="clear"/>
            <w:tcMar>
              <w:top w:type="dxa" w:w="60"/>
              <w:left w:type="dxa" w:w="100"/>
              <w:bottom w:type="dxa" w:w="60"/>
              <w:right w:type="dxa" w:w="100"/>
            </w:tcMar>
            <w:vAlign w:val="center"/>
          </w:tcPr>
          <w:p>
            <w:r>
              <w:rPr>
                <w:sz w:val="19"/>
                <w:szCs w:val="19"/>
              </w:rPr>
              <w:t xml:space="preserve">Macro avg</w:t>
            </w:r>
          </w:p>
        </w:tc>
        <w:tc>
          <w:tcPr>
            <w:tcW w:type="dxa" w:w="1500"/>
            <w:shd w:fill="F2F2F2" w:val="clear"/>
            <w:tcMar>
              <w:top w:type="dxa" w:w="60"/>
              <w:left w:type="dxa" w:w="100"/>
              <w:bottom w:type="dxa" w:w="60"/>
              <w:right w:type="dxa" w:w="100"/>
            </w:tcMar>
            <w:vAlign w:val="center"/>
          </w:tcPr>
          <w:p>
            <w:r>
              <w:rPr>
                <w:sz w:val="19"/>
                <w:szCs w:val="19"/>
              </w:rPr>
              <w:t xml:space="preserve">0.75</w:t>
            </w:r>
          </w:p>
        </w:tc>
        <w:tc>
          <w:tcPr>
            <w:tcW w:type="dxa" w:w="1300"/>
            <w:shd w:fill="F2F2F2" w:val="clear"/>
            <w:tcMar>
              <w:top w:type="dxa" w:w="60"/>
              <w:left w:type="dxa" w:w="100"/>
              <w:bottom w:type="dxa" w:w="60"/>
              <w:right w:type="dxa" w:w="100"/>
            </w:tcMar>
            <w:vAlign w:val="center"/>
          </w:tcPr>
          <w:p>
            <w:r>
              <w:rPr>
                <w:sz w:val="19"/>
                <w:szCs w:val="19"/>
              </w:rPr>
              <w:t xml:space="preserve">0.75</w:t>
            </w:r>
          </w:p>
        </w:tc>
        <w:tc>
          <w:tcPr>
            <w:tcW w:type="dxa" w:w="1400"/>
            <w:shd w:fill="F2F2F2" w:val="clear"/>
            <w:tcMar>
              <w:top w:type="dxa" w:w="60"/>
              <w:left w:type="dxa" w:w="100"/>
              <w:bottom w:type="dxa" w:w="60"/>
              <w:right w:type="dxa" w:w="100"/>
            </w:tcMar>
            <w:vAlign w:val="center"/>
          </w:tcPr>
          <w:p>
            <w:r>
              <w:rPr>
                <w:sz w:val="19"/>
                <w:szCs w:val="19"/>
              </w:rPr>
              <w:t xml:space="preserve">0.72</w:t>
            </w:r>
          </w:p>
        </w:tc>
        <w:tc>
          <w:tcPr>
            <w:tcW w:type="dxa" w:w="1860"/>
            <w:shd w:fill="F2F2F2" w:val="clear"/>
            <w:tcMar>
              <w:top w:type="dxa" w:w="60"/>
              <w:left w:type="dxa" w:w="100"/>
              <w:bottom w:type="dxa" w:w="60"/>
              <w:right w:type="dxa" w:w="100"/>
            </w:tcMar>
            <w:vAlign w:val="center"/>
          </w:tcPr>
          <w:p>
            <w:r>
              <w:rPr>
                <w:sz w:val="19"/>
                <w:szCs w:val="19"/>
              </w:rPr>
              <w:t xml:space="preserve">2105</w:t>
            </w:r>
          </w:p>
        </w:tc>
      </w:tr>
      <w:tr>
        <w:tc>
          <w:tcPr>
            <w:tcW w:type="dxa" w:w="3300"/>
            <w:shd w:fill="FFFFFF" w:val="clear"/>
            <w:tcMar>
              <w:top w:type="dxa" w:w="60"/>
              <w:left w:type="dxa" w:w="100"/>
              <w:bottom w:type="dxa" w:w="60"/>
              <w:right w:type="dxa" w:w="100"/>
            </w:tcMar>
            <w:vAlign w:val="center"/>
          </w:tcPr>
          <w:p>
            <w:r>
              <w:rPr>
                <w:sz w:val="19"/>
                <w:szCs w:val="19"/>
              </w:rPr>
              <w:t xml:space="preserve">Weighted avg</w:t>
            </w:r>
          </w:p>
        </w:tc>
        <w:tc>
          <w:tcPr>
            <w:tcW w:type="dxa" w:w="1500"/>
            <w:shd w:fill="FFFFFF" w:val="clear"/>
            <w:tcMar>
              <w:top w:type="dxa" w:w="60"/>
              <w:left w:type="dxa" w:w="100"/>
              <w:bottom w:type="dxa" w:w="60"/>
              <w:right w:type="dxa" w:w="100"/>
            </w:tcMar>
            <w:vAlign w:val="center"/>
          </w:tcPr>
          <w:p>
            <w:r>
              <w:rPr>
                <w:sz w:val="19"/>
                <w:szCs w:val="19"/>
              </w:rPr>
              <w:t xml:space="preserve">0.82</w:t>
            </w:r>
          </w:p>
        </w:tc>
        <w:tc>
          <w:tcPr>
            <w:tcW w:type="dxa" w:w="1300"/>
            <w:shd w:fill="FFFFFF" w:val="clear"/>
            <w:tcMar>
              <w:top w:type="dxa" w:w="60"/>
              <w:left w:type="dxa" w:w="100"/>
              <w:bottom w:type="dxa" w:w="60"/>
              <w:right w:type="dxa" w:w="100"/>
            </w:tcMar>
            <w:vAlign w:val="center"/>
          </w:tcPr>
          <w:p>
            <w:r>
              <w:rPr>
                <w:sz w:val="19"/>
                <w:szCs w:val="19"/>
              </w:rPr>
              <w:t xml:space="preserve">0.82</w:t>
            </w:r>
          </w:p>
        </w:tc>
        <w:tc>
          <w:tcPr>
            <w:tcW w:type="dxa" w:w="1400"/>
            <w:shd w:fill="FFFFFF" w:val="clear"/>
            <w:tcMar>
              <w:top w:type="dxa" w:w="60"/>
              <w:left w:type="dxa" w:w="100"/>
              <w:bottom w:type="dxa" w:w="60"/>
              <w:right w:type="dxa" w:w="100"/>
            </w:tcMar>
            <w:vAlign w:val="center"/>
          </w:tcPr>
          <w:p>
            <w:r>
              <w:rPr>
                <w:sz w:val="19"/>
                <w:szCs w:val="19"/>
              </w:rPr>
              <w:t xml:space="preserve">0.80</w:t>
            </w:r>
          </w:p>
        </w:tc>
        <w:tc>
          <w:tcPr>
            <w:tcW w:type="dxa" w:w="1860"/>
            <w:shd w:fill="FFFFFF" w:val="clear"/>
            <w:tcMar>
              <w:top w:type="dxa" w:w="60"/>
              <w:left w:type="dxa" w:w="100"/>
              <w:bottom w:type="dxa" w:w="60"/>
              <w:right w:type="dxa" w:w="100"/>
            </w:tcMar>
            <w:vAlign w:val="center"/>
          </w:tcPr>
          <w:p>
            <w:r>
              <w:rPr>
                <w:sz w:val="19"/>
                <w:szCs w:val="19"/>
              </w:rPr>
              <w:t xml:space="preserve">2105</w:t>
            </w:r>
          </w:p>
        </w:tc>
      </w:tr>
    </w:tbl>
    <w:p>
      <w:pPr>
        <w:spacing w:after="200" w:line="300"/>
        <w:jc w:val="both"/>
      </w:pPr>
      <w:r>
        <w:rPr>
          <w:sz w:val="22"/>
          <w:szCs w:val="22"/>
        </w:rPr>
        <w:t xml:space="preserve">Interpretation: as with LinearSVC, Logistic Regression exhibits its most significant weakness on the 'Unhealthy for Sensitive Groups' class (recall 0.27), reinforcing the conclusion that this particular category is the hardest to separate using a linear decision boundary, likely because it occupies a narrow numerical AQI sub-range (101–150) sandwiched between two other classes with which its feature distributions substantially overlap.</w:t>
      </w:r>
    </w:p>
    <w:p>
      <w:pPr>
        <w:pStyle w:val="Heading2"/>
        <w:spacing w:after="180" w:before="360"/>
      </w:pPr>
      <w:r>
        <w:rPr>
          <w:b/>
          <w:bCs/>
          <w:color w:val="2E75B6"/>
          <w:sz w:val="26"/>
          <w:szCs w:val="26"/>
        </w:rPr>
        <w:t xml:space="preserve">11.7 Cross-Validation of the Best Model</w:t>
      </w:r>
    </w:p>
    <w:p>
      <w:pPr>
        <w:spacing w:after="200" w:line="300"/>
        <w:jc w:val="both"/>
      </w:pPr>
      <w:r>
        <w:rPr>
          <w:sz w:val="22"/>
          <w:szCs w:val="22"/>
        </w:rPr>
        <w:t xml:space="preserve">To validate that the Gradient Boosting Classifier's outstanding test-set performance was not an artifact of a particularly favorable train/test split, the notebook performs 5-fold Stratified Cross-Validation (StratifiedKFold(n_splits=5, shuffle=True, random_state=42)) using cross_val_score, evaluating the model across five independent train/validation partitions of the entire dataset (X, y).</w:t>
      </w:r>
    </w:p>
    <w:p>
      <w:pPr>
        <w:spacing w:after="200" w:line="300"/>
        <w:jc w:val="both"/>
      </w:pPr>
      <w:r>
        <w:rPr>
          <w:sz w:val="22"/>
          <w:szCs w:val="22"/>
        </w:rPr>
        <w:t xml:space="preserve">The cross-validated accuracy scores obtained were [1.0, 1.0, 1.0, 1.0, 1.0], yielding a mean cross-validated accuracy of 1.0000 with a standard deviation of 0.0000. This result — perfect accuracy across every one of the five folds — provides strong confirmatory evidence that the exceptionally high performance of the Gradient Boosting model on the single held-out test set was not a statistical fluke tied to one particular data split, but rather a consistent, reproducible property of the model on this dataset. At the same time, this near-perfect result also invites a candid methodological observation, discussed further in Section 12: it suggests that the AQI_Bucket target may be highly, near-deterministically recoverable from the retained pollutant features (particularly pollutant_avg, pollutant_min, and pollutant_max) given the fixed CPCB category boundaries, meaning the classification task — while an excellent pedagogical demonstration of the ML pipeline — is somewhat less difficult than a genuinely noisy real-world prediction problem might be.</w:t>
      </w:r>
    </w:p>
    <w:p>
      <w:pPr>
        <w:pStyle w:val="Heading1"/>
        <w:pBdr>
          <w:bottom w:val="single" w:color="1F3864" w:sz="8" w:space="4"/>
        </w:pBdr>
        <w:spacing w:after="240" w:before="480"/>
      </w:pPr>
      <w:r>
        <w:rPr>
          <w:b/>
          <w:bCs/>
          <w:color w:val="1F3864"/>
          <w:sz w:val="32"/>
          <w:szCs w:val="32"/>
        </w:rPr>
        <w:t xml:space="preserve">12. Results and Discussion</w:t>
      </w:r>
    </w:p>
    <w:p>
      <w:pPr>
        <w:pStyle w:val="Heading2"/>
        <w:spacing w:after="180" w:before="360"/>
      </w:pPr>
      <w:r>
        <w:rPr>
          <w:b/>
          <w:bCs/>
          <w:color w:val="2E75B6"/>
          <w:sz w:val="26"/>
          <w:szCs w:val="26"/>
        </w:rPr>
        <w:t xml:space="preserve">12.1 Overall Model Comparison</w:t>
      </w:r>
    </w:p>
    <w:p>
      <w:pPr>
        <w:spacing w:after="200" w:line="300"/>
        <w:jc w:val="both"/>
      </w:pPr>
      <w:r>
        <w:rPr>
          <w:sz w:val="22"/>
          <w:szCs w:val="22"/>
        </w:rPr>
        <w:t xml:space="preserve">The table and chart below consolidate the test-set accuracy achieved by each of the five trained models, ranked from highest to lowest, exactly as compiled in the notebook's model comparison step.</w:t>
      </w:r>
    </w:p>
    <w:p>
      <w:pPr>
        <w:spacing w:after="8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71800"/>
                    </a:xfrm>
                    <a:prstGeom prst="rect">
                      <a:avLst/>
                    </a:prstGeom>
                  </pic:spPr>
                </pic:pic>
              </a:graphicData>
            </a:graphic>
          </wp:inline>
        </w:drawing>
      </w:r>
    </w:p>
    <w:p>
      <w:pPr>
        <w:spacing w:after="260" w:before="80"/>
        <w:jc w:val="center"/>
      </w:pPr>
      <w:r>
        <w:rPr>
          <w:i/>
          <w:iCs/>
          <w:color w:val="595959"/>
          <w:sz w:val="19"/>
          <w:szCs w:val="19"/>
        </w:rPr>
        <w:t xml:space="preserve">Figure 3. Test-set accuracy comparison across all five trained classifiers.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260"/>
      </w:tblGrid>
      <w:tr>
        <w:trPr>
          <w:tblHeader/>
        </w:trPr>
        <w:tc>
          <w:tcPr>
            <w:tcW w:type="dxa" w:w="1200"/>
            <w:shd w:fill="1F3864" w:val="clear"/>
            <w:tcMar>
              <w:top w:type="dxa" w:w="80"/>
              <w:left w:type="dxa" w:w="100"/>
              <w:bottom w:type="dxa" w:w="80"/>
              <w:right w:type="dxa" w:w="100"/>
            </w:tcMar>
            <w:vAlign w:val="center"/>
          </w:tcPr>
          <w:p>
            <w:pPr>
              <w:jc w:val="left"/>
            </w:pPr>
            <w:r>
              <w:rPr>
                <w:b/>
                <w:bCs/>
                <w:color w:val="FFFFFF"/>
                <w:sz w:val="19"/>
                <w:szCs w:val="19"/>
              </w:rPr>
              <w:t xml:space="preserve">Rank</w:t>
            </w:r>
          </w:p>
        </w:tc>
        <w:tc>
          <w:tcPr>
            <w:tcW w:type="dxa" w:w="4800"/>
            <w:shd w:fill="1F3864" w:val="clear"/>
            <w:tcMar>
              <w:top w:type="dxa" w:w="80"/>
              <w:left w:type="dxa" w:w="100"/>
              <w:bottom w:type="dxa" w:w="80"/>
              <w:right w:type="dxa" w:w="100"/>
            </w:tcMar>
            <w:vAlign w:val="center"/>
          </w:tcPr>
          <w:p>
            <w:pPr>
              <w:jc w:val="left"/>
            </w:pPr>
            <w:r>
              <w:rPr>
                <w:b/>
                <w:bCs/>
                <w:color w:val="FFFFFF"/>
                <w:sz w:val="19"/>
                <w:szCs w:val="19"/>
              </w:rPr>
              <w:t xml:space="preserve">Model</w:t>
            </w:r>
          </w:p>
        </w:tc>
        <w:tc>
          <w:tcPr>
            <w:tcW w:type="dxa" w:w="3260"/>
            <w:shd w:fill="1F3864" w:val="clear"/>
            <w:tcMar>
              <w:top w:type="dxa" w:w="80"/>
              <w:left w:type="dxa" w:w="100"/>
              <w:bottom w:type="dxa" w:w="80"/>
              <w:right w:type="dxa" w:w="100"/>
            </w:tcMar>
            <w:vAlign w:val="center"/>
          </w:tcPr>
          <w:p>
            <w:pPr>
              <w:jc w:val="left"/>
            </w:pPr>
            <w:r>
              <w:rPr>
                <w:b/>
                <w:bCs/>
                <w:color w:val="FFFFFF"/>
                <w:sz w:val="19"/>
                <w:szCs w:val="19"/>
              </w:rPr>
              <w:t xml:space="preserve">Test Accuracy</w:t>
            </w:r>
          </w:p>
        </w:tc>
      </w:tr>
      <w:tr>
        <w:tc>
          <w:tcPr>
            <w:tcW w:type="dxa" w:w="1200"/>
            <w:shd w:fill="FFFFFF" w:val="clear"/>
            <w:tcMar>
              <w:top w:type="dxa" w:w="60"/>
              <w:left w:type="dxa" w:w="100"/>
              <w:bottom w:type="dxa" w:w="60"/>
              <w:right w:type="dxa" w:w="100"/>
            </w:tcMar>
            <w:vAlign w:val="center"/>
          </w:tcPr>
          <w:p>
            <w:r>
              <w:rPr>
                <w:sz w:val="19"/>
                <w:szCs w:val="19"/>
              </w:rPr>
              <w:t xml:space="preserve">1</w:t>
            </w:r>
          </w:p>
        </w:tc>
        <w:tc>
          <w:tcPr>
            <w:tcW w:type="dxa" w:w="4800"/>
            <w:shd w:fill="FFFFFF" w:val="clear"/>
            <w:tcMar>
              <w:top w:type="dxa" w:w="60"/>
              <w:left w:type="dxa" w:w="100"/>
              <w:bottom w:type="dxa" w:w="60"/>
              <w:right w:type="dxa" w:w="100"/>
            </w:tcMar>
            <w:vAlign w:val="center"/>
          </w:tcPr>
          <w:p>
            <w:r>
              <w:rPr>
                <w:sz w:val="19"/>
                <w:szCs w:val="19"/>
              </w:rPr>
              <w:t xml:space="preserve">Gradient Boosting Classifier</w:t>
            </w:r>
          </w:p>
        </w:tc>
        <w:tc>
          <w:tcPr>
            <w:tcW w:type="dxa" w:w="3260"/>
            <w:shd w:fill="FFFFFF" w:val="clear"/>
            <w:tcMar>
              <w:top w:type="dxa" w:w="60"/>
              <w:left w:type="dxa" w:w="100"/>
              <w:bottom w:type="dxa" w:w="60"/>
              <w:right w:type="dxa" w:w="100"/>
            </w:tcMar>
            <w:vAlign w:val="center"/>
          </w:tcPr>
          <w:p>
            <w:r>
              <w:rPr>
                <w:sz w:val="19"/>
                <w:szCs w:val="19"/>
              </w:rPr>
              <w:t xml:space="preserve">99.90%</w:t>
            </w:r>
          </w:p>
        </w:tc>
      </w:tr>
      <w:tr>
        <w:tc>
          <w:tcPr>
            <w:tcW w:type="dxa" w:w="1200"/>
            <w:shd w:fill="F2F2F2" w:val="clear"/>
            <w:tcMar>
              <w:top w:type="dxa" w:w="60"/>
              <w:left w:type="dxa" w:w="100"/>
              <w:bottom w:type="dxa" w:w="60"/>
              <w:right w:type="dxa" w:w="100"/>
            </w:tcMar>
            <w:vAlign w:val="center"/>
          </w:tcPr>
          <w:p>
            <w:r>
              <w:rPr>
                <w:sz w:val="19"/>
                <w:szCs w:val="19"/>
              </w:rPr>
              <w:t xml:space="preserve">2</w:t>
            </w:r>
          </w:p>
        </w:tc>
        <w:tc>
          <w:tcPr>
            <w:tcW w:type="dxa" w:w="4800"/>
            <w:shd w:fill="F2F2F2" w:val="clear"/>
            <w:tcMar>
              <w:top w:type="dxa" w:w="60"/>
              <w:left w:type="dxa" w:w="100"/>
              <w:bottom w:type="dxa" w:w="60"/>
              <w:right w:type="dxa" w:w="100"/>
            </w:tcMar>
            <w:vAlign w:val="center"/>
          </w:tcPr>
          <w:p>
            <w:r>
              <w:rPr>
                <w:sz w:val="19"/>
                <w:szCs w:val="19"/>
              </w:rPr>
              <w:t xml:space="preserve">Random Forest Classifier</w:t>
            </w:r>
          </w:p>
        </w:tc>
        <w:tc>
          <w:tcPr>
            <w:tcW w:type="dxa" w:w="3260"/>
            <w:shd w:fill="F2F2F2" w:val="clear"/>
            <w:tcMar>
              <w:top w:type="dxa" w:w="60"/>
              <w:left w:type="dxa" w:w="100"/>
              <w:bottom w:type="dxa" w:w="60"/>
              <w:right w:type="dxa" w:w="100"/>
            </w:tcMar>
            <w:vAlign w:val="center"/>
          </w:tcPr>
          <w:p>
            <w:r>
              <w:rPr>
                <w:sz w:val="19"/>
                <w:szCs w:val="19"/>
              </w:rPr>
              <w:t xml:space="preserve">99.14%</w:t>
            </w:r>
          </w:p>
        </w:tc>
      </w:tr>
      <w:tr>
        <w:tc>
          <w:tcPr>
            <w:tcW w:type="dxa" w:w="1200"/>
            <w:shd w:fill="FFFFFF" w:val="clear"/>
            <w:tcMar>
              <w:top w:type="dxa" w:w="60"/>
              <w:left w:type="dxa" w:w="100"/>
              <w:bottom w:type="dxa" w:w="60"/>
              <w:right w:type="dxa" w:w="100"/>
            </w:tcMar>
            <w:vAlign w:val="center"/>
          </w:tcPr>
          <w:p>
            <w:r>
              <w:rPr>
                <w:sz w:val="19"/>
                <w:szCs w:val="19"/>
              </w:rPr>
              <w:t xml:space="preserve">3</w:t>
            </w:r>
          </w:p>
        </w:tc>
        <w:tc>
          <w:tcPr>
            <w:tcW w:type="dxa" w:w="4800"/>
            <w:shd w:fill="FFFFFF" w:val="clear"/>
            <w:tcMar>
              <w:top w:type="dxa" w:w="60"/>
              <w:left w:type="dxa" w:w="100"/>
              <w:bottom w:type="dxa" w:w="60"/>
              <w:right w:type="dxa" w:w="100"/>
            </w:tcMar>
            <w:vAlign w:val="center"/>
          </w:tcPr>
          <w:p>
            <w:r>
              <w:rPr>
                <w:sz w:val="19"/>
                <w:szCs w:val="19"/>
              </w:rPr>
              <w:t xml:space="preserve">K-Nearest Neighbors</w:t>
            </w:r>
          </w:p>
        </w:tc>
        <w:tc>
          <w:tcPr>
            <w:tcW w:type="dxa" w:w="3260"/>
            <w:shd w:fill="FFFFFF" w:val="clear"/>
            <w:tcMar>
              <w:top w:type="dxa" w:w="60"/>
              <w:left w:type="dxa" w:w="100"/>
              <w:bottom w:type="dxa" w:w="60"/>
              <w:right w:type="dxa" w:w="100"/>
            </w:tcMar>
            <w:vAlign w:val="center"/>
          </w:tcPr>
          <w:p>
            <w:r>
              <w:rPr>
                <w:sz w:val="19"/>
                <w:szCs w:val="19"/>
              </w:rPr>
              <w:t xml:space="preserve">93.73%</w:t>
            </w:r>
          </w:p>
        </w:tc>
      </w:tr>
      <w:tr>
        <w:tc>
          <w:tcPr>
            <w:tcW w:type="dxa" w:w="1200"/>
            <w:shd w:fill="F2F2F2" w:val="clear"/>
            <w:tcMar>
              <w:top w:type="dxa" w:w="60"/>
              <w:left w:type="dxa" w:w="100"/>
              <w:bottom w:type="dxa" w:w="60"/>
              <w:right w:type="dxa" w:w="100"/>
            </w:tcMar>
            <w:vAlign w:val="center"/>
          </w:tcPr>
          <w:p>
            <w:r>
              <w:rPr>
                <w:sz w:val="19"/>
                <w:szCs w:val="19"/>
              </w:rPr>
              <w:t xml:space="preserve">4</w:t>
            </w:r>
          </w:p>
        </w:tc>
        <w:tc>
          <w:tcPr>
            <w:tcW w:type="dxa" w:w="4800"/>
            <w:shd w:fill="F2F2F2" w:val="clear"/>
            <w:tcMar>
              <w:top w:type="dxa" w:w="60"/>
              <w:left w:type="dxa" w:w="100"/>
              <w:bottom w:type="dxa" w:w="60"/>
              <w:right w:type="dxa" w:w="100"/>
            </w:tcMar>
            <w:vAlign w:val="center"/>
          </w:tcPr>
          <w:p>
            <w:r>
              <w:rPr>
                <w:sz w:val="19"/>
                <w:szCs w:val="19"/>
              </w:rPr>
              <w:t xml:space="preserve">LinearSVC</w:t>
            </w:r>
          </w:p>
        </w:tc>
        <w:tc>
          <w:tcPr>
            <w:tcW w:type="dxa" w:w="3260"/>
            <w:shd w:fill="F2F2F2" w:val="clear"/>
            <w:tcMar>
              <w:top w:type="dxa" w:w="60"/>
              <w:left w:type="dxa" w:w="100"/>
              <w:bottom w:type="dxa" w:w="60"/>
              <w:right w:type="dxa" w:w="100"/>
            </w:tcMar>
            <w:vAlign w:val="center"/>
          </w:tcPr>
          <w:p>
            <w:r>
              <w:rPr>
                <w:sz w:val="19"/>
                <w:szCs w:val="19"/>
              </w:rPr>
              <w:t xml:space="preserve">81.81%</w:t>
            </w:r>
          </w:p>
        </w:tc>
      </w:tr>
      <w:tr>
        <w:tc>
          <w:tcPr>
            <w:tcW w:type="dxa" w:w="1200"/>
            <w:shd w:fill="FFFFFF" w:val="clear"/>
            <w:tcMar>
              <w:top w:type="dxa" w:w="60"/>
              <w:left w:type="dxa" w:w="100"/>
              <w:bottom w:type="dxa" w:w="60"/>
              <w:right w:type="dxa" w:w="100"/>
            </w:tcMar>
            <w:vAlign w:val="center"/>
          </w:tcPr>
          <w:p>
            <w:r>
              <w:rPr>
                <w:sz w:val="19"/>
                <w:szCs w:val="19"/>
              </w:rPr>
              <w:t xml:space="preserve">5</w:t>
            </w:r>
          </w:p>
        </w:tc>
        <w:tc>
          <w:tcPr>
            <w:tcW w:type="dxa" w:w="4800"/>
            <w:shd w:fill="FFFFFF" w:val="clear"/>
            <w:tcMar>
              <w:top w:type="dxa" w:w="60"/>
              <w:left w:type="dxa" w:w="100"/>
              <w:bottom w:type="dxa" w:w="60"/>
              <w:right w:type="dxa" w:w="100"/>
            </w:tcMar>
            <w:vAlign w:val="center"/>
          </w:tcPr>
          <w:p>
            <w:r>
              <w:rPr>
                <w:sz w:val="19"/>
                <w:szCs w:val="19"/>
              </w:rPr>
              <w:t xml:space="preserve">Logistic Regression</w:t>
            </w:r>
          </w:p>
        </w:tc>
        <w:tc>
          <w:tcPr>
            <w:tcW w:type="dxa" w:w="3260"/>
            <w:shd w:fill="FFFFFF" w:val="clear"/>
            <w:tcMar>
              <w:top w:type="dxa" w:w="60"/>
              <w:left w:type="dxa" w:w="100"/>
              <w:bottom w:type="dxa" w:w="60"/>
              <w:right w:type="dxa" w:w="100"/>
            </w:tcMar>
            <w:vAlign w:val="center"/>
          </w:tcPr>
          <w:p>
            <w:r>
              <w:rPr>
                <w:sz w:val="19"/>
                <w:szCs w:val="19"/>
              </w:rPr>
              <w:t xml:space="preserve">81.66%</w:t>
            </w:r>
          </w:p>
        </w:tc>
      </w:tr>
    </w:tbl>
    <w:p>
      <w:pPr>
        <w:pStyle w:val="Heading2"/>
        <w:spacing w:after="180" w:before="360"/>
      </w:pPr>
      <w:r>
        <w:rPr>
          <w:b/>
          <w:bCs/>
          <w:color w:val="2E75B6"/>
          <w:sz w:val="26"/>
          <w:szCs w:val="26"/>
        </w:rPr>
        <w:t xml:space="preserve">12.2 Which Model Performed Best, and Why</w:t>
      </w:r>
    </w:p>
    <w:p>
      <w:pPr>
        <w:spacing w:after="200" w:line="300"/>
        <w:jc w:val="both"/>
      </w:pPr>
      <w:r>
        <w:rPr>
          <w:sz w:val="22"/>
          <w:szCs w:val="22"/>
        </w:rPr>
        <w:t xml:space="preserve">The Gradient Boosting Classifier was the best-performing model, achieving 99.90% test accuracy and a perfect 1.0000 mean accuracy under 5-fold stratified cross-validation. Its superiority over the Random Forest Classifier (99.14%) — despite both being tree-based ensembles — is consistent with the theoretical distinction between bagging and boosting: Random Forest builds trees independently and averages their votes, which reduces variance but leaves the ensemble's bias essentially equal to that of a typical constituent tree, whereas Gradient Boosting builds trees sequentially, with each new tree specifically targeting the residual errors of the current ensemble, which reduces bias and allows it to close the remaining performance gap on harder cases (as evidenced most clearly by the improvement in Hazardous-class recall from 0.82 to 0.98).</w:t>
      </w:r>
    </w:p>
    <w:p>
      <w:pPr>
        <w:pStyle w:val="Heading2"/>
        <w:spacing w:after="180" w:before="360"/>
      </w:pPr>
      <w:r>
        <w:rPr>
          <w:b/>
          <w:bCs/>
          <w:color w:val="2E75B6"/>
          <w:sz w:val="26"/>
          <w:szCs w:val="26"/>
        </w:rPr>
        <w:t xml:space="preserve">12.3 Comparing All Models</w:t>
      </w:r>
    </w:p>
    <w:p>
      <w:pPr>
        <w:spacing w:after="200" w:line="300"/>
        <w:jc w:val="both"/>
      </w:pPr>
      <w:r>
        <w:rPr>
          <w:sz w:val="22"/>
          <w:szCs w:val="22"/>
        </w:rPr>
        <w:t xml:space="preserve">The five models cluster into two clear performance tiers. The tree-based ensembles (Gradient Boosting and Random Forest) form a high-performing tier, both exceeding 99% accuracy, because they can model non-linear, threshold-based relationships between pollutant concentrations and AQI category boundaries — which is exactly the structure of the underlying problem, since AQI categories are themselves defined by hard numerical thresholds on pollutant-derived sub-indices. K-Nearest Neighbors forms an intermediate tier (93.73%), capturing much of this non-linearity through local distance-based voting, but without the benefit of an explicit, globally optimized decision rule. LinearSVC and Logistic Regression form the lowest-performing tier (both approximately 82%), because a linear combination of input features is fundamentally ill-suited to representing the hard, non-linear threshold boundaries that separate adjacent AQI categories — a limitation that manifests most sharply in both linear models' inability to reliably recognize the 'Unhealthy for Sensitive Groups' class.</w:t>
      </w:r>
    </w:p>
    <w:p>
      <w:pPr>
        <w:pStyle w:val="Heading2"/>
        <w:spacing w:after="180" w:before="360"/>
      </w:pPr>
      <w:r>
        <w:rPr>
          <w:b/>
          <w:bCs/>
          <w:color w:val="2E75B6"/>
          <w:sz w:val="26"/>
          <w:szCs w:val="26"/>
        </w:rPr>
        <w:t xml:space="preserve">12.4 Interpretation of the Overall Results</w:t>
      </w:r>
    </w:p>
    <w:p>
      <w:pPr>
        <w:spacing w:after="200" w:line="300"/>
        <w:jc w:val="both"/>
      </w:pPr>
      <w:r>
        <w:rPr>
          <w:sz w:val="22"/>
          <w:szCs w:val="22"/>
        </w:rPr>
        <w:t xml:space="preserve">Taken together, the results tell a coherent and interpretable story: model performance on this task is primarily determined by each algorithm's capacity to represent non-linear, threshold-based decision boundaries, since the target variable (AQI_Bucket) is itself constructed by applying fixed numerical thresholds to pollutant-derived values that are heavily represented among the model's input features (pollutant_min, pollutant_max, pollutant_avg). This explains both why the ensemble tree methods excel — decision trees naturally partition feature space using threshold splits — and why the linear models specifically struggle with the narrow, centrally-located 'Unhealthy for Sensitive Groups' category, which requires the model to identify two separate thresholds (a lower and an upper bound) rather than a single separating hyperplane. The practical implication for this project is clear: for deployment, a threshold-sensitive, non-linear model such as Gradient Boosting is the appropriate choice, and this is reflected in the notebook's decision to serialize and deploy the Gradient Boosting model (rather than any of the other four) in the final Streamlit application.</w:t>
      </w:r>
    </w:p>
    <w:p>
      <w:pPr>
        <w:pStyle w:val="Heading1"/>
        <w:pBdr>
          <w:bottom w:val="single" w:color="1F3864" w:sz="8" w:space="4"/>
        </w:pBdr>
        <w:spacing w:after="240" w:before="480"/>
      </w:pPr>
      <w:r>
        <w:rPr>
          <w:b/>
          <w:bCs/>
          <w:color w:val="1F3864"/>
          <w:sz w:val="32"/>
          <w:szCs w:val="32"/>
        </w:rPr>
        <w:t xml:space="preserve">13. Prediction Example</w:t>
      </w:r>
    </w:p>
    <w:p>
      <w:pPr>
        <w:spacing w:after="200" w:line="300"/>
        <w:jc w:val="both"/>
      </w:pPr>
      <w:r>
        <w:rPr>
          <w:sz w:val="22"/>
          <w:szCs w:val="22"/>
        </w:rPr>
        <w:t xml:space="preserve">To demonstrate the trained pipeline's ability to generate predictions on previously unseen data, the notebook constructs a single hypothetical new data point representing a plausible real-world scenario, rather than reusing an existing row from the test set.</w:t>
      </w:r>
    </w:p>
    <w:p>
      <w:pPr>
        <w:spacing w:after="200" w:line="300"/>
        <w:jc w:val="both"/>
      </w:pPr>
      <w:r>
        <w:rPr>
          <w:sz w:val="22"/>
          <w:szCs w:val="22"/>
        </w:rPr>
        <w:t xml:space="preserve">The hypothetical input, structured as a single-row Pandas DataFrame with the same fourteen features used during training, was defined as follows: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6260"/>
            <w:shd w:fill="1F3864" w:val="clear"/>
            <w:tcMar>
              <w:top w:type="dxa" w:w="80"/>
              <w:left w:type="dxa" w:w="100"/>
              <w:bottom w:type="dxa" w:w="80"/>
              <w:right w:type="dxa" w:w="100"/>
            </w:tcMar>
            <w:vAlign w:val="center"/>
          </w:tcPr>
          <w:p>
            <w:pPr>
              <w:jc w:val="left"/>
            </w:pPr>
            <w:r>
              <w:rPr>
                <w:b/>
                <w:bCs/>
                <w:color w:val="FFFFFF"/>
                <w:sz w:val="19"/>
                <w:szCs w:val="19"/>
              </w:rPr>
              <w:t xml:space="preserve">Value</w:t>
            </w:r>
          </w:p>
        </w:tc>
      </w:tr>
      <w:tr>
        <w:tc>
          <w:tcPr>
            <w:tcW w:type="dxa" w:w="3000"/>
            <w:shd w:fill="FFFFFF" w:val="clear"/>
            <w:tcMar>
              <w:top w:type="dxa" w:w="60"/>
              <w:left w:type="dxa" w:w="100"/>
              <w:bottom w:type="dxa" w:w="60"/>
              <w:right w:type="dxa" w:w="100"/>
            </w:tcMar>
            <w:vAlign w:val="center"/>
          </w:tcPr>
          <w:p>
            <w:r>
              <w:rPr>
                <w:sz w:val="19"/>
                <w:szCs w:val="19"/>
              </w:rPr>
              <w:t xml:space="preserve">state</w:t>
            </w:r>
          </w:p>
        </w:tc>
        <w:tc>
          <w:tcPr>
            <w:tcW w:type="dxa" w:w="6260"/>
            <w:shd w:fill="FFFFFF" w:val="clear"/>
            <w:tcMar>
              <w:top w:type="dxa" w:w="60"/>
              <w:left w:type="dxa" w:w="100"/>
              <w:bottom w:type="dxa" w:w="60"/>
              <w:right w:type="dxa" w:w="100"/>
            </w:tcMar>
            <w:vAlign w:val="center"/>
          </w:tcPr>
          <w:p>
            <w:r>
              <w:rPr>
                <w:sz w:val="19"/>
                <w:szCs w:val="19"/>
              </w:rPr>
              <w:t xml:space="preserve">Delhi</w:t>
            </w:r>
          </w:p>
        </w:tc>
      </w:tr>
      <w:tr>
        <w:tc>
          <w:tcPr>
            <w:tcW w:type="dxa" w:w="3000"/>
            <w:shd w:fill="F2F2F2" w:val="clear"/>
            <w:tcMar>
              <w:top w:type="dxa" w:w="60"/>
              <w:left w:type="dxa" w:w="100"/>
              <w:bottom w:type="dxa" w:w="60"/>
              <w:right w:type="dxa" w:w="100"/>
            </w:tcMar>
            <w:vAlign w:val="center"/>
          </w:tcPr>
          <w:p>
            <w:r>
              <w:rPr>
                <w:sz w:val="19"/>
                <w:szCs w:val="19"/>
              </w:rPr>
              <w:t xml:space="preserve">pollutant_id</w:t>
            </w:r>
          </w:p>
        </w:tc>
        <w:tc>
          <w:tcPr>
            <w:tcW w:type="dxa" w:w="6260"/>
            <w:shd w:fill="F2F2F2" w:val="clear"/>
            <w:tcMar>
              <w:top w:type="dxa" w:w="60"/>
              <w:left w:type="dxa" w:w="100"/>
              <w:bottom w:type="dxa" w:w="60"/>
              <w:right w:type="dxa" w:w="100"/>
            </w:tcMar>
            <w:vAlign w:val="center"/>
          </w:tcPr>
          <w:p>
            <w:r>
              <w:rPr>
                <w:sz w:val="19"/>
                <w:szCs w:val="19"/>
              </w:rPr>
              <w:t xml:space="preserve">PM2.5</w:t>
            </w:r>
          </w:p>
        </w:tc>
      </w:tr>
      <w:tr>
        <w:tc>
          <w:tcPr>
            <w:tcW w:type="dxa" w:w="3000"/>
            <w:shd w:fill="FFFFFF" w:val="clear"/>
            <w:tcMar>
              <w:top w:type="dxa" w:w="60"/>
              <w:left w:type="dxa" w:w="100"/>
              <w:bottom w:type="dxa" w:w="60"/>
              <w:right w:type="dxa" w:w="100"/>
            </w:tcMar>
            <w:vAlign w:val="center"/>
          </w:tcPr>
          <w:p>
            <w:r>
              <w:rPr>
                <w:sz w:val="19"/>
                <w:szCs w:val="19"/>
              </w:rPr>
              <w:t xml:space="preserve">pollutant_min</w:t>
            </w:r>
          </w:p>
        </w:tc>
        <w:tc>
          <w:tcPr>
            <w:tcW w:type="dxa" w:w="6260"/>
            <w:shd w:fill="FFFFFF" w:val="clear"/>
            <w:tcMar>
              <w:top w:type="dxa" w:w="60"/>
              <w:left w:type="dxa" w:w="100"/>
              <w:bottom w:type="dxa" w:w="60"/>
              <w:right w:type="dxa" w:w="100"/>
            </w:tcMar>
            <w:vAlign w:val="center"/>
          </w:tcPr>
          <w:p>
            <w:r>
              <w:rPr>
                <w:sz w:val="19"/>
                <w:szCs w:val="19"/>
              </w:rPr>
              <w:t xml:space="preserve">50.0</w:t>
            </w:r>
          </w:p>
        </w:tc>
      </w:tr>
      <w:tr>
        <w:tc>
          <w:tcPr>
            <w:tcW w:type="dxa" w:w="3000"/>
            <w:shd w:fill="F2F2F2" w:val="clear"/>
            <w:tcMar>
              <w:top w:type="dxa" w:w="60"/>
              <w:left w:type="dxa" w:w="100"/>
              <w:bottom w:type="dxa" w:w="60"/>
              <w:right w:type="dxa" w:w="100"/>
            </w:tcMar>
            <w:vAlign w:val="center"/>
          </w:tcPr>
          <w:p>
            <w:r>
              <w:rPr>
                <w:sz w:val="19"/>
                <w:szCs w:val="19"/>
              </w:rPr>
              <w:t xml:space="preserve">pollutant_max</w:t>
            </w:r>
          </w:p>
        </w:tc>
        <w:tc>
          <w:tcPr>
            <w:tcW w:type="dxa" w:w="6260"/>
            <w:shd w:fill="F2F2F2" w:val="clear"/>
            <w:tcMar>
              <w:top w:type="dxa" w:w="60"/>
              <w:left w:type="dxa" w:w="100"/>
              <w:bottom w:type="dxa" w:w="60"/>
              <w:right w:type="dxa" w:w="100"/>
            </w:tcMar>
            <w:vAlign w:val="center"/>
          </w:tcPr>
          <w:p>
            <w:r>
              <w:rPr>
                <w:sz w:val="19"/>
                <w:szCs w:val="19"/>
              </w:rPr>
              <w:t xml:space="preserve">150.0</w:t>
            </w:r>
          </w:p>
        </w:tc>
      </w:tr>
      <w:tr>
        <w:tc>
          <w:tcPr>
            <w:tcW w:type="dxa" w:w="3000"/>
            <w:shd w:fill="FFFFFF" w:val="clear"/>
            <w:tcMar>
              <w:top w:type="dxa" w:w="60"/>
              <w:left w:type="dxa" w:w="100"/>
              <w:bottom w:type="dxa" w:w="60"/>
              <w:right w:type="dxa" w:w="100"/>
            </w:tcMar>
            <w:vAlign w:val="center"/>
          </w:tcPr>
          <w:p>
            <w:r>
              <w:rPr>
                <w:sz w:val="19"/>
                <w:szCs w:val="19"/>
              </w:rPr>
              <w:t xml:space="preserve">pollutant_avg</w:t>
            </w:r>
          </w:p>
        </w:tc>
        <w:tc>
          <w:tcPr>
            <w:tcW w:type="dxa" w:w="6260"/>
            <w:shd w:fill="FFFFFF" w:val="clear"/>
            <w:tcMar>
              <w:top w:type="dxa" w:w="60"/>
              <w:left w:type="dxa" w:w="100"/>
              <w:bottom w:type="dxa" w:w="60"/>
              <w:right w:type="dxa" w:w="100"/>
            </w:tcMar>
            <w:vAlign w:val="center"/>
          </w:tcPr>
          <w:p>
            <w:r>
              <w:rPr>
                <w:sz w:val="19"/>
                <w:szCs w:val="19"/>
              </w:rPr>
              <w:t xml:space="preserve">100.0</w:t>
            </w:r>
          </w:p>
        </w:tc>
      </w:tr>
      <w:tr>
        <w:tc>
          <w:tcPr>
            <w:tcW w:type="dxa" w:w="3000"/>
            <w:shd w:fill="F2F2F2" w:val="clear"/>
            <w:tcMar>
              <w:top w:type="dxa" w:w="60"/>
              <w:left w:type="dxa" w:w="100"/>
              <w:bottom w:type="dxa" w:w="60"/>
              <w:right w:type="dxa" w:w="100"/>
            </w:tcMar>
            <w:vAlign w:val="center"/>
          </w:tcPr>
          <w:p>
            <w:r>
              <w:rPr>
                <w:sz w:val="19"/>
                <w:szCs w:val="19"/>
              </w:rPr>
              <w:t xml:space="preserve">Temperature_C</w:t>
            </w:r>
          </w:p>
        </w:tc>
        <w:tc>
          <w:tcPr>
            <w:tcW w:type="dxa" w:w="6260"/>
            <w:shd w:fill="F2F2F2" w:val="clear"/>
            <w:tcMar>
              <w:top w:type="dxa" w:w="60"/>
              <w:left w:type="dxa" w:w="100"/>
              <w:bottom w:type="dxa" w:w="60"/>
              <w:right w:type="dxa" w:w="100"/>
            </w:tcMar>
            <w:vAlign w:val="center"/>
          </w:tcPr>
          <w:p>
            <w:r>
              <w:rPr>
                <w:sz w:val="19"/>
                <w:szCs w:val="19"/>
              </w:rPr>
              <w:t xml:space="preserve">25.0</w:t>
            </w:r>
          </w:p>
        </w:tc>
      </w:tr>
      <w:tr>
        <w:tc>
          <w:tcPr>
            <w:tcW w:type="dxa" w:w="3000"/>
            <w:shd w:fill="FFFFFF" w:val="clear"/>
            <w:tcMar>
              <w:top w:type="dxa" w:w="60"/>
              <w:left w:type="dxa" w:w="100"/>
              <w:bottom w:type="dxa" w:w="60"/>
              <w:right w:type="dxa" w:w="100"/>
            </w:tcMar>
            <w:vAlign w:val="center"/>
          </w:tcPr>
          <w:p>
            <w:r>
              <w:rPr>
                <w:sz w:val="19"/>
                <w:szCs w:val="19"/>
              </w:rPr>
              <w:t xml:space="preserve">Humidity_%</w:t>
            </w:r>
          </w:p>
        </w:tc>
        <w:tc>
          <w:tcPr>
            <w:tcW w:type="dxa" w:w="6260"/>
            <w:shd w:fill="FFFFFF" w:val="clear"/>
            <w:tcMar>
              <w:top w:type="dxa" w:w="60"/>
              <w:left w:type="dxa" w:w="100"/>
              <w:bottom w:type="dxa" w:w="60"/>
              <w:right w:type="dxa" w:w="100"/>
            </w:tcMar>
            <w:vAlign w:val="center"/>
          </w:tcPr>
          <w:p>
            <w:r>
              <w:rPr>
                <w:sz w:val="19"/>
                <w:szCs w:val="19"/>
              </w:rPr>
              <w:t xml:space="preserve">70.0</w:t>
            </w:r>
          </w:p>
        </w:tc>
      </w:tr>
      <w:tr>
        <w:tc>
          <w:tcPr>
            <w:tcW w:type="dxa" w:w="3000"/>
            <w:shd w:fill="F2F2F2" w:val="clear"/>
            <w:tcMar>
              <w:top w:type="dxa" w:w="60"/>
              <w:left w:type="dxa" w:w="100"/>
              <w:bottom w:type="dxa" w:w="60"/>
              <w:right w:type="dxa" w:w="100"/>
            </w:tcMar>
            <w:vAlign w:val="center"/>
          </w:tcPr>
          <w:p>
            <w:r>
              <w:rPr>
                <w:sz w:val="19"/>
                <w:szCs w:val="19"/>
              </w:rPr>
              <w:t xml:space="preserve">Wind_Speed_kmh</w:t>
            </w:r>
          </w:p>
        </w:tc>
        <w:tc>
          <w:tcPr>
            <w:tcW w:type="dxa" w:w="6260"/>
            <w:shd w:fill="F2F2F2" w:val="clear"/>
            <w:tcMar>
              <w:top w:type="dxa" w:w="60"/>
              <w:left w:type="dxa" w:w="100"/>
              <w:bottom w:type="dxa" w:w="60"/>
              <w:right w:type="dxa" w:w="100"/>
            </w:tcMar>
            <w:vAlign w:val="center"/>
          </w:tcPr>
          <w:p>
            <w:r>
              <w:rPr>
                <w:sz w:val="19"/>
                <w:szCs w:val="19"/>
              </w:rPr>
              <w:t xml:space="preserve">10.0</w:t>
            </w:r>
          </w:p>
        </w:tc>
      </w:tr>
      <w:tr>
        <w:tc>
          <w:tcPr>
            <w:tcW w:type="dxa" w:w="3000"/>
            <w:shd w:fill="FFFFFF" w:val="clear"/>
            <w:tcMar>
              <w:top w:type="dxa" w:w="60"/>
              <w:left w:type="dxa" w:w="100"/>
              <w:bottom w:type="dxa" w:w="60"/>
              <w:right w:type="dxa" w:w="100"/>
            </w:tcMar>
            <w:vAlign w:val="center"/>
          </w:tcPr>
          <w:p>
            <w:r>
              <w:rPr>
                <w:sz w:val="19"/>
                <w:szCs w:val="19"/>
              </w:rPr>
              <w:t xml:space="preserve">Year</w:t>
            </w:r>
          </w:p>
        </w:tc>
        <w:tc>
          <w:tcPr>
            <w:tcW w:type="dxa" w:w="6260"/>
            <w:shd w:fill="FFFFFF" w:val="clear"/>
            <w:tcMar>
              <w:top w:type="dxa" w:w="60"/>
              <w:left w:type="dxa" w:w="100"/>
              <w:bottom w:type="dxa" w:w="60"/>
              <w:right w:type="dxa" w:w="100"/>
            </w:tcMar>
            <w:vAlign w:val="center"/>
          </w:tcPr>
          <w:p>
            <w:r>
              <w:rPr>
                <w:sz w:val="19"/>
                <w:szCs w:val="19"/>
              </w:rPr>
              <w:t xml:space="preserve">2027</w:t>
            </w:r>
          </w:p>
        </w:tc>
      </w:tr>
      <w:tr>
        <w:tc>
          <w:tcPr>
            <w:tcW w:type="dxa" w:w="3000"/>
            <w:shd w:fill="F2F2F2" w:val="clear"/>
            <w:tcMar>
              <w:top w:type="dxa" w:w="60"/>
              <w:left w:type="dxa" w:w="100"/>
              <w:bottom w:type="dxa" w:w="60"/>
              <w:right w:type="dxa" w:w="100"/>
            </w:tcMar>
            <w:vAlign w:val="center"/>
          </w:tcPr>
          <w:p>
            <w:r>
              <w:rPr>
                <w:sz w:val="19"/>
                <w:szCs w:val="19"/>
              </w:rPr>
              <w:t xml:space="preserve">Month</w:t>
            </w:r>
          </w:p>
        </w:tc>
        <w:tc>
          <w:tcPr>
            <w:tcW w:type="dxa" w:w="6260"/>
            <w:shd w:fill="F2F2F2" w:val="clear"/>
            <w:tcMar>
              <w:top w:type="dxa" w:w="60"/>
              <w:left w:type="dxa" w:w="100"/>
              <w:bottom w:type="dxa" w:w="60"/>
              <w:right w:type="dxa" w:w="100"/>
            </w:tcMar>
            <w:vAlign w:val="center"/>
          </w:tcPr>
          <w:p>
            <w:r>
              <w:rPr>
                <w:sz w:val="19"/>
                <w:szCs w:val="19"/>
              </w:rPr>
              <w:t xml:space="preserve">1</w:t>
            </w:r>
          </w:p>
        </w:tc>
      </w:tr>
      <w:tr>
        <w:tc>
          <w:tcPr>
            <w:tcW w:type="dxa" w:w="3000"/>
            <w:shd w:fill="FFFFFF" w:val="clear"/>
            <w:tcMar>
              <w:top w:type="dxa" w:w="60"/>
              <w:left w:type="dxa" w:w="100"/>
              <w:bottom w:type="dxa" w:w="60"/>
              <w:right w:type="dxa" w:w="100"/>
            </w:tcMar>
            <w:vAlign w:val="center"/>
          </w:tcPr>
          <w:p>
            <w:r>
              <w:rPr>
                <w:sz w:val="19"/>
                <w:szCs w:val="19"/>
              </w:rPr>
              <w:t xml:space="preserve">Day</w:t>
            </w:r>
          </w:p>
        </w:tc>
        <w:tc>
          <w:tcPr>
            <w:tcW w:type="dxa" w:w="6260"/>
            <w:shd w:fill="FFFFFF" w:val="clear"/>
            <w:tcMar>
              <w:top w:type="dxa" w:w="60"/>
              <w:left w:type="dxa" w:w="100"/>
              <w:bottom w:type="dxa" w:w="60"/>
              <w:right w:type="dxa" w:w="100"/>
            </w:tcMar>
            <w:vAlign w:val="center"/>
          </w:tcPr>
          <w:p>
            <w:r>
              <w:rPr>
                <w:sz w:val="19"/>
                <w:szCs w:val="19"/>
              </w:rPr>
              <w:t xml:space="preserve">15</w:t>
            </w:r>
          </w:p>
        </w:tc>
      </w:tr>
      <w:tr>
        <w:tc>
          <w:tcPr>
            <w:tcW w:type="dxa" w:w="3000"/>
            <w:shd w:fill="F2F2F2" w:val="clear"/>
            <w:tcMar>
              <w:top w:type="dxa" w:w="60"/>
              <w:left w:type="dxa" w:w="100"/>
              <w:bottom w:type="dxa" w:w="60"/>
              <w:right w:type="dxa" w:w="100"/>
            </w:tcMar>
            <w:vAlign w:val="center"/>
          </w:tcPr>
          <w:p>
            <w:r>
              <w:rPr>
                <w:sz w:val="19"/>
                <w:szCs w:val="19"/>
              </w:rPr>
              <w:t xml:space="preserve">Hour</w:t>
            </w:r>
          </w:p>
        </w:tc>
        <w:tc>
          <w:tcPr>
            <w:tcW w:type="dxa" w:w="6260"/>
            <w:shd w:fill="F2F2F2" w:val="clear"/>
            <w:tcMar>
              <w:top w:type="dxa" w:w="60"/>
              <w:left w:type="dxa" w:w="100"/>
              <w:bottom w:type="dxa" w:w="60"/>
              <w:right w:type="dxa" w:w="100"/>
            </w:tcMar>
            <w:vAlign w:val="center"/>
          </w:tcPr>
          <w:p>
            <w:r>
              <w:rPr>
                <w:sz w:val="19"/>
                <w:szCs w:val="19"/>
              </w:rPr>
              <w:t xml:space="preserve">12</w:t>
            </w:r>
          </w:p>
        </w:tc>
      </w:tr>
      <w:tr>
        <w:tc>
          <w:tcPr>
            <w:tcW w:type="dxa" w:w="3000"/>
            <w:shd w:fill="FFFFFF" w:val="clear"/>
            <w:tcMar>
              <w:top w:type="dxa" w:w="60"/>
              <w:left w:type="dxa" w:w="100"/>
              <w:bottom w:type="dxa" w:w="60"/>
              <w:right w:type="dxa" w:w="100"/>
            </w:tcMar>
            <w:vAlign w:val="center"/>
          </w:tcPr>
          <w:p>
            <w:r>
              <w:rPr>
                <w:sz w:val="19"/>
                <w:szCs w:val="19"/>
              </w:rPr>
              <w:t xml:space="preserve">Day_of_Week</w:t>
            </w:r>
          </w:p>
        </w:tc>
        <w:tc>
          <w:tcPr>
            <w:tcW w:type="dxa" w:w="6260"/>
            <w:shd w:fill="FFFFFF" w:val="clear"/>
            <w:tcMar>
              <w:top w:type="dxa" w:w="60"/>
              <w:left w:type="dxa" w:w="100"/>
              <w:bottom w:type="dxa" w:w="60"/>
              <w:right w:type="dxa" w:w="100"/>
            </w:tcMar>
            <w:vAlign w:val="center"/>
          </w:tcPr>
          <w:p>
            <w:r>
              <w:rPr>
                <w:sz w:val="19"/>
                <w:szCs w:val="19"/>
              </w:rPr>
              <w:t xml:space="preserve">3</w:t>
            </w:r>
          </w:p>
        </w:tc>
      </w:tr>
      <w:tr>
        <w:tc>
          <w:tcPr>
            <w:tcW w:type="dxa" w:w="3000"/>
            <w:shd w:fill="F2F2F2" w:val="clear"/>
            <w:tcMar>
              <w:top w:type="dxa" w:w="60"/>
              <w:left w:type="dxa" w:w="100"/>
              <w:bottom w:type="dxa" w:w="60"/>
              <w:right w:type="dxa" w:w="100"/>
            </w:tcMar>
            <w:vAlign w:val="center"/>
          </w:tcPr>
          <w:p>
            <w:r>
              <w:rPr>
                <w:sz w:val="19"/>
                <w:szCs w:val="19"/>
              </w:rPr>
              <w:t xml:space="preserve">Season</w:t>
            </w:r>
          </w:p>
        </w:tc>
        <w:tc>
          <w:tcPr>
            <w:tcW w:type="dxa" w:w="6260"/>
            <w:shd w:fill="F2F2F2" w:val="clear"/>
            <w:tcMar>
              <w:top w:type="dxa" w:w="60"/>
              <w:left w:type="dxa" w:w="100"/>
              <w:bottom w:type="dxa" w:w="60"/>
              <w:right w:type="dxa" w:w="100"/>
            </w:tcMar>
            <w:vAlign w:val="center"/>
          </w:tcPr>
          <w:p>
            <w:r>
              <w:rPr>
                <w:sz w:val="19"/>
                <w:szCs w:val="19"/>
              </w:rPr>
              <w:t xml:space="preserve">Winter</w:t>
            </w:r>
          </w:p>
        </w:tc>
      </w:tr>
    </w:tbl>
    <w:p>
      <w:pPr>
        <w:spacing w:after="200" w:line="300"/>
        <w:jc w:val="both"/>
      </w:pPr>
      <w:r>
        <w:rPr>
          <w:sz w:val="22"/>
          <w:szCs w:val="22"/>
        </w:rPr>
        <w:t xml:space="preserve">Before this data point could be passed to the trained model, its two categorical fields (state and Season) were transformed using the exact same fitted LabelEncoder objects created during training (encoders['state'].transform(['Delhi']) and encoders['Season'].transform(['Winter'])), ensuring the categorical codes are perfectly consistent with those the model learned from during fitting. This is a critical implementation detail: applying a freshly-fit encoder (rather than the original, saved one) to new data could silently assign different integer codes to the same category, corrupting the model's predictions without raising any error.</w:t>
      </w:r>
    </w:p>
    <w:p>
      <w:pPr>
        <w:spacing w:after="200" w:line="300"/>
        <w:jc w:val="both"/>
      </w:pPr>
      <w:r>
        <w:rPr>
          <w:sz w:val="22"/>
          <w:szCs w:val="22"/>
        </w:rPr>
        <w:t xml:space="preserve">The prepared single-row DataFrame was then passed to gbc_model.predict(new_data_point), the trained Gradient Boosting Classifier. Given a pollutant_avg of 100.0 (within the 51–100 range that borders the 'Moderate' category per the AQI thresholds established in Section 2.2), the model returned a predicted AQI_Bucket of 'Moderate'. This outcome is consistent with the domain-defined AQI boundaries and demonstrates that the trained model correctly internalized the approximate pollutant-to-category threshold structure, even for an input designed to sit near a class boundary.</w:t>
      </w:r>
    </w:p>
    <w:p>
      <w:pPr>
        <w:spacing w:after="200" w:line="300"/>
        <w:jc w:val="both"/>
      </w:pPr>
      <w:r>
        <w:rPr>
          <w:sz w:val="22"/>
          <w:szCs w:val="22"/>
        </w:rPr>
        <w:t xml:space="preserve">This same prediction logic — encoding categorical inputs with the saved encoders and calling .predict() on the saved model — forms the operational core of the Streamlit deployment described in Section 15, where user-supplied inputs from interactive widgets replace the hard-coded dictionary values shown here.</w:t>
      </w:r>
    </w:p>
    <w:p>
      <w:pPr>
        <w:pStyle w:val="Heading1"/>
        <w:pBdr>
          <w:bottom w:val="single" w:color="1F3864" w:sz="8" w:space="4"/>
        </w:pBdr>
        <w:spacing w:after="240" w:before="480"/>
      </w:pPr>
      <w:r>
        <w:rPr>
          <w:b/>
          <w:bCs/>
          <w:color w:val="1F3864"/>
          <w:sz w:val="32"/>
          <w:szCs w:val="32"/>
        </w:rPr>
        <w:t xml:space="preserve">14. Conclusion</w:t>
      </w:r>
    </w:p>
    <w:p>
      <w:pPr>
        <w:spacing w:after="200" w:line="300"/>
        <w:jc w:val="both"/>
      </w:pPr>
      <w:r>
        <w:rPr>
          <w:sz w:val="22"/>
          <w:szCs w:val="22"/>
        </w:rPr>
        <w:t xml:space="preserve">This project successfully designed, implemented, and evaluated a complete machine learning pipeline for predicting Air Quality Index categories from pollutant, meteorological, and temporal features, using a real-world dataset of 10,521 monitoring records spanning Indian states and cities. Following a rigorous process of data cleaning (mean imputation of missing pollutant statistics), exploratory analysis (revealing class imbalance, strong pollutant inter-correlation, and seasonal/geographic AQI variability), and feature encoding, five distinct classification algorithms were trained and benchmarked under identical, fair experimental conditions.</w:t>
      </w:r>
    </w:p>
    <w:p>
      <w:pPr>
        <w:spacing w:after="200" w:line="300"/>
        <w:jc w:val="both"/>
      </w:pPr>
      <w:r>
        <w:rPr>
          <w:sz w:val="22"/>
          <w:szCs w:val="22"/>
        </w:rPr>
        <w:t xml:space="preserve">The results conclusively demonstrate that ensemble tree-based methods — and Gradient Boosting in particular, with 99.90% test accuracy and a perfect 1.0000 mean cross-validated accuracy — substantially outperform linear models (LinearSVC and Logistic Regression, both around 82%) on this classification task, owing to their capacity to represent the non-linear, threshold-defined boundaries inherent in how AQI categories are constructed from pollutant concentrations. Feature importance analysis further confirmed that pollutant concentration statistics (particularly the average reading) are, by a wide margin, the dominant predictors of AQI category, aligning with domain knowledge of how the AQI itself is computed. The best-performing model was successfully serialized and integrated into a functioning, interactive Streamlit web application, completing the pipeline's transition from raw data to a deployable, user-facing predictive tool.</w:t>
      </w:r>
    </w:p>
    <w:p>
      <w:pPr>
        <w:spacing w:after="200" w:line="300"/>
        <w:jc w:val="both"/>
      </w:pPr>
      <w:r>
        <w:rPr>
          <w:sz w:val="22"/>
          <w:szCs w:val="22"/>
        </w:rPr>
        <w:t xml:space="preserve">In summary, the project both validates a specific, high-performing modeling approach for this dataset and, more broadly, serves as a comprehensive demonstration of the standard applied machine learning workflow — from data acquisition and cleaning, through exploratory analysis and multi-model benchmarking, to rigorous evaluation and real-world deployment.</w:t>
      </w:r>
    </w:p>
    <w:p>
      <w:pPr>
        <w:pStyle w:val="Heading1"/>
        <w:pBdr>
          <w:bottom w:val="single" w:color="1F3864" w:sz="8" w:space="4"/>
        </w:pBdr>
        <w:spacing w:after="240" w:before="480"/>
      </w:pPr>
      <w:r>
        <w:rPr>
          <w:b/>
          <w:bCs/>
          <w:color w:val="1F3864"/>
          <w:sz w:val="32"/>
          <w:szCs w:val="32"/>
        </w:rPr>
        <w:t xml:space="preserve">15. Future Improvements</w:t>
      </w:r>
    </w:p>
    <w:p>
      <w:pPr>
        <w:spacing w:after="200" w:line="300"/>
        <w:jc w:val="both"/>
      </w:pPr>
      <w:r>
        <w:rPr>
          <w:sz w:val="22"/>
          <w:szCs w:val="22"/>
        </w:rPr>
        <w:t xml:space="preserve">While the current pipeline achieves excellent predictive performance, several realistic enhancements could further strengthen the project's robustness, generalizability, and real-world applicability:</w:t>
      </w:r>
    </w:p>
    <w:p>
      <w:pPr>
        <w:pStyle w:val="ListParagraph"/>
        <w:numPr>
          <w:ilvl w:val="0"/>
          <w:numId w:val="1"/>
        </w:numPr>
        <w:spacing w:after="100" w:line="280"/>
      </w:pPr>
      <w:r>
        <w:rPr>
          <w:b/>
          <w:bCs/>
          <w:sz w:val="22"/>
          <w:szCs w:val="22"/>
        </w:rPr>
        <w:t xml:space="preserve">Hyperparameter Tuning — </w:t>
      </w:r>
      <w:r>
        <w:rPr>
          <w:sz w:val="22"/>
          <w:szCs w:val="22"/>
        </w:rPr>
        <w:t xml:space="preserve">systematic optimization of model hyperparameters (e.g., number of estimators, tree depth, learning rate, or the number of neighbors k in KNN) via GridSearchCV or RandomizedSearchCV, rather than the fixed, manually-chosen values used in the current notebook, could yield further performance gains or, at minimum, confirm the current configuration's near-optimality.</w:t>
      </w:r>
    </w:p>
    <w:p>
      <w:pPr>
        <w:pStyle w:val="ListParagraph"/>
        <w:numPr>
          <w:ilvl w:val="0"/>
          <w:numId w:val="1"/>
        </w:numPr>
        <w:spacing w:after="100" w:line="280"/>
      </w:pPr>
      <w:r>
        <w:rPr>
          <w:b/>
          <w:bCs/>
          <w:sz w:val="22"/>
          <w:szCs w:val="22"/>
        </w:rPr>
        <w:t xml:space="preserve">More Data — </w:t>
      </w:r>
      <w:r>
        <w:rPr>
          <w:sz w:val="22"/>
          <w:szCs w:val="22"/>
        </w:rPr>
        <w:t xml:space="preserve">expanding the dataset to cover a longer historical time span and a denser network of monitoring stations would improve the model's ability to generalize to rare events (such as extreme pollution episodes) and reduce the current class imbalance affecting the 'Hazardous' category.</w:t>
      </w:r>
    </w:p>
    <w:p>
      <w:pPr>
        <w:pStyle w:val="ListParagraph"/>
        <w:numPr>
          <w:ilvl w:val="0"/>
          <w:numId w:val="1"/>
        </w:numPr>
        <w:spacing w:after="100" w:line="280"/>
      </w:pPr>
      <w:r>
        <w:rPr>
          <w:b/>
          <w:bCs/>
          <w:sz w:val="22"/>
          <w:szCs w:val="22"/>
        </w:rPr>
        <w:t xml:space="preserve">Deep Learning — </w:t>
      </w:r>
      <w:r>
        <w:rPr>
          <w:sz w:val="22"/>
          <w:szCs w:val="22"/>
        </w:rPr>
        <w:t xml:space="preserve">given the temporal structure of the data, sequence-based deep learning architectures such as LSTM or GRU recurrent neural networks, or Temporal Convolutional Networks, could be explored to model AQI as a genuine time-series forecasting problem — predicting future AQI values ahead of time, rather than classifying a concurrent reading.</w:t>
      </w:r>
    </w:p>
    <w:p>
      <w:pPr>
        <w:pStyle w:val="ListParagraph"/>
        <w:numPr>
          <w:ilvl w:val="0"/>
          <w:numId w:val="1"/>
        </w:numPr>
        <w:spacing w:after="100" w:line="280"/>
      </w:pPr>
      <w:r>
        <w:rPr>
          <w:b/>
          <w:bCs/>
          <w:sz w:val="22"/>
          <w:szCs w:val="22"/>
        </w:rPr>
        <w:t xml:space="preserve">Real-Time Prediction — </w:t>
      </w:r>
      <w:r>
        <w:rPr>
          <w:sz w:val="22"/>
          <w:szCs w:val="22"/>
        </w:rPr>
        <w:t xml:space="preserve">integrating the pipeline with a live data feed (for example, a public CPCB or government air-quality API) would allow the model to generate continuously updated predictions rather than operating on a static, historical CSV snapshot.</w:t>
      </w:r>
    </w:p>
    <w:p>
      <w:pPr>
        <w:pStyle w:val="ListParagraph"/>
        <w:numPr>
          <w:ilvl w:val="0"/>
          <w:numId w:val="1"/>
        </w:numPr>
        <w:spacing w:after="100" w:line="280"/>
      </w:pPr>
      <w:r>
        <w:rPr>
          <w:b/>
          <w:bCs/>
          <w:sz w:val="22"/>
          <w:szCs w:val="22"/>
        </w:rPr>
        <w:t xml:space="preserve">Deployment Using Flask/Streamlit — </w:t>
      </w:r>
      <w:r>
        <w:rPr>
          <w:sz w:val="22"/>
          <w:szCs w:val="22"/>
        </w:rPr>
        <w:t xml:space="preserve">the project has already taken the first step in this direction with its Streamlit application; this could be extended with a Flask or FastAPI backend to expose the model as a REST API, enabling integration with other services or mobile applications beyond the interactive web UI.</w:t>
      </w:r>
    </w:p>
    <w:p>
      <w:pPr>
        <w:pStyle w:val="ListParagraph"/>
        <w:numPr>
          <w:ilvl w:val="0"/>
          <w:numId w:val="1"/>
        </w:numPr>
        <w:spacing w:after="100" w:line="280"/>
      </w:pPr>
      <w:r>
        <w:rPr>
          <w:b/>
          <w:bCs/>
          <w:sz w:val="22"/>
          <w:szCs w:val="22"/>
        </w:rPr>
        <w:t xml:space="preserve">Cloud Deployment — </w:t>
      </w:r>
      <w:r>
        <w:rPr>
          <w:sz w:val="22"/>
          <w:szCs w:val="22"/>
        </w:rPr>
        <w:t xml:space="preserve">hosting the trained model and Streamlit interface on a cloud platform (such as Streamlit Community Cloud, AWS, Google Cloud Platform, or Azure) would make the application persistently accessible to end users, rather than requiring local execution and temporary tunnel URLs (as the current localtunnel-based approach requires).</w:t>
      </w:r>
    </w:p>
    <w:p>
      <w:pPr>
        <w:pStyle w:val="ListParagraph"/>
        <w:numPr>
          <w:ilvl w:val="0"/>
          <w:numId w:val="1"/>
        </w:numPr>
        <w:spacing w:after="100" w:line="280"/>
      </w:pPr>
      <w:r>
        <w:rPr>
          <w:b/>
          <w:bCs/>
          <w:sz w:val="22"/>
          <w:szCs w:val="22"/>
        </w:rPr>
        <w:t xml:space="preserve">Target Redefinition for a Harder Task — </w:t>
      </w:r>
      <w:r>
        <w:rPr>
          <w:sz w:val="22"/>
          <w:szCs w:val="22"/>
        </w:rPr>
        <w:t xml:space="preserve">given that the near-perfect cross-validation accuracy suggests the current target is largely recoverable from the retained pollutant features, a valuable extension would be to predict AQI category using only weather and temporal features (excluding pollutant readings entirely), transforming the task into genuine environmental forecasting rather than pollutant-to-category mapping.</w:t>
      </w:r>
    </w:p>
    <w:p>
      <w:pPr>
        <w:pStyle w:val="Heading1"/>
        <w:pBdr>
          <w:bottom w:val="single" w:color="1F3864" w:sz="8" w:space="4"/>
        </w:pBdr>
        <w:spacing w:after="240" w:before="480"/>
      </w:pPr>
      <w:r>
        <w:rPr>
          <w:b/>
          <w:bCs/>
          <w:color w:val="1F3864"/>
          <w:sz w:val="32"/>
          <w:szCs w:val="32"/>
        </w:rPr>
        <w:t xml:space="preserve">16. Workflow Diagram</w:t>
      </w:r>
    </w:p>
    <w:p>
      <w:pPr>
        <w:spacing w:after="200" w:line="300"/>
        <w:jc w:val="both"/>
      </w:pPr>
      <w:r>
        <w:rPr>
          <w:sz w:val="22"/>
          <w:szCs w:val="22"/>
        </w:rPr>
        <w:t xml:space="preserve">The diagram below summarizes the complete end-to-end workflow implemented across the notebook, from raw data acquisition through to final deployment.</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Dataset Acquisition (Kaggle via kagglehub)</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Initial Inspection (shape, dtypes, missing values, describe)</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Data Cleaning (mean imputation of pollutant fields)</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Exploratory Data Analysis (distributions, correlations, trends)</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Feature Selection &amp; Encoding (drop leakage columns, Label Encode)</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Train/Test Split (80/20, stratified by AQI_Bucket)</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Model Training (RF, Gradient Boosting, LinearSVC, KNN, LogReg)</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Model Evaluation (accuracy, classification report, confusion matrix)</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Cross-Validation (5-fold Stratified K-Fold on best model)</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Model Comparison (accuracy ranking across all 5 models)</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Prediction on New Data (encode → predict)</w:t>
      </w:r>
    </w:p>
    <w:p>
      <w:pPr>
        <w:spacing w:after="0" w:before="0"/>
        <w:jc w:val="center"/>
      </w:pPr>
      <w:r>
        <w:rPr>
          <w:b/>
          <w:bCs/>
          <w:color w:val="2E75B6"/>
          <w:sz w:val="28"/>
          <w:szCs w:val="28"/>
        </w:rPr>
        <w:t xml:space="preserve">↓</w:t>
      </w:r>
    </w:p>
    <w:p>
      <w:pPr>
        <w:pBdr>
          <w:top w:val="single" w:color="1F3864" w:sz="8"/>
          <w:bottom w:val="single" w:color="1F3864" w:sz="8"/>
          <w:left w:val="single" w:color="1F3864" w:sz="8"/>
          <w:right w:val="single" w:color="1F3864" w:sz="8"/>
        </w:pBdr>
        <w:shd w:fill="EAF1FB" w:val="clear"/>
        <w:spacing w:after="60" w:before="60"/>
        <w:jc w:val="center"/>
      </w:pPr>
      <w:r>
        <w:rPr>
          <w:b/>
          <w:bCs/>
          <w:color w:val="1F3864"/>
          <w:sz w:val="22"/>
          <w:szCs w:val="22"/>
        </w:rPr>
        <w:t xml:space="preserve">Deployment (joblib serialization + Streamlit web application)</w:t>
      </w:r>
    </w:p>
    <w:p>
      <w:r>
        <w:br w:type="page"/>
      </w:r>
    </w:p>
    <w:p>
      <w:pPr>
        <w:pStyle w:val="Heading1"/>
        <w:pBdr>
          <w:bottom w:val="single" w:color="1F3864" w:sz="8" w:space="4"/>
        </w:pBdr>
        <w:spacing w:after="240" w:before="480"/>
      </w:pPr>
      <w:r>
        <w:rPr>
          <w:b/>
          <w:bCs/>
          <w:color w:val="1F3864"/>
          <w:sz w:val="32"/>
          <w:szCs w:val="32"/>
        </w:rPr>
        <w:t xml:space="preserve">17. Code Documentation</w:t>
      </w:r>
    </w:p>
    <w:p>
      <w:pPr>
        <w:spacing w:after="200" w:line="300"/>
        <w:jc w:val="both"/>
      </w:pPr>
      <w:r>
        <w:rPr>
          <w:sz w:val="22"/>
          <w:szCs w:val="22"/>
        </w:rPr>
        <w:t xml:space="preserve">This section provides a structured walkthrough of every major code block in the notebook, describing its purpose, its inputs, its outputs, and why it is a necessary step in the overall pipeline.</w:t>
      </w:r>
    </w:p>
    <w:p>
      <w:pPr>
        <w:pStyle w:val="Heading2"/>
        <w:spacing w:after="180" w:before="360"/>
      </w:pPr>
      <w:r>
        <w:rPr>
          <w:b/>
          <w:bCs/>
          <w:color w:val="2E75B6"/>
          <w:sz w:val="26"/>
          <w:szCs w:val="26"/>
        </w:rPr>
        <w:t xml:space="preserve">17.1 Dataset Download</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import kagglehub</w:t>
      </w:r>
      <w:r>
        <w:br/>
      </w:r>
      <w:r>
        <w:rPr>
          <w:rFonts w:ascii="Consolas" w:cs="Consolas" w:eastAsia="Consolas" w:hAnsi="Consolas"/>
          <w:color w:val="333333"/>
          <w:sz w:val="18"/>
          <w:szCs w:val="18"/>
        </w:rPr>
        <w:t xml:space="preserve">yogeshm01_india_air_quality_dataset_20252026_path = kagglehub.dataset_download(</w:t>
      </w:r>
      <w:r>
        <w:br/>
      </w:r>
      <w:r>
        <w:rPr>
          <w:rFonts w:ascii="Consolas" w:cs="Consolas" w:eastAsia="Consolas" w:hAnsi="Consolas"/>
          <w:color w:val="333333"/>
          <w:sz w:val="18"/>
          <w:szCs w:val="18"/>
        </w:rPr>
        <w:t xml:space="preserve">    'yogeshm01/india-air-quality-dataset-20252026'</w:t>
      </w:r>
      <w:r>
        <w:br/>
      </w:r>
      <w:r>
        <w:rPr>
          <w:rFonts w:ascii="Consolas" w:cs="Consolas" w:eastAsia="Consolas" w:hAnsi="Consolas"/>
          <w:color w:val="333333"/>
          <w:sz w:val="18"/>
          <w:szCs w:val="18"/>
        </w:rPr>
        <w:t xml:space="preserve">)</w:t>
      </w:r>
    </w:p>
    <w:p>
      <w:pPr>
        <w:spacing w:after="200" w:line="300"/>
        <w:jc w:val="both"/>
      </w:pPr>
      <w:r>
        <w:rPr>
          <w:b/>
          <w:bCs/>
          <w:sz w:val="22"/>
          <w:szCs w:val="22"/>
        </w:rPr>
        <w:t xml:space="preserve">Purpose: </w:t>
      </w:r>
      <w:r>
        <w:rPr>
          <w:sz w:val="22"/>
          <w:szCs w:val="22"/>
        </w:rPr>
        <w:t xml:space="preserve">Downloads the raw dataset from Kaggle (or retrieves it from a local cache) and returns the local filesystem path where the dataset files are stored.</w:t>
      </w:r>
    </w:p>
    <w:p>
      <w:pPr>
        <w:spacing w:after="200" w:line="300"/>
        <w:jc w:val="both"/>
      </w:pPr>
      <w:r>
        <w:rPr>
          <w:b/>
          <w:bCs/>
          <w:sz w:val="22"/>
          <w:szCs w:val="22"/>
        </w:rPr>
        <w:t xml:space="preserve">Inputs: </w:t>
      </w:r>
      <w:r>
        <w:rPr>
          <w:sz w:val="22"/>
          <w:szCs w:val="22"/>
        </w:rPr>
        <w:t xml:space="preserve">The Kaggle dataset identifier string.</w:t>
      </w:r>
    </w:p>
    <w:p>
      <w:pPr>
        <w:spacing w:after="200" w:line="300"/>
        <w:jc w:val="both"/>
      </w:pPr>
      <w:r>
        <w:rPr>
          <w:b/>
          <w:bCs/>
          <w:sz w:val="22"/>
          <w:szCs w:val="22"/>
        </w:rPr>
        <w:t xml:space="preserve">Outputs: </w:t>
      </w:r>
      <w:r>
        <w:rPr>
          <w:sz w:val="22"/>
          <w:szCs w:val="22"/>
        </w:rPr>
        <w:t xml:space="preserve">A local directory path containing the dataset's CSV file.</w:t>
      </w:r>
    </w:p>
    <w:p>
      <w:pPr>
        <w:spacing w:after="200" w:line="300"/>
        <w:jc w:val="both"/>
      </w:pPr>
      <w:r>
        <w:rPr>
          <w:b/>
          <w:bCs/>
          <w:sz w:val="22"/>
          <w:szCs w:val="22"/>
        </w:rPr>
        <w:t xml:space="preserve">Why it is necessary: </w:t>
      </w:r>
      <w:r>
        <w:rPr>
          <w:sz w:val="22"/>
          <w:szCs w:val="22"/>
        </w:rPr>
        <w:t xml:space="preserve">This step is necessary as the entry point of the pipeline — without it, no subsequent step has access to the underlying data.</w:t>
      </w:r>
    </w:p>
    <w:p>
      <w:pPr>
        <w:pStyle w:val="Heading2"/>
        <w:spacing w:after="180" w:before="360"/>
      </w:pPr>
      <w:r>
        <w:rPr>
          <w:b/>
          <w:bCs/>
          <w:color w:val="2E75B6"/>
          <w:sz w:val="26"/>
          <w:szCs w:val="26"/>
        </w:rPr>
        <w:t xml:space="preserve">17.2 Library Imports</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import pandas as pd</w:t>
      </w:r>
      <w:r>
        <w:br/>
      </w:r>
      <w:r>
        <w:rPr>
          <w:rFonts w:ascii="Consolas" w:cs="Consolas" w:eastAsia="Consolas" w:hAnsi="Consolas"/>
          <w:color w:val="333333"/>
          <w:sz w:val="18"/>
          <w:szCs w:val="18"/>
        </w:rPr>
        <w:t xml:space="preserve">import numpy as np</w:t>
      </w:r>
      <w:r>
        <w:br/>
      </w:r>
      <w:r>
        <w:rPr>
          <w:rFonts w:ascii="Consolas" w:cs="Consolas" w:eastAsia="Consolas" w:hAnsi="Consolas"/>
          <w:color w:val="333333"/>
          <w:sz w:val="18"/>
          <w:szCs w:val="18"/>
        </w:rPr>
        <w:t xml:space="preserve">import matplotlib.pyplot as plt</w:t>
      </w:r>
      <w:r>
        <w:br/>
      </w:r>
      <w:r>
        <w:rPr>
          <w:rFonts w:ascii="Consolas" w:cs="Consolas" w:eastAsia="Consolas" w:hAnsi="Consolas"/>
          <w:color w:val="333333"/>
          <w:sz w:val="18"/>
          <w:szCs w:val="18"/>
        </w:rPr>
        <w:t xml:space="preserve">import seaborn as sns</w:t>
      </w:r>
      <w:r>
        <w:br/>
      </w:r>
      <w:r>
        <w:rPr>
          <w:rFonts w:ascii="Consolas" w:cs="Consolas" w:eastAsia="Consolas" w:hAnsi="Consolas"/>
          <w:color w:val="333333"/>
          <w:sz w:val="18"/>
          <w:szCs w:val="18"/>
        </w:rPr>
        <w:t xml:space="preserve">from sklearn.model_selection import train_test_split</w:t>
      </w:r>
      <w:r>
        <w:br/>
      </w:r>
      <w:r>
        <w:rPr>
          <w:rFonts w:ascii="Consolas" w:cs="Consolas" w:eastAsia="Consolas" w:hAnsi="Consolas"/>
          <w:color w:val="333333"/>
          <w:sz w:val="18"/>
          <w:szCs w:val="18"/>
        </w:rPr>
        <w:t xml:space="preserve">from sklearn.preprocessing import LabelEncoder</w:t>
      </w:r>
      <w:r>
        <w:br/>
      </w:r>
      <w:r>
        <w:rPr>
          <w:rFonts w:ascii="Consolas" w:cs="Consolas" w:eastAsia="Consolas" w:hAnsi="Consolas"/>
          <w:color w:val="333333"/>
          <w:sz w:val="18"/>
          <w:szCs w:val="18"/>
        </w:rPr>
        <w:t xml:space="preserve">from sklearn.ensemble import RandomForestClassifier</w:t>
      </w:r>
      <w:r>
        <w:br/>
      </w:r>
      <w:r>
        <w:rPr>
          <w:rFonts w:ascii="Consolas" w:cs="Consolas" w:eastAsia="Consolas" w:hAnsi="Consolas"/>
          <w:color w:val="333333"/>
          <w:sz w:val="18"/>
          <w:szCs w:val="18"/>
        </w:rPr>
        <w:t xml:space="preserve">from sklearn.metrics import accuracy_score, classification_report, confusion_matrix</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sns.set_style("whitegrid")</w:t>
      </w:r>
      <w:r>
        <w:br/>
      </w:r>
      <w:r>
        <w:rPr>
          <w:rFonts w:ascii="Consolas" w:cs="Consolas" w:eastAsia="Consolas" w:hAnsi="Consolas"/>
          <w:color w:val="333333"/>
          <w:sz w:val="18"/>
          <w:szCs w:val="18"/>
        </w:rPr>
        <w:t xml:space="preserve">plt.rcParams["figure.figsize"] = (8, 5)</w:t>
      </w:r>
    </w:p>
    <w:p>
      <w:pPr>
        <w:spacing w:after="200" w:line="300"/>
        <w:jc w:val="both"/>
      </w:pPr>
      <w:r>
        <w:rPr>
          <w:b/>
          <w:bCs/>
          <w:sz w:val="22"/>
          <w:szCs w:val="22"/>
        </w:rPr>
        <w:t xml:space="preserve">Purpose: </w:t>
      </w:r>
      <w:r>
        <w:rPr>
          <w:sz w:val="22"/>
          <w:szCs w:val="22"/>
        </w:rPr>
        <w:t xml:space="preserve">Imports every core library required for data handling, visualization, and modeling, and configures global plotting defaults (a consistent whitegrid Seaborn theme and an 8×5 default figure size).</w:t>
      </w:r>
    </w:p>
    <w:p>
      <w:pPr>
        <w:spacing w:after="200" w:line="300"/>
        <w:jc w:val="both"/>
      </w:pPr>
      <w:r>
        <w:rPr>
          <w:b/>
          <w:bCs/>
          <w:sz w:val="22"/>
          <w:szCs w:val="22"/>
        </w:rPr>
        <w:t xml:space="preserve">Inputs: </w:t>
      </w:r>
      <w:r>
        <w:rPr>
          <w:sz w:val="22"/>
          <w:szCs w:val="22"/>
        </w:rPr>
        <w:t xml:space="preserve">None (library imports).</w:t>
      </w:r>
    </w:p>
    <w:p>
      <w:pPr>
        <w:spacing w:after="200" w:line="300"/>
        <w:jc w:val="both"/>
      </w:pPr>
      <w:r>
        <w:rPr>
          <w:b/>
          <w:bCs/>
          <w:sz w:val="22"/>
          <w:szCs w:val="22"/>
        </w:rPr>
        <w:t xml:space="preserve">Outputs: </w:t>
      </w:r>
      <w:r>
        <w:rPr>
          <w:sz w:val="22"/>
          <w:szCs w:val="22"/>
        </w:rPr>
        <w:t xml:space="preserve">Namespaces (pd, np, plt, sns) and specific classes/functions available for use throughout the rest of the notebook.</w:t>
      </w:r>
    </w:p>
    <w:p>
      <w:pPr>
        <w:spacing w:after="200" w:line="300"/>
        <w:jc w:val="both"/>
      </w:pPr>
      <w:r>
        <w:rPr>
          <w:b/>
          <w:bCs/>
          <w:sz w:val="22"/>
          <w:szCs w:val="22"/>
        </w:rPr>
        <w:t xml:space="preserve">Why it is necessary: </w:t>
      </w:r>
      <w:r>
        <w:rPr>
          <w:sz w:val="22"/>
          <w:szCs w:val="22"/>
        </w:rPr>
        <w:t xml:space="preserve">Centralizing imports and style configuration at the top of the notebook ensures every subsequent cell has consistent access to required tools and a uniform visual style across all figures.</w:t>
      </w:r>
    </w:p>
    <w:p>
      <w:pPr>
        <w:pStyle w:val="Heading2"/>
        <w:spacing w:after="180" w:before="360"/>
      </w:pPr>
      <w:r>
        <w:rPr>
          <w:b/>
          <w:bCs/>
          <w:color w:val="2E75B6"/>
          <w:sz w:val="26"/>
          <w:szCs w:val="26"/>
        </w:rPr>
        <w:t xml:space="preserve">17.3 Data Loading and Initial Inspection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df = pd.read_csv(f"{yogeshm01_india_air_quality_dataset_20252026_path}/enriched_aqi_dataset.csv")</w:t>
      </w:r>
      <w:r>
        <w:br/>
      </w:r>
      <w:r>
        <w:rPr>
          <w:rFonts w:ascii="Consolas" w:cs="Consolas" w:eastAsia="Consolas" w:hAnsi="Consolas"/>
          <w:color w:val="333333"/>
          <w:sz w:val="18"/>
          <w:szCs w:val="18"/>
        </w:rPr>
        <w:t xml:space="preserve">print("Shape of dataset:", df.shape)</w:t>
      </w:r>
      <w:r>
        <w:br/>
      </w:r>
      <w:r>
        <w:rPr>
          <w:rFonts w:ascii="Consolas" w:cs="Consolas" w:eastAsia="Consolas" w:hAnsi="Consolas"/>
          <w:color w:val="333333"/>
          <w:sz w:val="18"/>
          <w:szCs w:val="18"/>
        </w:rPr>
        <w:t xml:space="preserve">df.head(10)</w:t>
      </w:r>
    </w:p>
    <w:p>
      <w:pPr>
        <w:spacing w:after="200" w:line="300"/>
        <w:jc w:val="both"/>
      </w:pPr>
      <w:r>
        <w:rPr>
          <w:b/>
          <w:bCs/>
          <w:sz w:val="22"/>
          <w:szCs w:val="22"/>
        </w:rPr>
        <w:t xml:space="preserve">Purpose: </w:t>
      </w:r>
      <w:r>
        <w:rPr>
          <w:sz w:val="22"/>
          <w:szCs w:val="22"/>
        </w:rPr>
        <w:t xml:space="preserve">Loads the CSV file into a Pandas DataFrame and performs a first visual and structural check of the data.</w:t>
      </w:r>
    </w:p>
    <w:p>
      <w:pPr>
        <w:spacing w:after="200" w:line="300"/>
        <w:jc w:val="both"/>
      </w:pPr>
      <w:r>
        <w:rPr>
          <w:b/>
          <w:bCs/>
          <w:sz w:val="22"/>
          <w:szCs w:val="22"/>
        </w:rPr>
        <w:t xml:space="preserve">Inputs: </w:t>
      </w:r>
      <w:r>
        <w:rPr>
          <w:sz w:val="22"/>
          <w:szCs w:val="22"/>
        </w:rPr>
        <w:t xml:space="preserve">The file path returned by kagglehub.dataset_download().</w:t>
      </w:r>
    </w:p>
    <w:p>
      <w:pPr>
        <w:spacing w:after="200" w:line="300"/>
        <w:jc w:val="both"/>
      </w:pPr>
      <w:r>
        <w:rPr>
          <w:b/>
          <w:bCs/>
          <w:sz w:val="22"/>
          <w:szCs w:val="22"/>
        </w:rPr>
        <w:t xml:space="preserve">Outputs: </w:t>
      </w:r>
      <w:r>
        <w:rPr>
          <w:sz w:val="22"/>
          <w:szCs w:val="22"/>
        </w:rPr>
        <w:t xml:space="preserve">The DataFrame df; a printed shape of (10521, 22); a preview table of the first 10 rows.</w:t>
      </w:r>
    </w:p>
    <w:p>
      <w:pPr>
        <w:spacing w:after="200" w:line="300"/>
        <w:jc w:val="both"/>
      </w:pPr>
      <w:r>
        <w:rPr>
          <w:b/>
          <w:bCs/>
          <w:sz w:val="22"/>
          <w:szCs w:val="22"/>
        </w:rPr>
        <w:t xml:space="preserve">Why it is necessary: </w:t>
      </w:r>
      <w:r>
        <w:rPr>
          <w:sz w:val="22"/>
          <w:szCs w:val="22"/>
        </w:rPr>
        <w:t xml:space="preserve">Confirms the dataset loaded correctly and gives the analyst an immediate, concrete sense of the data's structure and content before further processing.</w:t>
      </w:r>
    </w:p>
    <w:p>
      <w:pPr>
        <w:pStyle w:val="Heading2"/>
        <w:spacing w:after="180" w:before="360"/>
      </w:pPr>
      <w:r>
        <w:rPr>
          <w:b/>
          <w:bCs/>
          <w:color w:val="2E75B6"/>
          <w:sz w:val="26"/>
          <w:szCs w:val="26"/>
        </w:rPr>
        <w:t xml:space="preserve">17.4 Structural and Statistical Inspection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df.info()</w:t>
      </w:r>
      <w:r>
        <w:br/>
      </w:r>
      <w:r>
        <w:rPr>
          <w:rFonts w:ascii="Consolas" w:cs="Consolas" w:eastAsia="Consolas" w:hAnsi="Consolas"/>
          <w:color w:val="333333"/>
          <w:sz w:val="18"/>
          <w:szCs w:val="18"/>
        </w:rPr>
        <w:t xml:space="preserve">df.isnull().sum()</w:t>
      </w:r>
      <w:r>
        <w:br/>
      </w:r>
      <w:r>
        <w:rPr>
          <w:rFonts w:ascii="Consolas" w:cs="Consolas" w:eastAsia="Consolas" w:hAnsi="Consolas"/>
          <w:color w:val="333333"/>
          <w:sz w:val="18"/>
          <w:szCs w:val="18"/>
        </w:rPr>
        <w:t xml:space="preserve">df.describe()</w:t>
      </w:r>
    </w:p>
    <w:p>
      <w:pPr>
        <w:spacing w:after="200" w:line="300"/>
        <w:jc w:val="both"/>
      </w:pPr>
      <w:r>
        <w:rPr>
          <w:b/>
          <w:bCs/>
          <w:sz w:val="22"/>
          <w:szCs w:val="22"/>
        </w:rPr>
        <w:t xml:space="preserve">Purpose: </w:t>
      </w:r>
      <w:r>
        <w:rPr>
          <w:sz w:val="22"/>
          <w:szCs w:val="22"/>
        </w:rPr>
        <w:t xml:space="preserve">Three complementary inspection calls: df.info() reports column data types and non-null counts; df.isnull().sum() quantifies missing values per column; df.describe() computes summary statistics (count, mean, std, min, quartiles, max) for all numeric columns.</w:t>
      </w:r>
    </w:p>
    <w:p>
      <w:pPr>
        <w:spacing w:after="200" w:line="300"/>
        <w:jc w:val="both"/>
      </w:pPr>
      <w:r>
        <w:rPr>
          <w:b/>
          <w:bCs/>
          <w:sz w:val="22"/>
          <w:szCs w:val="22"/>
        </w:rPr>
        <w:t xml:space="preserve">Inputs: </w:t>
      </w:r>
      <w:r>
        <w:rPr>
          <w:sz w:val="22"/>
          <w:szCs w:val="22"/>
        </w:rPr>
        <w:t xml:space="preserve">The loaded DataFrame df.</w:t>
      </w:r>
    </w:p>
    <w:p>
      <w:pPr>
        <w:spacing w:after="200" w:line="300"/>
        <w:jc w:val="both"/>
      </w:pPr>
      <w:r>
        <w:rPr>
          <w:b/>
          <w:bCs/>
          <w:sz w:val="22"/>
          <w:szCs w:val="22"/>
        </w:rPr>
        <w:t xml:space="preserve">Outputs: </w:t>
      </w:r>
      <w:r>
        <w:rPr>
          <w:sz w:val="22"/>
          <w:szCs w:val="22"/>
        </w:rPr>
        <w:t xml:space="preserve">Printed/tabular summaries of structure, missingness, and central-tendency/dispersion statistics.</w:t>
      </w:r>
    </w:p>
    <w:p>
      <w:pPr>
        <w:spacing w:after="200" w:line="300"/>
        <w:jc w:val="both"/>
      </w:pPr>
      <w:r>
        <w:rPr>
          <w:b/>
          <w:bCs/>
          <w:sz w:val="22"/>
          <w:szCs w:val="22"/>
        </w:rPr>
        <w:t xml:space="preserve">Why it is necessary: </w:t>
      </w:r>
      <w:r>
        <w:rPr>
          <w:sz w:val="22"/>
          <w:szCs w:val="22"/>
        </w:rPr>
        <w:t xml:space="preserve">This diagnostic step is essential for planning the cleaning strategy — it is what reveals the 357 missing values in the pollutant_min/max/avg columns and confirms all other columns are complete.</w:t>
      </w:r>
    </w:p>
    <w:p>
      <w:pPr>
        <w:pStyle w:val="Heading2"/>
        <w:spacing w:after="180" w:before="360"/>
      </w:pPr>
      <w:r>
        <w:rPr>
          <w:b/>
          <w:bCs/>
          <w:color w:val="2E75B6"/>
          <w:sz w:val="26"/>
          <w:szCs w:val="26"/>
        </w:rPr>
        <w:t xml:space="preserve">17.5 Missing Value Imputation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for col in ['pollutant_min', 'pollutant_max', 'pollutant_avg']:</w:t>
      </w:r>
      <w:r>
        <w:br/>
      </w:r>
      <w:r>
        <w:rPr>
          <w:rFonts w:ascii="Consolas" w:cs="Consolas" w:eastAsia="Consolas" w:hAnsi="Consolas"/>
          <w:color w:val="333333"/>
          <w:sz w:val="18"/>
          <w:szCs w:val="18"/>
        </w:rPr>
        <w:t xml:space="preserve">    if df[col].isnull().any():</w:t>
      </w:r>
      <w:r>
        <w:br/>
      </w:r>
      <w:r>
        <w:rPr>
          <w:rFonts w:ascii="Consolas" w:cs="Consolas" w:eastAsia="Consolas" w:hAnsi="Consolas"/>
          <w:color w:val="333333"/>
          <w:sz w:val="18"/>
          <w:szCs w:val="18"/>
        </w:rPr>
        <w:t xml:space="preserve">        df[col].fillna(df[col].mean(), inplace=True)</w:t>
      </w:r>
      <w:r>
        <w:br/>
      </w:r>
      <w:r>
        <w:rPr>
          <w:rFonts w:ascii="Consolas" w:cs="Consolas" w:eastAsia="Consolas" w:hAnsi="Consolas"/>
          <w:color w:val="333333"/>
          <w:sz w:val="18"/>
          <w:szCs w:val="18"/>
        </w:rPr>
        <w:t xml:space="preserve">print(df.isnull().sum())</w:t>
      </w:r>
    </w:p>
    <w:p>
      <w:pPr>
        <w:spacing w:after="200" w:line="300"/>
        <w:jc w:val="both"/>
      </w:pPr>
      <w:r>
        <w:rPr>
          <w:b/>
          <w:bCs/>
          <w:sz w:val="22"/>
          <w:szCs w:val="22"/>
        </w:rPr>
        <w:t xml:space="preserve">Purpose: </w:t>
      </w:r>
      <w:r>
        <w:rPr>
          <w:sz w:val="22"/>
          <w:szCs w:val="22"/>
        </w:rPr>
        <w:t xml:space="preserve">Iterates over the three pollutant statistic columns and replaces missing entries with the column's mean value.</w:t>
      </w:r>
    </w:p>
    <w:p>
      <w:pPr>
        <w:spacing w:after="200" w:line="300"/>
        <w:jc w:val="both"/>
      </w:pPr>
      <w:r>
        <w:rPr>
          <w:b/>
          <w:bCs/>
          <w:sz w:val="22"/>
          <w:szCs w:val="22"/>
        </w:rPr>
        <w:t xml:space="preserve">Inputs: </w:t>
      </w:r>
      <w:r>
        <w:rPr>
          <w:sz w:val="22"/>
          <w:szCs w:val="22"/>
        </w:rPr>
        <w:t xml:space="preserve">The DataFrame df with 357 missing values in each of the three target columns.</w:t>
      </w:r>
    </w:p>
    <w:p>
      <w:pPr>
        <w:spacing w:after="200" w:line="300"/>
        <w:jc w:val="both"/>
      </w:pPr>
      <w:r>
        <w:rPr>
          <w:b/>
          <w:bCs/>
          <w:sz w:val="22"/>
          <w:szCs w:val="22"/>
        </w:rPr>
        <w:t xml:space="preserve">Outputs: </w:t>
      </w:r>
      <w:r>
        <w:rPr>
          <w:sz w:val="22"/>
          <w:szCs w:val="22"/>
        </w:rPr>
        <w:t xml:space="preserve">The same DataFrame, now with zero missing values in all columns, confirmed by the follow-up df.isnull().sum() call.</w:t>
      </w:r>
    </w:p>
    <w:p>
      <w:pPr>
        <w:spacing w:after="200" w:line="300"/>
        <w:jc w:val="both"/>
      </w:pPr>
      <w:r>
        <w:rPr>
          <w:b/>
          <w:bCs/>
          <w:sz w:val="22"/>
          <w:szCs w:val="22"/>
        </w:rPr>
        <w:t xml:space="preserve">Why it is necessary: </w:t>
      </w:r>
      <w:r>
        <w:rPr>
          <w:sz w:val="22"/>
          <w:szCs w:val="22"/>
        </w:rPr>
        <w:t xml:space="preserve">Most scikit-learn estimators cannot process NaN values directly; imputing rather than dropping the affected 357 rows also preserves the maximum amount of training data.</w:t>
      </w:r>
    </w:p>
    <w:p>
      <w:pPr>
        <w:pStyle w:val="Heading2"/>
        <w:spacing w:after="180" w:before="360"/>
      </w:pPr>
      <w:r>
        <w:rPr>
          <w:b/>
          <w:bCs/>
          <w:color w:val="2E75B6"/>
          <w:sz w:val="26"/>
          <w:szCs w:val="26"/>
        </w:rPr>
        <w:t xml:space="preserve">17.6 Datetime Parsing</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df['last_update'] = pd.to_datetime(df['last_update'])</w:t>
      </w:r>
    </w:p>
    <w:p>
      <w:pPr>
        <w:spacing w:after="200" w:line="300"/>
        <w:jc w:val="both"/>
      </w:pPr>
      <w:r>
        <w:rPr>
          <w:b/>
          <w:bCs/>
          <w:sz w:val="22"/>
          <w:szCs w:val="22"/>
        </w:rPr>
        <w:t xml:space="preserve">Purpose: </w:t>
      </w:r>
      <w:r>
        <w:rPr>
          <w:sz w:val="22"/>
          <w:szCs w:val="22"/>
        </w:rPr>
        <w:t xml:space="preserve">Converts the last_update column from a raw string representation into a native Pandas datetime object.</w:t>
      </w:r>
    </w:p>
    <w:p>
      <w:pPr>
        <w:spacing w:after="200" w:line="300"/>
        <w:jc w:val="both"/>
      </w:pPr>
      <w:r>
        <w:rPr>
          <w:b/>
          <w:bCs/>
          <w:sz w:val="22"/>
          <w:szCs w:val="22"/>
        </w:rPr>
        <w:t xml:space="preserve">Inputs: </w:t>
      </w:r>
      <w:r>
        <w:rPr>
          <w:sz w:val="22"/>
          <w:szCs w:val="22"/>
        </w:rPr>
        <w:t xml:space="preserve">The string-typed last_update column.</w:t>
      </w:r>
    </w:p>
    <w:p>
      <w:pPr>
        <w:spacing w:after="200" w:line="300"/>
        <w:jc w:val="both"/>
      </w:pPr>
      <w:r>
        <w:rPr>
          <w:b/>
          <w:bCs/>
          <w:sz w:val="22"/>
          <w:szCs w:val="22"/>
        </w:rPr>
        <w:t xml:space="preserve">Outputs: </w:t>
      </w:r>
      <w:r>
        <w:rPr>
          <w:sz w:val="22"/>
          <w:szCs w:val="22"/>
        </w:rPr>
        <w:t xml:space="preserve">The same column, now typed as datetime64, enabling correct chronological operations if needed.</w:t>
      </w:r>
    </w:p>
    <w:p>
      <w:pPr>
        <w:spacing w:after="200" w:line="300"/>
        <w:jc w:val="both"/>
      </w:pPr>
      <w:r>
        <w:rPr>
          <w:b/>
          <w:bCs/>
          <w:sz w:val="22"/>
          <w:szCs w:val="22"/>
        </w:rPr>
        <w:t xml:space="preserve">Why it is necessary: </w:t>
      </w:r>
      <w:r>
        <w:rPr>
          <w:sz w:val="22"/>
          <w:szCs w:val="22"/>
        </w:rPr>
        <w:t xml:space="preserve">Ensures type correctness and would be a prerequisite for any subsequent time-based filtering or resampling, even though this column is ultimately excluded from the modeling feature set.</w:t>
      </w:r>
    </w:p>
    <w:p>
      <w:pPr>
        <w:pStyle w:val="Heading2"/>
        <w:spacing w:after="180" w:before="360"/>
      </w:pPr>
      <w:r>
        <w:rPr>
          <w:b/>
          <w:bCs/>
          <w:color w:val="2E75B6"/>
          <w:sz w:val="26"/>
          <w:szCs w:val="26"/>
        </w:rPr>
        <w:t xml:space="preserve">17.7 AQI Category Boundary Verification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df.groupby("AQI_Bucket")["AQI"].agg(["min", "max"])</w:t>
      </w:r>
    </w:p>
    <w:p>
      <w:pPr>
        <w:spacing w:after="200" w:line="300"/>
        <w:jc w:val="both"/>
      </w:pPr>
      <w:r>
        <w:rPr>
          <w:b/>
          <w:bCs/>
          <w:sz w:val="22"/>
          <w:szCs w:val="22"/>
        </w:rPr>
        <w:t xml:space="preserve">Purpose: </w:t>
      </w:r>
      <w:r>
        <w:rPr>
          <w:sz w:val="22"/>
          <w:szCs w:val="22"/>
        </w:rPr>
        <w:t xml:space="preserve">Groups the dataset by the categorical AQI_Bucket label and computes the minimum and maximum numeric AQI value observed within each category.</w:t>
      </w:r>
    </w:p>
    <w:p>
      <w:pPr>
        <w:spacing w:after="200" w:line="300"/>
        <w:jc w:val="both"/>
      </w:pPr>
      <w:r>
        <w:rPr>
          <w:b/>
          <w:bCs/>
          <w:sz w:val="22"/>
          <w:szCs w:val="22"/>
        </w:rPr>
        <w:t xml:space="preserve">Inputs: </w:t>
      </w:r>
      <w:r>
        <w:rPr>
          <w:sz w:val="22"/>
          <w:szCs w:val="22"/>
        </w:rPr>
        <w:t xml:space="preserve">The AQI_Bucket and AQI columns.</w:t>
      </w:r>
    </w:p>
    <w:p>
      <w:pPr>
        <w:spacing w:after="200" w:line="300"/>
        <w:jc w:val="both"/>
      </w:pPr>
      <w:r>
        <w:rPr>
          <w:b/>
          <w:bCs/>
          <w:sz w:val="22"/>
          <w:szCs w:val="22"/>
        </w:rPr>
        <w:t xml:space="preserve">Outputs: </w:t>
      </w:r>
      <w:r>
        <w:rPr>
          <w:sz w:val="22"/>
          <w:szCs w:val="22"/>
        </w:rPr>
        <w:t xml:space="preserve">A small summary table confirming the exact numeric range (e.g., 'Good': 0–50, 'Hazardous': 301–499) associated with each category.</w:t>
      </w:r>
    </w:p>
    <w:p>
      <w:pPr>
        <w:spacing w:after="200" w:line="300"/>
        <w:jc w:val="both"/>
      </w:pPr>
      <w:r>
        <w:rPr>
          <w:b/>
          <w:bCs/>
          <w:sz w:val="22"/>
          <w:szCs w:val="22"/>
        </w:rPr>
        <w:t xml:space="preserve">Why it is necessary: </w:t>
      </w:r>
      <w:r>
        <w:rPr>
          <w:sz w:val="22"/>
          <w:szCs w:val="22"/>
        </w:rPr>
        <w:t xml:space="preserve">Empirically validates that AQI_Bucket is a deterministic, threshold-based transformation of AQI, which directly informs the feature-selection decision to exclude the raw AQI column to avoid target leakage.</w:t>
      </w:r>
    </w:p>
    <w:p>
      <w:pPr>
        <w:pStyle w:val="Heading2"/>
        <w:spacing w:after="180" w:before="360"/>
      </w:pPr>
      <w:r>
        <w:rPr>
          <w:b/>
          <w:bCs/>
          <w:color w:val="2E75B6"/>
          <w:sz w:val="26"/>
          <w:szCs w:val="26"/>
        </w:rPr>
        <w:t xml:space="preserve">17.8 Feature and Target Definition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drop_cols = ["AQI", "country", "city", "station", "last_update", "latitude", "longitude", "date"]</w:t>
      </w:r>
      <w:r>
        <w:br/>
      </w:r>
      <w:r>
        <w:rPr>
          <w:rFonts w:ascii="Consolas" w:cs="Consolas" w:eastAsia="Consolas" w:hAnsi="Consolas"/>
          <w:color w:val="333333"/>
          <w:sz w:val="18"/>
          <w:szCs w:val="18"/>
        </w:rPr>
        <w:t xml:space="preserve">target = "AQI_Bucket"</w:t>
      </w:r>
      <w:r>
        <w:br/>
      </w:r>
      <w:r>
        <w:rPr>
          <w:rFonts w:ascii="Consolas" w:cs="Consolas" w:eastAsia="Consolas" w:hAnsi="Consolas"/>
          <w:color w:val="333333"/>
          <w:sz w:val="18"/>
          <w:szCs w:val="18"/>
        </w:rPr>
        <w:t xml:space="preserve">feature_cols = [c for c in df.columns if c not in drop_cols + [target]]</w:t>
      </w:r>
    </w:p>
    <w:p>
      <w:pPr>
        <w:spacing w:after="200" w:line="300"/>
        <w:jc w:val="both"/>
      </w:pPr>
      <w:r>
        <w:rPr>
          <w:b/>
          <w:bCs/>
          <w:sz w:val="22"/>
          <w:szCs w:val="22"/>
        </w:rPr>
        <w:t xml:space="preserve">Purpose: </w:t>
      </w:r>
      <w:r>
        <w:rPr>
          <w:sz w:val="22"/>
          <w:szCs w:val="22"/>
        </w:rPr>
        <w:t xml:space="preserve">Explicitly defines which columns will serve as model inputs (feature_cols) and which column is the prediction target (target), by excluding columns identified as leakage-prone, constant, or overly granular.</w:t>
      </w:r>
    </w:p>
    <w:p>
      <w:pPr>
        <w:spacing w:after="200" w:line="300"/>
        <w:jc w:val="both"/>
      </w:pPr>
      <w:r>
        <w:rPr>
          <w:b/>
          <w:bCs/>
          <w:sz w:val="22"/>
          <w:szCs w:val="22"/>
        </w:rPr>
        <w:t xml:space="preserve">Inputs: </w:t>
      </w:r>
      <w:r>
        <w:rPr>
          <w:sz w:val="22"/>
          <w:szCs w:val="22"/>
        </w:rPr>
        <w:t xml:space="preserve">The full list of DataFrame columns and the exclusion list drop_cols.</w:t>
      </w:r>
    </w:p>
    <w:p>
      <w:pPr>
        <w:spacing w:after="200" w:line="300"/>
        <w:jc w:val="both"/>
      </w:pPr>
      <w:r>
        <w:rPr>
          <w:b/>
          <w:bCs/>
          <w:sz w:val="22"/>
          <w:szCs w:val="22"/>
        </w:rPr>
        <w:t xml:space="preserve">Outputs: </w:t>
      </w:r>
      <w:r>
        <w:rPr>
          <w:sz w:val="22"/>
          <w:szCs w:val="22"/>
        </w:rPr>
        <w:t xml:space="preserve">The list feature_cols containing the fourteen selected input features, and the string target = 'AQI_Bucket'.</w:t>
      </w:r>
    </w:p>
    <w:p>
      <w:pPr>
        <w:spacing w:after="200" w:line="300"/>
        <w:jc w:val="both"/>
      </w:pPr>
      <w:r>
        <w:rPr>
          <w:b/>
          <w:bCs/>
          <w:sz w:val="22"/>
          <w:szCs w:val="22"/>
        </w:rPr>
        <w:t xml:space="preserve">Why it is necessary: </w:t>
      </w:r>
      <w:r>
        <w:rPr>
          <w:sz w:val="22"/>
          <w:szCs w:val="22"/>
        </w:rPr>
        <w:t xml:space="preserve">This is the central feature-selection decision of the project, directly shaping what information the model is permitted to learn from and preventing the trivial leakage that would occur if the numeric AQI column were retained.</w:t>
      </w:r>
    </w:p>
    <w:p>
      <w:pPr>
        <w:pStyle w:val="Heading2"/>
        <w:spacing w:after="180" w:before="360"/>
      </w:pPr>
      <w:r>
        <w:rPr>
          <w:b/>
          <w:bCs/>
          <w:color w:val="2E75B6"/>
          <w:sz w:val="26"/>
          <w:szCs w:val="26"/>
        </w:rPr>
        <w:t xml:space="preserve">17.9 Exploratory Visualizations</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sns.countplot(data=df, x="AQI_Bucket", order=order)</w:t>
      </w:r>
      <w:r>
        <w:br/>
      </w:r>
      <w:r>
        <w:rPr>
          <w:rFonts w:ascii="Consolas" w:cs="Consolas" w:eastAsia="Consolas" w:hAnsi="Consolas"/>
          <w:color w:val="333333"/>
          <w:sz w:val="18"/>
          <w:szCs w:val="18"/>
        </w:rPr>
        <w:t xml:space="preserve">sns.boxplot(data=df, x="pollutant_id", y="pollutant_avg")</w:t>
      </w:r>
      <w:r>
        <w:br/>
      </w:r>
      <w:r>
        <w:rPr>
          <w:rFonts w:ascii="Consolas" w:cs="Consolas" w:eastAsia="Consolas" w:hAnsi="Consolas"/>
          <w:color w:val="333333"/>
          <w:sz w:val="18"/>
          <w:szCs w:val="18"/>
        </w:rPr>
        <w:t xml:space="preserve">sns.heatmap(df[numeric_cols].corr(), annot=True, cmap="coolwarm", fmt=".2f")</w:t>
      </w:r>
      <w:r>
        <w:br/>
      </w:r>
      <w:r>
        <w:rPr>
          <w:rFonts w:ascii="Consolas" w:cs="Consolas" w:eastAsia="Consolas" w:hAnsi="Consolas"/>
          <w:color w:val="333333"/>
          <w:sz w:val="18"/>
          <w:szCs w:val="18"/>
        </w:rPr>
        <w:t xml:space="preserve">sns.lineplot(data=monthly_aqi, x='Month', y='AQI', marker='o')</w:t>
      </w:r>
      <w:r>
        <w:br/>
      </w:r>
      <w:r>
        <w:rPr>
          <w:rFonts w:ascii="Consolas" w:cs="Consolas" w:eastAsia="Consolas" w:hAnsi="Consolas"/>
          <w:color w:val="333333"/>
          <w:sz w:val="18"/>
          <w:szCs w:val="18"/>
        </w:rPr>
        <w:t xml:space="preserve">sns.barplot(data=state_aqi, x='AQI', y='state', palette='viridis')</w:t>
      </w:r>
    </w:p>
    <w:p>
      <w:pPr>
        <w:spacing w:after="200" w:line="300"/>
        <w:jc w:val="both"/>
      </w:pPr>
      <w:r>
        <w:rPr>
          <w:b/>
          <w:bCs/>
          <w:sz w:val="22"/>
          <w:szCs w:val="22"/>
        </w:rPr>
        <w:t xml:space="preserve">Purpose: </w:t>
      </w:r>
      <w:r>
        <w:rPr>
          <w:sz w:val="22"/>
          <w:szCs w:val="22"/>
        </w:rPr>
        <w:t xml:space="preserve">A sequence of five plotting calls generating the count plot of AQI category frequency, the box plot of pollutant averages by pollutant type, the numeric correlation heatmap, the monthly average AQI line plot, and the average-AQI-by-state bar plot.</w:t>
      </w:r>
    </w:p>
    <w:p>
      <w:pPr>
        <w:spacing w:after="200" w:line="300"/>
        <w:jc w:val="both"/>
      </w:pPr>
      <w:r>
        <w:rPr>
          <w:b/>
          <w:bCs/>
          <w:sz w:val="22"/>
          <w:szCs w:val="22"/>
        </w:rPr>
        <w:t xml:space="preserve">Inputs: </w:t>
      </w:r>
      <w:r>
        <w:rPr>
          <w:sz w:val="22"/>
          <w:szCs w:val="22"/>
        </w:rPr>
        <w:t xml:space="preserve">The cleaned DataFrame df, plus small grouped/aggregated DataFrames (monthly_aqi, state_aqi) derived from it via groupby operations.</w:t>
      </w:r>
    </w:p>
    <w:p>
      <w:pPr>
        <w:spacing w:after="200" w:line="300"/>
        <w:jc w:val="both"/>
      </w:pPr>
      <w:r>
        <w:rPr>
          <w:b/>
          <w:bCs/>
          <w:sz w:val="22"/>
          <w:szCs w:val="22"/>
        </w:rPr>
        <w:t xml:space="preserve">Outputs: </w:t>
      </w:r>
      <w:r>
        <w:rPr>
          <w:sz w:val="22"/>
          <w:szCs w:val="22"/>
        </w:rPr>
        <w:t xml:space="preserve">Five rendered Matplotlib/Seaborn figures, each saved and displayed inline in the notebook.</w:t>
      </w:r>
    </w:p>
    <w:p>
      <w:pPr>
        <w:spacing w:after="200" w:line="300"/>
        <w:jc w:val="both"/>
      </w:pPr>
      <w:r>
        <w:rPr>
          <w:b/>
          <w:bCs/>
          <w:sz w:val="22"/>
          <w:szCs w:val="22"/>
        </w:rPr>
        <w:t xml:space="preserve">Why it is necessary: </w:t>
      </w:r>
      <w:r>
        <w:rPr>
          <w:sz w:val="22"/>
          <w:szCs w:val="22"/>
        </w:rPr>
        <w:t xml:space="preserve">Collectively, these visualizations (detailed individually in Section 7) establish the empirical foundation for understanding class imbalance, pollutant behavior, feature correlation, and temporal/geographic patterns that inform later modeling and interpretation decisions.</w:t>
      </w:r>
    </w:p>
    <w:p>
      <w:pPr>
        <w:pStyle w:val="Heading2"/>
        <w:spacing w:after="180" w:before="360"/>
      </w:pPr>
      <w:r>
        <w:rPr>
          <w:b/>
          <w:bCs/>
          <w:color w:val="2E75B6"/>
          <w:sz w:val="26"/>
          <w:szCs w:val="26"/>
        </w:rPr>
        <w:t xml:space="preserve">17.10 Categorical Encoding</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X = df[feature_cols].copy()</w:t>
      </w:r>
      <w:r>
        <w:br/>
      </w:r>
      <w:r>
        <w:rPr>
          <w:rFonts w:ascii="Consolas" w:cs="Consolas" w:eastAsia="Consolas" w:hAnsi="Consolas"/>
          <w:color w:val="333333"/>
          <w:sz w:val="18"/>
          <w:szCs w:val="18"/>
        </w:rPr>
        <w:t xml:space="preserve">y = df[target].copy()</w:t>
      </w:r>
      <w:r>
        <w:br/>
      </w:r>
      <w:r>
        <w:rPr>
          <w:rFonts w:ascii="Consolas" w:cs="Consolas" w:eastAsia="Consolas" w:hAnsi="Consolas"/>
          <w:color w:val="333333"/>
          <w:sz w:val="18"/>
          <w:szCs w:val="18"/>
        </w:rPr>
        <w:t xml:space="preserve">encoders = {}</w:t>
      </w:r>
      <w:r>
        <w:br/>
      </w:r>
      <w:r>
        <w:rPr>
          <w:rFonts w:ascii="Consolas" w:cs="Consolas" w:eastAsia="Consolas" w:hAnsi="Consolas"/>
          <w:color w:val="333333"/>
          <w:sz w:val="18"/>
          <w:szCs w:val="18"/>
        </w:rPr>
        <w:t xml:space="preserve">for col in ["state", "pollutant_id", "Season"]:</w:t>
      </w:r>
      <w:r>
        <w:br/>
      </w:r>
      <w:r>
        <w:rPr>
          <w:rFonts w:ascii="Consolas" w:cs="Consolas" w:eastAsia="Consolas" w:hAnsi="Consolas"/>
          <w:color w:val="333333"/>
          <w:sz w:val="18"/>
          <w:szCs w:val="18"/>
        </w:rPr>
        <w:t xml:space="preserve">    le = LabelEncoder()</w:t>
      </w:r>
      <w:r>
        <w:br/>
      </w:r>
      <w:r>
        <w:rPr>
          <w:rFonts w:ascii="Consolas" w:cs="Consolas" w:eastAsia="Consolas" w:hAnsi="Consolas"/>
          <w:color w:val="333333"/>
          <w:sz w:val="18"/>
          <w:szCs w:val="18"/>
        </w:rPr>
        <w:t xml:space="preserve">    X[col] = le.fit_transform(X[col])</w:t>
      </w:r>
      <w:r>
        <w:br/>
      </w:r>
      <w:r>
        <w:rPr>
          <w:rFonts w:ascii="Consolas" w:cs="Consolas" w:eastAsia="Consolas" w:hAnsi="Consolas"/>
          <w:color w:val="333333"/>
          <w:sz w:val="18"/>
          <w:szCs w:val="18"/>
        </w:rPr>
        <w:t xml:space="preserve">    encoders[col] = le</w:t>
      </w:r>
    </w:p>
    <w:p>
      <w:pPr>
        <w:spacing w:after="200" w:line="300"/>
        <w:jc w:val="both"/>
      </w:pPr>
      <w:r>
        <w:rPr>
          <w:b/>
          <w:bCs/>
          <w:sz w:val="22"/>
          <w:szCs w:val="22"/>
        </w:rPr>
        <w:t xml:space="preserve">Purpose: </w:t>
      </w:r>
      <w:r>
        <w:rPr>
          <w:sz w:val="22"/>
          <w:szCs w:val="22"/>
        </w:rPr>
        <w:t xml:space="preserve">Constructs the feature matrix X and target vector y, then applies Label Encoding to the three categorical columns, storing each fitted encoder in a dictionary for later reuse.</w:t>
      </w:r>
    </w:p>
    <w:p>
      <w:pPr>
        <w:spacing w:after="200" w:line="300"/>
        <w:jc w:val="both"/>
      </w:pPr>
      <w:r>
        <w:rPr>
          <w:b/>
          <w:bCs/>
          <w:sz w:val="22"/>
          <w:szCs w:val="22"/>
        </w:rPr>
        <w:t xml:space="preserve">Inputs: </w:t>
      </w:r>
      <w:r>
        <w:rPr>
          <w:sz w:val="22"/>
          <w:szCs w:val="22"/>
        </w:rPr>
        <w:t xml:space="preserve">The DataFrame df, the feature_cols list, and the target column name.</w:t>
      </w:r>
    </w:p>
    <w:p>
      <w:pPr>
        <w:spacing w:after="200" w:line="300"/>
        <w:jc w:val="both"/>
      </w:pPr>
      <w:r>
        <w:rPr>
          <w:b/>
          <w:bCs/>
          <w:sz w:val="22"/>
          <w:szCs w:val="22"/>
        </w:rPr>
        <w:t xml:space="preserve">Outputs: </w:t>
      </w:r>
      <w:r>
        <w:rPr>
          <w:sz w:val="22"/>
          <w:szCs w:val="22"/>
        </w:rPr>
        <w:t xml:space="preserve">A fully numeric feature matrix X; the target vector y (still string-labeled, since scikit-learn classifiers can accept string class labels directly); and the encoders dictionary containing three fitted LabelEncoder objects.</w:t>
      </w:r>
    </w:p>
    <w:p>
      <w:pPr>
        <w:spacing w:after="200" w:line="300"/>
        <w:jc w:val="both"/>
      </w:pPr>
      <w:r>
        <w:rPr>
          <w:b/>
          <w:bCs/>
          <w:sz w:val="22"/>
          <w:szCs w:val="22"/>
        </w:rPr>
        <w:t xml:space="preserve">Why it is necessary: </w:t>
      </w:r>
      <w:r>
        <w:rPr>
          <w:sz w:val="22"/>
          <w:szCs w:val="22"/>
        </w:rPr>
        <w:t xml:space="preserve">Machine learning estimators in scikit-learn require numeric input features; storing the fitted encoders (rather than re-fitting new ones later) ensures that any future data — including user input in the deployed application — is encoded identically and consistently with what the model learned from during training.</w:t>
      </w:r>
    </w:p>
    <w:p>
      <w:pPr>
        <w:pStyle w:val="Heading2"/>
        <w:spacing w:after="180" w:before="360"/>
      </w:pPr>
      <w:r>
        <w:rPr>
          <w:b/>
          <w:bCs/>
          <w:color w:val="2E75B6"/>
          <w:sz w:val="26"/>
          <w:szCs w:val="26"/>
        </w:rPr>
        <w:t xml:space="preserve">17.11 Train/Test Split</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X_train, X_test, y_train, y_test = train_test_split(</w:t>
      </w:r>
      <w:r>
        <w:br/>
      </w:r>
      <w:r>
        <w:rPr>
          <w:rFonts w:ascii="Consolas" w:cs="Consolas" w:eastAsia="Consolas" w:hAnsi="Consolas"/>
          <w:color w:val="333333"/>
          <w:sz w:val="18"/>
          <w:szCs w:val="18"/>
        </w:rPr>
        <w:t xml:space="preserve">    X, y, test_size=0.2, random_state=42, stratify=y</w:t>
      </w:r>
      <w:r>
        <w:br/>
      </w:r>
      <w:r>
        <w:rPr>
          <w:rFonts w:ascii="Consolas" w:cs="Consolas" w:eastAsia="Consolas" w:hAnsi="Consolas"/>
          <w:color w:val="333333"/>
          <w:sz w:val="18"/>
          <w:szCs w:val="18"/>
        </w:rPr>
        <w:t xml:space="preserve">)</w:t>
      </w:r>
    </w:p>
    <w:p>
      <w:pPr>
        <w:spacing w:after="200" w:line="300"/>
        <w:jc w:val="both"/>
      </w:pPr>
      <w:r>
        <w:rPr>
          <w:b/>
          <w:bCs/>
          <w:sz w:val="22"/>
          <w:szCs w:val="22"/>
        </w:rPr>
        <w:t xml:space="preserve">Purpose: </w:t>
      </w:r>
      <w:r>
        <w:rPr>
          <w:sz w:val="22"/>
          <w:szCs w:val="22"/>
        </w:rPr>
        <w:t xml:space="preserve">Partitions the feature matrix and target vector into training (80%) and testing (20%) subsets.</w:t>
      </w:r>
    </w:p>
    <w:p>
      <w:pPr>
        <w:spacing w:after="200" w:line="300"/>
        <w:jc w:val="both"/>
      </w:pPr>
      <w:r>
        <w:rPr>
          <w:b/>
          <w:bCs/>
          <w:sz w:val="22"/>
          <w:szCs w:val="22"/>
        </w:rPr>
        <w:t xml:space="preserve">Inputs: </w:t>
      </w:r>
      <w:r>
        <w:rPr>
          <w:sz w:val="22"/>
          <w:szCs w:val="22"/>
        </w:rPr>
        <w:t xml:space="preserve">The full feature matrix X and target vector y.</w:t>
      </w:r>
    </w:p>
    <w:p>
      <w:pPr>
        <w:spacing w:after="200" w:line="300"/>
        <w:jc w:val="both"/>
      </w:pPr>
      <w:r>
        <w:rPr>
          <w:b/>
          <w:bCs/>
          <w:sz w:val="22"/>
          <w:szCs w:val="22"/>
        </w:rPr>
        <w:t xml:space="preserve">Outputs: </w:t>
      </w:r>
      <w:r>
        <w:rPr>
          <w:sz w:val="22"/>
          <w:szCs w:val="22"/>
        </w:rPr>
        <w:t xml:space="preserve">Four arrays: X_train (8,416 samples), X_test (2,105 samples), y_train, and y_test.</w:t>
      </w:r>
    </w:p>
    <w:p>
      <w:pPr>
        <w:spacing w:after="200" w:line="300"/>
        <w:jc w:val="both"/>
      </w:pPr>
      <w:r>
        <w:rPr>
          <w:b/>
          <w:bCs/>
          <w:sz w:val="22"/>
          <w:szCs w:val="22"/>
        </w:rPr>
        <w:t xml:space="preserve">Why it is necessary: </w:t>
      </w:r>
      <w:r>
        <w:rPr>
          <w:sz w:val="22"/>
          <w:szCs w:val="22"/>
        </w:rPr>
        <w:t xml:space="preserve">A held-out test set is essential to obtain an honest estimate of model performance on data not seen during training; the stratify=y argument ensures the proportion of each AQI_Bucket class is preserved identically in both the training and test subsets, which is important given the class imbalance identified during EDA.</w:t>
      </w:r>
    </w:p>
    <w:p>
      <w:pPr>
        <w:pStyle w:val="Heading2"/>
        <w:spacing w:after="180" w:before="360"/>
      </w:pPr>
      <w:r>
        <w:rPr>
          <w:b/>
          <w:bCs/>
          <w:color w:val="2E75B6"/>
          <w:sz w:val="26"/>
          <w:szCs w:val="26"/>
        </w:rPr>
        <w:t xml:space="preserve">17.12 Random Forest Training and Evaluation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model = RandomForestClassifier(n_estimators=300, max_depth=None, random_state=42, n_jobs=-1, verbose=1)</w:t>
      </w:r>
      <w:r>
        <w:br/>
      </w:r>
      <w:r>
        <w:rPr>
          <w:rFonts w:ascii="Consolas" w:cs="Consolas" w:eastAsia="Consolas" w:hAnsi="Consolas"/>
          <w:color w:val="333333"/>
          <w:sz w:val="18"/>
          <w:szCs w:val="18"/>
        </w:rPr>
        <w:t xml:space="preserve">model.fit(X_train, y_train)</w:t>
      </w:r>
      <w:r>
        <w:br/>
      </w:r>
      <w:r>
        <w:rPr>
          <w:rFonts w:ascii="Consolas" w:cs="Consolas" w:eastAsia="Consolas" w:hAnsi="Consolas"/>
          <w:color w:val="333333"/>
          <w:sz w:val="18"/>
          <w:szCs w:val="18"/>
        </w:rPr>
        <w:t xml:space="preserve">y_pred = model.predict(X_test)</w:t>
      </w:r>
      <w:r>
        <w:br/>
      </w:r>
      <w:r>
        <w:rPr>
          <w:rFonts w:ascii="Consolas" w:cs="Consolas" w:eastAsia="Consolas" w:hAnsi="Consolas"/>
          <w:color w:val="333333"/>
          <w:sz w:val="18"/>
          <w:szCs w:val="18"/>
        </w:rPr>
        <w:t xml:space="preserve">acc = accuracy_score(y_test, y_pred)</w:t>
      </w:r>
      <w:r>
        <w:br/>
      </w:r>
      <w:r>
        <w:rPr>
          <w:rFonts w:ascii="Consolas" w:cs="Consolas" w:eastAsia="Consolas" w:hAnsi="Consolas"/>
          <w:color w:val="333333"/>
          <w:sz w:val="18"/>
          <w:szCs w:val="18"/>
        </w:rPr>
        <w:t xml:space="preserve">print(classification_report(y_test, y_pred))</w:t>
      </w:r>
    </w:p>
    <w:p>
      <w:pPr>
        <w:spacing w:after="200" w:line="300"/>
        <w:jc w:val="both"/>
      </w:pPr>
      <w:r>
        <w:rPr>
          <w:b/>
          <w:bCs/>
          <w:sz w:val="22"/>
          <w:szCs w:val="22"/>
        </w:rPr>
        <w:t xml:space="preserve">Purpose: </w:t>
      </w:r>
      <w:r>
        <w:rPr>
          <w:sz w:val="22"/>
          <w:szCs w:val="22"/>
        </w:rPr>
        <w:t xml:space="preserve">Instantiates, trains, and evaluates the Random Forest Classifier, printing its accuracy and full per-class classification report.</w:t>
      </w:r>
    </w:p>
    <w:p>
      <w:pPr>
        <w:spacing w:after="200" w:line="300"/>
        <w:jc w:val="both"/>
      </w:pPr>
      <w:r>
        <w:rPr>
          <w:b/>
          <w:bCs/>
          <w:sz w:val="22"/>
          <w:szCs w:val="22"/>
        </w:rPr>
        <w:t xml:space="preserve">Inputs: </w:t>
      </w:r>
      <w:r>
        <w:rPr>
          <w:sz w:val="22"/>
          <w:szCs w:val="22"/>
        </w:rPr>
        <w:t xml:space="preserve">X_train, y_train for fitting; X_test for generating predictions; y_test for scoring against ground truth.</w:t>
      </w:r>
    </w:p>
    <w:p>
      <w:pPr>
        <w:spacing w:after="200" w:line="300"/>
        <w:jc w:val="both"/>
      </w:pPr>
      <w:r>
        <w:rPr>
          <w:b/>
          <w:bCs/>
          <w:sz w:val="22"/>
          <w:szCs w:val="22"/>
        </w:rPr>
        <w:t xml:space="preserve">Outputs: </w:t>
      </w:r>
      <w:r>
        <w:rPr>
          <w:sz w:val="22"/>
          <w:szCs w:val="22"/>
        </w:rPr>
        <w:t xml:space="preserve">The fitted model object; the predicted label array y_pred; a printed accuracy score (0.9914) and classification report.</w:t>
      </w:r>
    </w:p>
    <w:p>
      <w:pPr>
        <w:spacing w:after="200" w:line="300"/>
        <w:jc w:val="both"/>
      </w:pPr>
      <w:r>
        <w:rPr>
          <w:b/>
          <w:bCs/>
          <w:sz w:val="22"/>
          <w:szCs w:val="22"/>
        </w:rPr>
        <w:t xml:space="preserve">Why it is necessary: </w:t>
      </w:r>
      <w:r>
        <w:rPr>
          <w:sz w:val="22"/>
          <w:szCs w:val="22"/>
        </w:rPr>
        <w:t xml:space="preserve">Establishes the first, high-performing candidate model and its detailed per-class performance profile, serving as a baseline against which the remaining four models are compared.</w:t>
      </w:r>
    </w:p>
    <w:p>
      <w:pPr>
        <w:pStyle w:val="Heading2"/>
        <w:spacing w:after="180" w:before="360"/>
      </w:pPr>
      <w:r>
        <w:rPr>
          <w:b/>
          <w:bCs/>
          <w:color w:val="2E75B6"/>
          <w:sz w:val="26"/>
          <w:szCs w:val="26"/>
        </w:rPr>
        <w:t xml:space="preserve">17.13 Confusion Matrix and Feature Importance Visualization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cm = confusion_matrix(y_test, y_pred, labels=order)</w:t>
      </w:r>
      <w:r>
        <w:br/>
      </w:r>
      <w:r>
        <w:rPr>
          <w:rFonts w:ascii="Consolas" w:cs="Consolas" w:eastAsia="Consolas" w:hAnsi="Consolas"/>
          <w:color w:val="333333"/>
          <w:sz w:val="18"/>
          <w:szCs w:val="18"/>
        </w:rPr>
        <w:t xml:space="preserve">sns.heatmap(cm, annot=True, fmt="d", cmap="Blues", xticklabels=order, yticklabels=order)</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importances = pd.Series(model.feature_importances_, index=X.columns).sort_values(ascending=False)</w:t>
      </w:r>
      <w:r>
        <w:br/>
      </w:r>
      <w:r>
        <w:rPr>
          <w:rFonts w:ascii="Consolas" w:cs="Consolas" w:eastAsia="Consolas" w:hAnsi="Consolas"/>
          <w:color w:val="333333"/>
          <w:sz w:val="18"/>
          <w:szCs w:val="18"/>
        </w:rPr>
        <w:t xml:space="preserve">sns.barplot(x=importances.values, hue=importances.index, palette="mako")</w:t>
      </w:r>
    </w:p>
    <w:p>
      <w:pPr>
        <w:spacing w:after="200" w:line="300"/>
        <w:jc w:val="both"/>
      </w:pPr>
      <w:r>
        <w:rPr>
          <w:b/>
          <w:bCs/>
          <w:sz w:val="22"/>
          <w:szCs w:val="22"/>
        </w:rPr>
        <w:t xml:space="preserve">Purpose: </w:t>
      </w:r>
      <w:r>
        <w:rPr>
          <w:sz w:val="22"/>
          <w:szCs w:val="22"/>
        </w:rPr>
        <w:t xml:space="preserve">Visualizes the Random Forest's confusion matrix as a heatmap and plots the ranked feature importance scores extracted from the trained model.</w:t>
      </w:r>
    </w:p>
    <w:p>
      <w:pPr>
        <w:spacing w:after="200" w:line="300"/>
        <w:jc w:val="both"/>
      </w:pPr>
      <w:r>
        <w:rPr>
          <w:b/>
          <w:bCs/>
          <w:sz w:val="22"/>
          <w:szCs w:val="22"/>
        </w:rPr>
        <w:t xml:space="preserve">Inputs: </w:t>
      </w:r>
      <w:r>
        <w:rPr>
          <w:sz w:val="22"/>
          <w:szCs w:val="22"/>
        </w:rPr>
        <w:t xml:space="preserve">y_test and y_pred for the confusion matrix; the fitted model's feature_importances_ attribute and the column names of X for the importance plot.</w:t>
      </w:r>
    </w:p>
    <w:p>
      <w:pPr>
        <w:spacing w:after="200" w:line="300"/>
        <w:jc w:val="both"/>
      </w:pPr>
      <w:r>
        <w:rPr>
          <w:b/>
          <w:bCs/>
          <w:sz w:val="22"/>
          <w:szCs w:val="22"/>
        </w:rPr>
        <w:t xml:space="preserve">Outputs: </w:t>
      </w:r>
      <w:r>
        <w:rPr>
          <w:sz w:val="22"/>
          <w:szCs w:val="22"/>
        </w:rPr>
        <w:t xml:space="preserve">Two rendered figures: the confusion matrix heatmap and the feature importance bar chart; the printed importances Series.</w:t>
      </w:r>
    </w:p>
    <w:p>
      <w:pPr>
        <w:spacing w:after="200" w:line="300"/>
        <w:jc w:val="both"/>
      </w:pPr>
      <w:r>
        <w:rPr>
          <w:b/>
          <w:bCs/>
          <w:sz w:val="22"/>
          <w:szCs w:val="22"/>
        </w:rPr>
        <w:t xml:space="preserve">Why it is necessary: </w:t>
      </w:r>
      <w:r>
        <w:rPr>
          <w:sz w:val="22"/>
          <w:szCs w:val="22"/>
        </w:rPr>
        <w:t xml:space="preserve">The confusion matrix pinpoints exactly which classes are confused with one another (informing the discussion of Hazardous-class recall in Section 11.2), while the feature importance plot provides model interpretability, confirming that pollutant statistics dominate the prediction (Section 10.1.1).</w:t>
      </w:r>
    </w:p>
    <w:p>
      <w:pPr>
        <w:pStyle w:val="Heading2"/>
        <w:spacing w:after="180" w:before="360"/>
      </w:pPr>
      <w:r>
        <w:rPr>
          <w:b/>
          <w:bCs/>
          <w:color w:val="2E75B6"/>
          <w:sz w:val="26"/>
          <w:szCs w:val="26"/>
        </w:rPr>
        <w:t xml:space="preserve">17.14 Gradient Boosting, LinearSVC, KNN, and Logistic Regression Training/Evaluation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gbc_model = GradientBoostingClassifier(n_estimators=300, learning_rate=0.1, max_depth=5, random_state=42, verbose=1)</w:t>
      </w:r>
      <w:r>
        <w:br/>
      </w:r>
      <w:r>
        <w:rPr>
          <w:rFonts w:ascii="Consolas" w:cs="Consolas" w:eastAsia="Consolas" w:hAnsi="Consolas"/>
          <w:color w:val="333333"/>
          <w:sz w:val="18"/>
          <w:szCs w:val="18"/>
        </w:rPr>
        <w:t xml:space="preserve">svc_model = make_pipeline(StandardScaler(), LinearSVC(random_state=42, verbose=1))</w:t>
      </w:r>
      <w:r>
        <w:br/>
      </w:r>
      <w:r>
        <w:rPr>
          <w:rFonts w:ascii="Consolas" w:cs="Consolas" w:eastAsia="Consolas" w:hAnsi="Consolas"/>
          <w:color w:val="333333"/>
          <w:sz w:val="18"/>
          <w:szCs w:val="18"/>
        </w:rPr>
        <w:t xml:space="preserve">knn_model = KNeighborsClassifier(n_neighbors=5, n_jobs=-1)</w:t>
      </w:r>
      <w:r>
        <w:br/>
      </w:r>
      <w:r>
        <w:rPr>
          <w:rFonts w:ascii="Consolas" w:cs="Consolas" w:eastAsia="Consolas" w:hAnsi="Consolas"/>
          <w:color w:val="333333"/>
          <w:sz w:val="18"/>
          <w:szCs w:val="18"/>
        </w:rPr>
        <w:t xml:space="preserve">lr_model = make_pipeline(StandardScaler(), LogisticRegression(random_state=42, solver='liblinear', max_iter=1000, verbose=1))</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 Each model is then .fit() on (X_train, y_train), used to .predict(X_test),</w:t>
      </w:r>
      <w:r>
        <w:br/>
      </w:r>
      <w:r>
        <w:rPr>
          <w:rFonts w:ascii="Consolas" w:cs="Consolas" w:eastAsia="Consolas" w:hAnsi="Consolas"/>
          <w:color w:val="333333"/>
          <w:sz w:val="18"/>
          <w:szCs w:val="18"/>
        </w:rPr>
        <w:t xml:space="preserve"># and evaluated with accuracy_score, classification_report, and a confusion matrix heatmap.</w:t>
      </w:r>
    </w:p>
    <w:p>
      <w:pPr>
        <w:spacing w:after="200" w:line="300"/>
        <w:jc w:val="both"/>
      </w:pPr>
      <w:r>
        <w:rPr>
          <w:b/>
          <w:bCs/>
          <w:sz w:val="22"/>
          <w:szCs w:val="22"/>
        </w:rPr>
        <w:t xml:space="preserve">Purpose: </w:t>
      </w:r>
      <w:r>
        <w:rPr>
          <w:sz w:val="22"/>
          <w:szCs w:val="22"/>
        </w:rPr>
        <w:t xml:space="preserve">Repeats the train → predict → evaluate → visualize pattern established for Random Forest across the remaining four candidate algorithms, ensuring a consistent and directly comparable evaluation protocol for every model.</w:t>
      </w:r>
    </w:p>
    <w:p>
      <w:pPr>
        <w:spacing w:after="200" w:line="300"/>
        <w:jc w:val="both"/>
      </w:pPr>
      <w:r>
        <w:rPr>
          <w:b/>
          <w:bCs/>
          <w:sz w:val="22"/>
          <w:szCs w:val="22"/>
        </w:rPr>
        <w:t xml:space="preserve">Inputs: </w:t>
      </w:r>
      <w:r>
        <w:rPr>
          <w:sz w:val="22"/>
          <w:szCs w:val="22"/>
        </w:rPr>
        <w:t xml:space="preserve">The identical X_train/X_test/y_train/y_test partitions used for the Random Forest model, guaranteeing a fair, like-for-like comparison across all five algorithms.</w:t>
      </w:r>
    </w:p>
    <w:p>
      <w:pPr>
        <w:spacing w:after="200" w:line="300"/>
        <w:jc w:val="both"/>
      </w:pPr>
      <w:r>
        <w:rPr>
          <w:b/>
          <w:bCs/>
          <w:sz w:val="22"/>
          <w:szCs w:val="22"/>
        </w:rPr>
        <w:t xml:space="preserve">Outputs: </w:t>
      </w:r>
      <w:r>
        <w:rPr>
          <w:sz w:val="22"/>
          <w:szCs w:val="22"/>
        </w:rPr>
        <w:t xml:space="preserve">Four additional fitted model objects, their respective accuracy scores (Gradient Boosting: 0.9990, LinearSVC: 0.8181, KNN: 0.9373, Logistic Regression: 0.8166), classification reports, and confusion matrix visualizations.</w:t>
      </w:r>
    </w:p>
    <w:p>
      <w:pPr>
        <w:spacing w:after="200" w:line="300"/>
        <w:jc w:val="both"/>
      </w:pPr>
      <w:r>
        <w:rPr>
          <w:b/>
          <w:bCs/>
          <w:sz w:val="22"/>
          <w:szCs w:val="22"/>
        </w:rPr>
        <w:t xml:space="preserve">Why it is necessary: </w:t>
      </w:r>
      <w:r>
        <w:rPr>
          <w:sz w:val="22"/>
          <w:szCs w:val="22"/>
        </w:rPr>
        <w:t xml:space="preserve">Applying an identical evaluation protocol to every candidate model is what makes the final model comparison (Section 12) methodologically valid — differences in observed performance can be attributed to the algorithms themselves rather than to inconsistencies in how each was trained or tested.</w:t>
      </w:r>
    </w:p>
    <w:p>
      <w:pPr>
        <w:pStyle w:val="Heading2"/>
        <w:spacing w:after="180" w:before="360"/>
      </w:pPr>
      <w:r>
        <w:rPr>
          <w:b/>
          <w:bCs/>
          <w:color w:val="2E75B6"/>
          <w:sz w:val="26"/>
          <w:szCs w:val="26"/>
        </w:rPr>
        <w:t xml:space="preserve">17.15 Prediction on a New Data Point</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new_data_point = pd.DataFrame({...})</w:t>
      </w:r>
      <w:r>
        <w:br/>
      </w:r>
      <w:r>
        <w:rPr>
          <w:rFonts w:ascii="Consolas" w:cs="Consolas" w:eastAsia="Consolas" w:hAnsi="Consolas"/>
          <w:color w:val="333333"/>
          <w:sz w:val="18"/>
          <w:szCs w:val="18"/>
        </w:rPr>
        <w:t xml:space="preserve">predicted_aqi_bucket = gbc_model.predict(new_data_point)</w:t>
      </w:r>
    </w:p>
    <w:p>
      <w:pPr>
        <w:spacing w:after="200" w:line="300"/>
        <w:jc w:val="both"/>
      </w:pPr>
      <w:r>
        <w:rPr>
          <w:b/>
          <w:bCs/>
          <w:sz w:val="22"/>
          <w:szCs w:val="22"/>
        </w:rPr>
        <w:t xml:space="preserve">Purpose: </w:t>
      </w:r>
      <w:r>
        <w:rPr>
          <w:sz w:val="22"/>
          <w:szCs w:val="22"/>
        </w:rPr>
        <w:t xml:space="preserve">Constructs a single-row DataFrame representing a hypothetical, previously unseen set of environmental conditions and passes it to the trained Gradient Boosting model to obtain a live prediction.</w:t>
      </w:r>
    </w:p>
    <w:p>
      <w:pPr>
        <w:spacing w:after="200" w:line="300"/>
        <w:jc w:val="both"/>
      </w:pPr>
      <w:r>
        <w:rPr>
          <w:b/>
          <w:bCs/>
          <w:sz w:val="22"/>
          <w:szCs w:val="22"/>
        </w:rPr>
        <w:t xml:space="preserve">Inputs: </w:t>
      </w:r>
      <w:r>
        <w:rPr>
          <w:sz w:val="22"/>
          <w:szCs w:val="22"/>
        </w:rPr>
        <w:t xml:space="preserve">A manually specified dictionary of feature values, with the state and Season fields transformed using the previously fitted encoders.</w:t>
      </w:r>
    </w:p>
    <w:p>
      <w:pPr>
        <w:spacing w:after="200" w:line="300"/>
        <w:jc w:val="both"/>
      </w:pPr>
      <w:r>
        <w:rPr>
          <w:b/>
          <w:bCs/>
          <w:sz w:val="22"/>
          <w:szCs w:val="22"/>
        </w:rPr>
        <w:t xml:space="preserve">Outputs: </w:t>
      </w:r>
      <w:r>
        <w:rPr>
          <w:sz w:val="22"/>
          <w:szCs w:val="22"/>
        </w:rPr>
        <w:t xml:space="preserve">The predicted AQI_Bucket label ('Moderate' in the notebook's example).</w:t>
      </w:r>
    </w:p>
    <w:p>
      <w:pPr>
        <w:spacing w:after="200" w:line="300"/>
        <w:jc w:val="both"/>
      </w:pPr>
      <w:r>
        <w:rPr>
          <w:b/>
          <w:bCs/>
          <w:sz w:val="22"/>
          <w:szCs w:val="22"/>
        </w:rPr>
        <w:t xml:space="preserve">Why it is necessary: </w:t>
      </w:r>
      <w:r>
        <w:rPr>
          <w:sz w:val="22"/>
          <w:szCs w:val="22"/>
        </w:rPr>
        <w:t xml:space="preserve">Demonstrates, end-to-end, exactly how the trained pipeline would be used to score genuinely new data — the same logic that underpins the Streamlit application described next.</w:t>
      </w:r>
    </w:p>
    <w:p>
      <w:pPr>
        <w:pStyle w:val="Heading2"/>
        <w:spacing w:after="180" w:before="360"/>
      </w:pPr>
      <w:r>
        <w:rPr>
          <w:b/>
          <w:bCs/>
          <w:color w:val="2E75B6"/>
          <w:sz w:val="26"/>
          <w:szCs w:val="26"/>
        </w:rPr>
        <w:t xml:space="preserve">17.16 Model Comparison Table</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model_accuracies = {</w:t>
      </w:r>
      <w:r>
        <w:br/>
      </w:r>
      <w:r>
        <w:rPr>
          <w:rFonts w:ascii="Consolas" w:cs="Consolas" w:eastAsia="Consolas" w:hAnsi="Consolas"/>
          <w:color w:val="333333"/>
          <w:sz w:val="18"/>
          <w:szCs w:val="18"/>
        </w:rPr>
        <w:t xml:space="preserve">    'Random Forest Classifier': acc,</w:t>
      </w:r>
      <w:r>
        <w:br/>
      </w:r>
      <w:r>
        <w:rPr>
          <w:rFonts w:ascii="Consolas" w:cs="Consolas" w:eastAsia="Consolas" w:hAnsi="Consolas"/>
          <w:color w:val="333333"/>
          <w:sz w:val="18"/>
          <w:szCs w:val="18"/>
        </w:rPr>
        <w:t xml:space="preserve">    'Gradient Boosting Classifier': acc_gbc,</w:t>
      </w:r>
      <w:r>
        <w:br/>
      </w:r>
      <w:r>
        <w:rPr>
          <w:rFonts w:ascii="Consolas" w:cs="Consolas" w:eastAsia="Consolas" w:hAnsi="Consolas"/>
          <w:color w:val="333333"/>
          <w:sz w:val="18"/>
          <w:szCs w:val="18"/>
        </w:rPr>
        <w:t xml:space="preserve">    'LinearSVC': acc_svc,</w:t>
      </w:r>
      <w:r>
        <w:br/>
      </w:r>
      <w:r>
        <w:rPr>
          <w:rFonts w:ascii="Consolas" w:cs="Consolas" w:eastAsia="Consolas" w:hAnsi="Consolas"/>
          <w:color w:val="333333"/>
          <w:sz w:val="18"/>
          <w:szCs w:val="18"/>
        </w:rPr>
        <w:t xml:space="preserve">    'K-Nearest Neighbors': acc_knn,</w:t>
      </w:r>
      <w:r>
        <w:br/>
      </w:r>
      <w:r>
        <w:rPr>
          <w:rFonts w:ascii="Consolas" w:cs="Consolas" w:eastAsia="Consolas" w:hAnsi="Consolas"/>
          <w:color w:val="333333"/>
          <w:sz w:val="18"/>
          <w:szCs w:val="18"/>
        </w:rPr>
        <w:t xml:space="preserve">    'Logistic Regression': acc_lr</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model_comparison_df = pd.DataFrame(list(model_accuracies.items()), columns=['Model', 'Accuracy'])</w:t>
      </w:r>
      <w:r>
        <w:br/>
      </w:r>
      <w:r>
        <w:rPr>
          <w:rFonts w:ascii="Consolas" w:cs="Consolas" w:eastAsia="Consolas" w:hAnsi="Consolas"/>
          <w:color w:val="333333"/>
          <w:sz w:val="18"/>
          <w:szCs w:val="18"/>
        </w:rPr>
        <w:t xml:space="preserve">model_comparison_df = model_comparison_df.sort_values(by='Accuracy', ascending=False).reset_index(drop=True)</w:t>
      </w:r>
    </w:p>
    <w:p>
      <w:pPr>
        <w:spacing w:after="200" w:line="300"/>
        <w:jc w:val="both"/>
      </w:pPr>
      <w:r>
        <w:rPr>
          <w:b/>
          <w:bCs/>
          <w:sz w:val="22"/>
          <w:szCs w:val="22"/>
        </w:rPr>
        <w:t xml:space="preserve">Purpose: </w:t>
      </w:r>
      <w:r>
        <w:rPr>
          <w:sz w:val="22"/>
          <w:szCs w:val="22"/>
        </w:rPr>
        <w:t xml:space="preserve">Consolidates the accuracy scores of all five trained models into a single, sorted comparison table.</w:t>
      </w:r>
    </w:p>
    <w:p>
      <w:pPr>
        <w:spacing w:after="200" w:line="300"/>
        <w:jc w:val="both"/>
      </w:pPr>
      <w:r>
        <w:rPr>
          <w:b/>
          <w:bCs/>
          <w:sz w:val="22"/>
          <w:szCs w:val="22"/>
        </w:rPr>
        <w:t xml:space="preserve">Inputs: </w:t>
      </w:r>
      <w:r>
        <w:rPr>
          <w:sz w:val="22"/>
          <w:szCs w:val="22"/>
        </w:rPr>
        <w:t xml:space="preserve">The five previously computed accuracy variables (acc, acc_gbc, acc_svc, acc_knn, acc_lr).</w:t>
      </w:r>
    </w:p>
    <w:p>
      <w:pPr>
        <w:spacing w:after="200" w:line="300"/>
        <w:jc w:val="both"/>
      </w:pPr>
      <w:r>
        <w:rPr>
          <w:b/>
          <w:bCs/>
          <w:sz w:val="22"/>
          <w:szCs w:val="22"/>
        </w:rPr>
        <w:t xml:space="preserve">Outputs: </w:t>
      </w:r>
      <w:r>
        <w:rPr>
          <w:sz w:val="22"/>
          <w:szCs w:val="22"/>
        </w:rPr>
        <w:t xml:space="preserve">A DataFrame model_comparison_df ranking all models from highest to lowest accuracy, displayed via display().</w:t>
      </w:r>
    </w:p>
    <w:p>
      <w:pPr>
        <w:spacing w:after="200" w:line="300"/>
        <w:jc w:val="both"/>
      </w:pPr>
      <w:r>
        <w:rPr>
          <w:b/>
          <w:bCs/>
          <w:sz w:val="22"/>
          <w:szCs w:val="22"/>
        </w:rPr>
        <w:t xml:space="preserve">Why it is necessary: </w:t>
      </w:r>
      <w:r>
        <w:rPr>
          <w:sz w:val="22"/>
          <w:szCs w:val="22"/>
        </w:rPr>
        <w:t xml:space="preserve">Provides the single consolidated view used directly to identify the Gradient Boosting Classifier as the top-performing model and to justify its selection for deployment.</w:t>
      </w:r>
    </w:p>
    <w:p>
      <w:pPr>
        <w:pStyle w:val="Heading2"/>
        <w:spacing w:after="180" w:before="360"/>
      </w:pPr>
      <w:r>
        <w:rPr>
          <w:b/>
          <w:bCs/>
          <w:color w:val="2E75B6"/>
          <w:sz w:val="26"/>
          <w:szCs w:val="26"/>
        </w:rPr>
        <w:t xml:space="preserve">17.17 Cross-Validation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cv = StratifiedKFold(n_splits=5, shuffle=True, random_state=42)</w:t>
      </w:r>
      <w:r>
        <w:br/>
      </w:r>
      <w:r>
        <w:rPr>
          <w:rFonts w:ascii="Consolas" w:cs="Consolas" w:eastAsia="Consolas" w:hAnsi="Consolas"/>
          <w:color w:val="333333"/>
          <w:sz w:val="18"/>
          <w:szCs w:val="18"/>
        </w:rPr>
        <w:t xml:space="preserve">cv_scores = cross_val_score(gbc_model, X, y, cv=cv, scoring='accuracy', n_jobs=-1)</w:t>
      </w:r>
      <w:r>
        <w:br/>
      </w:r>
      <w:r>
        <w:rPr>
          <w:rFonts w:ascii="Consolas" w:cs="Consolas" w:eastAsia="Consolas" w:hAnsi="Consolas"/>
          <w:color w:val="333333"/>
          <w:sz w:val="18"/>
          <w:szCs w:val="18"/>
        </w:rPr>
        <w:t xml:space="preserve">print(f"Mean Cross-validated Accuracy: {cv_scores.mean():.4f} (+/- {cv_scores.std():.4f})")</w:t>
      </w:r>
    </w:p>
    <w:p>
      <w:pPr>
        <w:spacing w:after="200" w:line="300"/>
        <w:jc w:val="both"/>
      </w:pPr>
      <w:r>
        <w:rPr>
          <w:b/>
          <w:bCs/>
          <w:sz w:val="22"/>
          <w:szCs w:val="22"/>
        </w:rPr>
        <w:t xml:space="preserve">Purpose: </w:t>
      </w:r>
      <w:r>
        <w:rPr>
          <w:sz w:val="22"/>
          <w:szCs w:val="22"/>
        </w:rPr>
        <w:t xml:space="preserve">Performs 5-fold stratified cross-validation of the Gradient Boosting Classifier across the entire dataset, rather than relying solely on a single train/test split.</w:t>
      </w:r>
    </w:p>
    <w:p>
      <w:pPr>
        <w:spacing w:after="200" w:line="300"/>
        <w:jc w:val="both"/>
      </w:pPr>
      <w:r>
        <w:rPr>
          <w:b/>
          <w:bCs/>
          <w:sz w:val="22"/>
          <w:szCs w:val="22"/>
        </w:rPr>
        <w:t xml:space="preserve">Inputs: </w:t>
      </w:r>
      <w:r>
        <w:rPr>
          <w:sz w:val="22"/>
          <w:szCs w:val="22"/>
        </w:rPr>
        <w:t xml:space="preserve">The full feature matrix X and target vector y, plus the untrained gbc_model estimator and the StratifiedKFold splitting object.</w:t>
      </w:r>
    </w:p>
    <w:p>
      <w:pPr>
        <w:spacing w:after="200" w:line="300"/>
        <w:jc w:val="both"/>
      </w:pPr>
      <w:r>
        <w:rPr>
          <w:b/>
          <w:bCs/>
          <w:sz w:val="22"/>
          <w:szCs w:val="22"/>
        </w:rPr>
        <w:t xml:space="preserve">Outputs: </w:t>
      </w:r>
      <w:r>
        <w:rPr>
          <w:sz w:val="22"/>
          <w:szCs w:val="22"/>
        </w:rPr>
        <w:t xml:space="preserve">An array of five per-fold accuracy scores ([1.0, 1.0, 1.0, 1.0, 1.0]) and the printed mean/standard deviation (1.0000 ± 0.0000).</w:t>
      </w:r>
    </w:p>
    <w:p>
      <w:pPr>
        <w:spacing w:after="200" w:line="300"/>
        <w:jc w:val="both"/>
      </w:pPr>
      <w:r>
        <w:rPr>
          <w:b/>
          <w:bCs/>
          <w:sz w:val="22"/>
          <w:szCs w:val="22"/>
        </w:rPr>
        <w:t xml:space="preserve">Why it is necessary: </w:t>
      </w:r>
      <w:r>
        <w:rPr>
          <w:sz w:val="22"/>
          <w:szCs w:val="22"/>
        </w:rPr>
        <w:t xml:space="preserve">Provides a robustness check confirming that the Gradient Boosting model's excellent test-set performance generalizes consistently across different data partitions, rather than being specific to the one train/test split used earlier in the notebook.</w:t>
      </w:r>
    </w:p>
    <w:p>
      <w:pPr>
        <w:pStyle w:val="Heading2"/>
        <w:spacing w:after="180" w:before="360"/>
      </w:pPr>
      <w:r>
        <w:rPr>
          <w:b/>
          <w:bCs/>
          <w:color w:val="2E75B6"/>
          <w:sz w:val="26"/>
          <w:szCs w:val="26"/>
        </w:rPr>
        <w:t xml:space="preserve">17.18 Model Serialization</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import joblib</w:t>
      </w:r>
      <w:r>
        <w:br/>
      </w:r>
      <w:r>
        <w:rPr>
          <w:rFonts w:ascii="Consolas" w:cs="Consolas" w:eastAsia="Consolas" w:hAnsi="Consolas"/>
          <w:color w:val="333333"/>
          <w:sz w:val="18"/>
          <w:szCs w:val="18"/>
        </w:rPr>
        <w:t xml:space="preserve">joblib.dump(gbc_model, 'gbc_model.pkl')</w:t>
      </w:r>
      <w:r>
        <w:br/>
      </w:r>
      <w:r>
        <w:rPr>
          <w:rFonts w:ascii="Consolas" w:cs="Consolas" w:eastAsia="Consolas" w:hAnsi="Consolas"/>
          <w:color w:val="333333"/>
          <w:sz w:val="18"/>
          <w:szCs w:val="18"/>
        </w:rPr>
        <w:t xml:space="preserve">joblib.dump(encoders, 'encoders.pkl')</w:t>
      </w:r>
    </w:p>
    <w:p>
      <w:pPr>
        <w:spacing w:after="200" w:line="300"/>
        <w:jc w:val="both"/>
      </w:pPr>
      <w:r>
        <w:rPr>
          <w:b/>
          <w:bCs/>
          <w:sz w:val="22"/>
          <w:szCs w:val="22"/>
        </w:rPr>
        <w:t xml:space="preserve">Purpose: </w:t>
      </w:r>
      <w:r>
        <w:rPr>
          <w:sz w:val="22"/>
          <w:szCs w:val="22"/>
        </w:rPr>
        <w:t xml:space="preserve">Persists the trained Gradient Boosting model and the dictionary of fitted LabelEncoders to disk as pickle files.</w:t>
      </w:r>
    </w:p>
    <w:p>
      <w:pPr>
        <w:spacing w:after="200" w:line="300"/>
        <w:jc w:val="both"/>
      </w:pPr>
      <w:r>
        <w:rPr>
          <w:b/>
          <w:bCs/>
          <w:sz w:val="22"/>
          <w:szCs w:val="22"/>
        </w:rPr>
        <w:t xml:space="preserve">Inputs: </w:t>
      </w:r>
      <w:r>
        <w:rPr>
          <w:sz w:val="22"/>
          <w:szCs w:val="22"/>
        </w:rPr>
        <w:t xml:space="preserve">The fitted gbc_model object and the encoders dictionary.</w:t>
      </w:r>
    </w:p>
    <w:p>
      <w:pPr>
        <w:spacing w:after="200" w:line="300"/>
        <w:jc w:val="both"/>
      </w:pPr>
      <w:r>
        <w:rPr>
          <w:b/>
          <w:bCs/>
          <w:sz w:val="22"/>
          <w:szCs w:val="22"/>
        </w:rPr>
        <w:t xml:space="preserve">Outputs: </w:t>
      </w:r>
      <w:r>
        <w:rPr>
          <w:sz w:val="22"/>
          <w:szCs w:val="22"/>
        </w:rPr>
        <w:t xml:space="preserve">Two files on disk: gbc_model.pkl and encoders.pkl.</w:t>
      </w:r>
    </w:p>
    <w:p>
      <w:pPr>
        <w:spacing w:after="200" w:line="300"/>
        <w:jc w:val="both"/>
      </w:pPr>
      <w:r>
        <w:rPr>
          <w:b/>
          <w:bCs/>
          <w:sz w:val="22"/>
          <w:szCs w:val="22"/>
        </w:rPr>
        <w:t xml:space="preserve">Why it is necessary: </w:t>
      </w:r>
      <w:r>
        <w:rPr>
          <w:sz w:val="22"/>
          <w:szCs w:val="22"/>
        </w:rPr>
        <w:t xml:space="preserve">Enables the model and its associated preprocessing objects to be loaded and reused by an entirely separate process — specifically, the Streamlit application — without needing to retrain the model or refit the encoders each time a prediction is required.</w:t>
      </w:r>
    </w:p>
    <w:p>
      <w:pPr>
        <w:pStyle w:val="Heading2"/>
        <w:spacing w:after="180" w:before="360"/>
      </w:pPr>
      <w:r>
        <w:rPr>
          <w:b/>
          <w:bCs/>
          <w:color w:val="2E75B6"/>
          <w:sz w:val="26"/>
          <w:szCs w:val="26"/>
        </w:rPr>
        <w:t xml:space="preserve">17.19 Streamlit Application (app.py)</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color w:val="333333"/>
          <w:sz w:val="18"/>
          <w:szCs w:val="18"/>
        </w:rPr>
        <w:t xml:space="preserve">gbc_model = joblib.load('gbc_model.pkl')</w:t>
      </w:r>
      <w:r>
        <w:br/>
      </w:r>
      <w:r>
        <w:rPr>
          <w:rFonts w:ascii="Consolas" w:cs="Consolas" w:eastAsia="Consolas" w:hAnsi="Consolas"/>
          <w:color w:val="333333"/>
          <w:sz w:val="18"/>
          <w:szCs w:val="18"/>
        </w:rPr>
        <w:t xml:space="preserve">encoders = joblib.load('encoders.pkl')</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def user_input_features():</w:t>
      </w:r>
      <w:r>
        <w:br/>
      </w:r>
      <w:r>
        <w:rPr>
          <w:rFonts w:ascii="Consolas" w:cs="Consolas" w:eastAsia="Consolas" w:hAnsi="Consolas"/>
          <w:color w:val="333333"/>
          <w:sz w:val="18"/>
          <w:szCs w:val="18"/>
        </w:rPr>
        <w:t xml:space="preserve">    state = st.sidebar.selectbox('State', encoders['state'].classes_)</w:t>
      </w:r>
      <w:r>
        <w:br/>
      </w:r>
      <w:r>
        <w:rPr>
          <w:rFonts w:ascii="Consolas" w:cs="Consolas" w:eastAsia="Consolas" w:hAnsi="Consolas"/>
          <w:color w:val="333333"/>
          <w:sz w:val="18"/>
          <w:szCs w:val="18"/>
        </w:rPr>
        <w:t xml:space="preserve">    # ... additional sidebar widgets for every model feature ...</w:t>
      </w:r>
      <w:r>
        <w:br/>
      </w:r>
      <w:r>
        <w:rPr>
          <w:rFonts w:ascii="Consolas" w:cs="Consolas" w:eastAsia="Consolas" w:hAnsi="Consolas"/>
          <w:color w:val="333333"/>
          <w:sz w:val="18"/>
          <w:szCs w:val="18"/>
        </w:rPr>
        <w:t xml:space="preserve">    return pd.DataFrame(data, index=[0])</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input_df = user_input_features()</w:t>
      </w:r>
      <w:r>
        <w:br/>
      </w:r>
      <w:r>
        <w:rPr>
          <w:rFonts w:ascii="Consolas" w:cs="Consolas" w:eastAsia="Consolas" w:hAnsi="Consolas"/>
          <w:color w:val="333333"/>
          <w:sz w:val="18"/>
          <w:szCs w:val="18"/>
        </w:rPr>
        <w:t xml:space="preserve"># categorical columns encoded using the loaded encoders</w:t>
      </w:r>
      <w:r>
        <w:br/>
      </w:r>
      <w:r>
        <w:rPr>
          <w:rFonts w:ascii="Consolas" w:cs="Consolas" w:eastAsia="Consolas" w:hAnsi="Consolas"/>
          <w:color w:val="333333"/>
          <w:sz w:val="18"/>
          <w:szCs w:val="18"/>
        </w:rPr>
        <w:t xml:space="preserve">if st.sidebar.button('Predict AQI Bucket'):</w:t>
      </w:r>
      <w:r>
        <w:br/>
      </w:r>
      <w:r>
        <w:rPr>
          <w:rFonts w:ascii="Consolas" w:cs="Consolas" w:eastAsia="Consolas" w:hAnsi="Consolas"/>
          <w:color w:val="333333"/>
          <w:sz w:val="18"/>
          <w:szCs w:val="18"/>
        </w:rPr>
        <w:t xml:space="preserve">    prediction = gbc_model.predict(input_df)</w:t>
      </w:r>
      <w:r>
        <w:br/>
      </w:r>
      <w:r>
        <w:rPr>
          <w:rFonts w:ascii="Consolas" w:cs="Consolas" w:eastAsia="Consolas" w:hAnsi="Consolas"/>
          <w:color w:val="333333"/>
          <w:sz w:val="18"/>
          <w:szCs w:val="18"/>
        </w:rPr>
        <w:t xml:space="preserve">    prediction_proba = gbc_model.predict_proba(input_df)</w:t>
      </w:r>
      <w:r>
        <w:br/>
      </w:r>
      <w:r>
        <w:rPr>
          <w:rFonts w:ascii="Consolas" w:cs="Consolas" w:eastAsia="Consolas" w:hAnsi="Consolas"/>
          <w:color w:val="333333"/>
          <w:sz w:val="18"/>
          <w:szCs w:val="18"/>
        </w:rPr>
        <w:t xml:space="preserve">    st.success(f"The Predicted AQI Bucket is: **{prediction[0]}**")</w:t>
      </w:r>
      <w:r>
        <w:br/>
      </w:r>
      <w:r>
        <w:rPr>
          <w:rFonts w:ascii="Consolas" w:cs="Consolas" w:eastAsia="Consolas" w:hAnsi="Consolas"/>
          <w:color w:val="333333"/>
          <w:sz w:val="18"/>
          <w:szCs w:val="18"/>
        </w:rPr>
        <w:t xml:space="preserve">    st.bar_chart(proba_df.iloc[0])</w:t>
      </w:r>
    </w:p>
    <w:p>
      <w:pPr>
        <w:spacing w:after="200" w:line="300"/>
        <w:jc w:val="both"/>
      </w:pPr>
      <w:r>
        <w:rPr>
          <w:b/>
          <w:bCs/>
          <w:sz w:val="22"/>
          <w:szCs w:val="22"/>
        </w:rPr>
        <w:t xml:space="preserve">Purpose: </w:t>
      </w:r>
      <w:r>
        <w:rPr>
          <w:sz w:val="22"/>
          <w:szCs w:val="22"/>
        </w:rPr>
        <w:t xml:space="preserve">Defines a complete, self-contained Streamlit script (written to disk via the %%writefile app.py magic command) that recreates the identical prediction workflow shown in Section 17.15, but through an interactive graphical interface.</w:t>
      </w:r>
    </w:p>
    <w:p>
      <w:pPr>
        <w:spacing w:after="200" w:line="300"/>
        <w:jc w:val="both"/>
      </w:pPr>
      <w:r>
        <w:rPr>
          <w:b/>
          <w:bCs/>
          <w:sz w:val="22"/>
          <w:szCs w:val="22"/>
        </w:rPr>
        <w:t xml:space="preserve">Inputs: </w:t>
      </w:r>
      <w:r>
        <w:rPr>
          <w:sz w:val="22"/>
          <w:szCs w:val="22"/>
        </w:rPr>
        <w:t xml:space="preserve">The saved gbc_model.pkl and encoders.pkl files; user-supplied values entered through sidebar widgets (dropdowns for state/pollutant_id/Season, sliders for all numeric features).</w:t>
      </w:r>
    </w:p>
    <w:p>
      <w:pPr>
        <w:spacing w:after="200" w:line="300"/>
        <w:jc w:val="both"/>
      </w:pPr>
      <w:r>
        <w:rPr>
          <w:b/>
          <w:bCs/>
          <w:sz w:val="22"/>
          <w:szCs w:val="22"/>
        </w:rPr>
        <w:t xml:space="preserve">Outputs: </w:t>
      </w:r>
      <w:r>
        <w:rPr>
          <w:sz w:val="22"/>
          <w:szCs w:val="22"/>
        </w:rPr>
        <w:t xml:space="preserve">A rendered web page displaying the user's selected inputs, the predicted AQI_Bucket label, and a bar chart of the predicted class probabilities across all six categories.</w:t>
      </w:r>
    </w:p>
    <w:p>
      <w:pPr>
        <w:spacing w:after="200" w:line="300"/>
        <w:jc w:val="both"/>
      </w:pPr>
      <w:r>
        <w:rPr>
          <w:b/>
          <w:bCs/>
          <w:sz w:val="22"/>
          <w:szCs w:val="22"/>
        </w:rPr>
        <w:t xml:space="preserve">Why it is necessary: </w:t>
      </w:r>
      <w:r>
        <w:rPr>
          <w:sz w:val="22"/>
          <w:szCs w:val="22"/>
        </w:rPr>
        <w:t xml:space="preserve">Transforms the trained model from a notebook artifact into an accessible, non-technical, user-facing tool, fulfilling the deployment objective of the project. The final revision of this script (Section 17.20) additionally wraps the model-loading and prediction logic in try/except blocks, making the application more resilient to missing files or invalid inputs.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Air Quality Prediction Using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7760b3b9c6468f0affdf396d892850978c3527.png"/><Relationship Id="rId10" Type="http://schemas.openxmlformats.org/officeDocument/2006/relationships/image" Target="media/f4f550bef38ad4667150f095fe1b581bb33adc4c.png"/><Relationship Id="rId11" Type="http://schemas.openxmlformats.org/officeDocument/2006/relationships/image" Target="media/d2be00a6c7342bda3c205d71242a576d55be926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2026-07-27T21:22:34.061Z</dcterms:created>
  <dcterms:modified xsi:type="dcterms:W3CDTF">2026-07-27T21:22:34.079Z</dcterms:modified>
</cp:coreProperties>
</file>

<file path=docProps/custom.xml><?xml version="1.0" encoding="utf-8"?>
<Properties xmlns="http://schemas.openxmlformats.org/officeDocument/2006/custom-properties" xmlns:vt="http://schemas.openxmlformats.org/officeDocument/2006/docPropsVTypes"/>
</file>