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تدوین شد. سه فرضیه فرعی روابط دوتایی متغیرها را می‌آزمایند و فرضیه اصلی الگوی میانجی‌گری را. شواهد لازم برای آزمون هر چهار فرضیه در همین فصل، به‌ترتیب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نرمال بودن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مدل ۴ هایز همراه با بوت‌استرپ ۵۰۰۰ بازنمونه‌گیری. به‌منظور پشتیبانی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مدل‌سازی معادلات ساختاری و بخش ۴-۱۰ جمع‌بندی نتایج را پوشش می‌دهند.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پنج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w:t>
      </w:r>
      <w:r>
        <w:rPr>
          <w:rFonts w:ascii="B Nazanin" w:hAnsi="B Nazanin" w:cs="B Nazanin" w:hint="cs"/>
          <w:vertAlign w:val="superscript"/>
          <w:rtl/>
        </w:rPr>
        <w:footnoteReference w:id="1"/>
      </w:r>
      <w:r>
        <w:rPr>
          <w:rFonts w:ascii="B Nazanin" w:hAnsi="B Nazanin" w:cs="B Nazanin" w:hint="cs"/>
          <w:sz w:val="24"/>
          <w:szCs w:val="24"/>
          <w:rtl/>
          <w:lang w:bidi="fa-IR"/>
        </w:rPr>
        <w:t xml:space="preserve"> 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 در مرحله پنجم، پاسخ‌هایی که شرط‌های ورود (سن ۱۸ سال و سابقه ۶ ماه) را نداشتند حذف شدند.</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صفِ باقی‌مانده محاسبه شده‌اند؛ در این داده پنج دلیل حذف دقیقاً منفصل‌الوجودند (هر فرد حداکثر یک دلیل) و جمع مراحل ۷ + ۱۴ + ۱۱ + ۹ + ۱ = ۴۲ است؛ پس از ۲۱۲ پاسخ خام، ۱۷۰ پاسخ معتبر باقی ماند (۸۰٫۲٪) و ۴۲ حذف شد (۱۹٫۸٪).</w:t>
      </w:r>
    </w:p>
    <w:p>
      <w:pPr>
        <w:bidi w:val="1"/>
        <w:spacing w:lineRule="exact" w:line="580" w:after="0"/>
        <w:jc w:val="both"/>
      </w:pPr>
      <w:r>
        <w:rPr>
          <w:rFonts w:ascii="B Nazanin" w:hAnsi="B Nazanin" w:cs="B Nazanin" w:hint="cs"/>
          <w:sz w:val="24"/>
          <w:szCs w:val="24"/>
          <w:rtl/>
          <w:lang w:bidi="fa-IR"/>
        </w:rPr>
        <w:t xml:space="preserve">یادداشت روش‌شناختی: اگر دلایل حذف هم‌پوشانی داشته باشند، جمع شمارش هر دلیل با تعداد کل حذف‌شدگان برابر نمی‌شود؛ در این پژوهش معیارها به‌صورت سلسله‌مراتبی و به‌ترتیب اجرا شده‌اند، بنابراین هر پاسخ‌دهنده تنها در نخستین مرحله حذفش شمرده می‌شود و جمع شمارش‌ها با تعداد کل حذف‌شدگان می‌خواند.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jc w:val="center"/>
            </w:pPr>
            <w:r/>
            <w:r>
              <w:rPr>
                <w:b w:val="0"/>
                <w:sz w:val="22"/>
              </w:rPr>
              <w:t>212</w:t>
            </w:r>
          </w:p>
        </w:tc>
        <w:tc>
          <w:tcPr>
            <w:tcW w:type="dxa" w:w="2740"/>
          </w:tcPr>
          <w:p>
            <w:pPr>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jc w:val="center"/>
            </w:pPr>
            <w:r/>
            <w:r>
              <w:rPr>
                <w:b w:val="0"/>
                <w:sz w:val="22"/>
              </w:rPr>
              <w:t>11</w:t>
            </w:r>
          </w:p>
        </w:tc>
        <w:tc>
          <w:tcPr>
            <w:tcW w:type="dxa" w:w="2740"/>
          </w:tcPr>
          <w:p>
            <w:pPr>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jc w:val="center"/>
            </w:pPr>
            <w:r/>
            <w:r>
              <w:rPr>
                <w:b w:val="0"/>
                <w:sz w:val="22"/>
              </w:rPr>
              <w:t>9</w:t>
            </w:r>
          </w:p>
        </w:tc>
        <w:tc>
          <w:tcPr>
            <w:tcW w:type="dxa" w:w="2740"/>
          </w:tcPr>
          <w:p>
            <w:pPr>
              <w:bidi w:val="1"/>
              <w:jc w:val="center"/>
            </w:pPr>
            <w:r/>
            <w:r>
              <w:rPr>
                <w:b w:val="0"/>
                <w:sz w:val="22"/>
              </w:rPr>
              <w:t>تلاش ناکافی</w:t>
            </w:r>
          </w:p>
        </w:tc>
      </w:tr>
      <w:tr>
        <w:tc>
          <w:tcPr>
            <w:tcW w:type="dxa" w:w="2740"/>
          </w:tcPr>
          <w:p>
            <w:pPr>
              <w:bidi w:val="1"/>
              <w:jc w:val="center"/>
            </w:pPr>
            <w:r/>
            <w:r>
              <w:rPr>
                <w:b w:val="0"/>
                <w:sz w:val="22"/>
              </w:rPr>
              <w:t>حذف: نقض شرط ورود</w:t>
            </w:r>
          </w:p>
        </w:tc>
        <w:tc>
          <w:tcPr>
            <w:tcW w:type="dxa" w:w="2740"/>
          </w:tcPr>
          <w:p>
            <w:pPr>
              <w:jc w:val="center"/>
            </w:pPr>
            <w:r/>
            <w:r>
              <w:rPr>
                <w:b w:val="0"/>
                <w:sz w:val="22"/>
              </w:rPr>
              <w:t>1</w:t>
            </w:r>
          </w:p>
        </w:tc>
        <w:tc>
          <w:tcPr>
            <w:tcW w:type="dxa" w:w="2740"/>
          </w:tcPr>
          <w:p>
            <w:pPr>
              <w:bidi w:val="1"/>
              <w:jc w:val="center"/>
            </w:pPr>
            <w:r/>
            <w:r>
              <w:rPr>
                <w:b w:val="0"/>
                <w:sz w:val="22"/>
              </w:rPr>
              <w:t>سن یا سابقه کمتر از حد</w:t>
            </w:r>
          </w:p>
        </w:tc>
      </w:tr>
      <w:tr>
        <w:tc>
          <w:tcPr>
            <w:tcW w:type="dxa" w:w="2740"/>
          </w:tcPr>
          <w:p>
            <w:pPr>
              <w:bidi w:val="1"/>
              <w:jc w:val="center"/>
            </w:pPr>
            <w:r/>
            <w:r>
              <w:rPr>
                <w:b w:val="0"/>
                <w:sz w:val="22"/>
              </w:rPr>
              <w:t>نمونهٔ نهایی معتبر</w:t>
            </w:r>
          </w:p>
        </w:tc>
        <w:tc>
          <w:tcPr>
            <w:tcW w:type="dxa" w:w="2740"/>
          </w:tcPr>
          <w:p>
            <w:pPr>
              <w:jc w:val="center"/>
            </w:pPr>
            <w:r/>
            <w:r>
              <w:rPr>
                <w:b w:val="0"/>
                <w:sz w:val="22"/>
              </w:rPr>
              <w:t>170</w:t>
            </w:r>
          </w:p>
        </w:tc>
        <w:tc>
          <w:tcPr>
            <w:tcW w:type="dxa" w:w="2740"/>
          </w:tcPr>
          <w:p>
            <w:pPr>
              <w:jc w:val="center"/>
            </w:pPr>
            <w:r/>
            <w:r>
              <w:rPr>
                <w:b w:val="0"/>
                <w:sz w:val="22"/>
              </w:rPr>
              <w:t>—</w:t>
            </w:r>
          </w:p>
        </w:tc>
      </w:tr>
    </w:tbl>
    <w:p>
      <w:pPr>
        <w:bidi w:val="1"/>
        <w:spacing w:lineRule="exact" w:line="580" w:after="0"/>
        <w:jc w:val="both"/>
      </w:pPr>
      <w:r>
        <w:rPr>
          <w:rFonts w:ascii="B Nazanin" w:hAnsi="B Nazanin" w:cs="B Nazanin" w:hint="cs"/>
          <w:sz w:val="24"/>
          <w:szCs w:val="24"/>
          <w:rtl/>
          <w:lang w:bidi="fa-IR"/>
        </w:rPr>
        <w:t xml:space="preserve">درصد حذف از نسبت ۴۲ به ۲۱۲ (= ۱۹٫۸۱٪) محاسبه شده و در محدوده متعارف پژوهش‌های آنلاین (۱۰ تا ۲۰٪) قرار دارد. میانه زمان تکمیل در نمونه معتبر حدود ۸ دقیقه بود و بازه چارکی آن ۵٫۶۸ تا ۱۱٫۹۰ دقیقه به طول انجامید؛ دنباله آهسته توزیع زمان (بیشینه ۳۸ دقیقه) با الگوی طبیعی تکمیل دقت‌محور هم‌خوان است. در نمونه نهایی، داده گم‌شده در گویه‌ها باقی نماند، زیرا سامانه برای پرونده‌های معتبر تکمیل اجباری اقلام را اعمال کرده بود.</w:t>
      </w:r>
    </w:p>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۳۲٫۳۰ سال (انحراف معیار ۸٫۸۷) بود. توزیع سنی تک‌قله‌ای و به‌سوی سنین جوان‌تر متمایل است که توصیف نمونه حاضر است و نیازمند داده‌های مرجع جداگانه برای مقایسه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۶۵٫۸۸٪ از پاسخ‌دهندگان مرد و ۳۴٫۱۲٪ زن بودند. این برآیند مردانه صرفاً ترکیب نمونه حاضر را توصیف می‌کند؛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۵۱٫۱۸٪ و کارشناسی ارشد با ۲۵٫۲۹٪ بیشترین سهم را داشتند و دیپلم ۱۷٫۰۶٪ بود.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۴۶٫۴۷٪ فراوانی، غالب است و پس از آن رمزارز (۲۲٫۹۴٪)، فارکس (۱۸٫۲۴٪) و طلا (۱۲٫۳۵٪) قرار می‌گیرند. میانگین سابقه معامله ۳۹٫۰۹ ماه (انحراف معیار ۲۴٫۲۸) و میانگین تعداد معاملات در ۶ ماه اخیر ۷٫۴۲ مورد بود. جالب توجه آنکه بین سابقه و شدت معاملاتی همبستگی رتبه‌ای مثبت و ملایمی وجود داشت </w:t>
      </w:r>
      <w:r>
        <w:rPr>
          <w:rFonts w:ascii="Times New Roman" w:hAnsi="Times New Roman" w:cs="Times New Roman"/>
          <w:sz w:val="22"/>
          <w:szCs w:val="22"/>
          <w:lang w:val="en-US"/>
        </w:rPr>
        <w:t xml:space="preserve">(rS = 0.17)</w:t>
      </w:r>
      <w:r>
        <w:rPr>
          <w:rFonts w:ascii="B Nazanin" w:hAnsi="B Nazanin" w:cs="B Nazanin" w:hint="cs"/>
          <w:sz w:val="24"/>
          <w:szCs w:val="24"/>
          <w:rtl/>
          <w:lang w:bidi="fa-IR"/>
        </w:rPr>
        <w:t xml:space="preserve">؛ یعنی معامله‌گران باتجربه‌تر عملاً درگیر تعداد معاملات بیشتری بودند.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 </w:t>
      </w:r>
      <w:r>
        <w:rPr>
          <w:rFonts w:ascii="Times New Roman" w:hAnsi="Times New Roman" w:cs="Times New Roman"/>
          <w:sz w:val="20"/>
          <w:szCs w:val="20"/>
          <w:lang w:val="en-US"/>
        </w:rPr>
        <w:t xml:space="preserve">(N = 170)</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jc w:val="center"/>
            </w:pPr>
            <w:r/>
            <w:r>
              <w:rPr>
                <w:b w:val="0"/>
                <w:sz w:val="22"/>
              </w:rPr>
              <w:t>112</w:t>
            </w:r>
          </w:p>
        </w:tc>
        <w:tc>
          <w:tcPr>
            <w:tcW w:type="dxa" w:w="2055"/>
          </w:tcPr>
          <w:p>
            <w:pPr>
              <w:jc w:val="center"/>
            </w:pPr>
            <w:r/>
            <w:r>
              <w:rPr>
                <w:b w:val="0"/>
                <w:sz w:val="22"/>
              </w:rPr>
              <w:t>65.88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jc w:val="center"/>
            </w:pPr>
            <w:r/>
            <w:r>
              <w:rPr>
                <w:b w:val="0"/>
                <w:sz w:val="22"/>
              </w:rPr>
              <w:t>58</w:t>
            </w:r>
          </w:p>
        </w:tc>
        <w:tc>
          <w:tcPr>
            <w:tcW w:type="dxa" w:w="2055"/>
          </w:tcPr>
          <w:p>
            <w:pPr>
              <w:jc w:val="center"/>
            </w:pPr>
            <w:r/>
            <w:r>
              <w:rPr>
                <w:b w:val="0"/>
                <w:sz w:val="22"/>
              </w:rPr>
              <w:t>34.12</w:t>
            </w:r>
          </w:p>
        </w:tc>
      </w:tr>
      <w:tr>
        <w:tc>
          <w:tcPr>
            <w:tcW w:type="dxa" w:w="2055"/>
          </w:tcPr>
          <w:p>
            <w:pPr>
              <w:bidi w:val="1"/>
              <w:jc w:val="center"/>
            </w:pPr>
            <w:r/>
            <w:r>
              <w:rPr>
                <w:b w:val="0"/>
                <w:sz w:val="22"/>
              </w:rPr>
              <w:t>سن (سال)</w:t>
            </w:r>
          </w:p>
        </w:tc>
        <w:tc>
          <w:tcPr>
            <w:tcW w:type="dxa" w:w="2055"/>
          </w:tcPr>
          <w:p>
            <w:pPr>
              <w:jc w:val="center"/>
            </w:pPr>
            <w:r/>
            <w:r>
              <w:rPr>
                <w:b w:val="0"/>
                <w:sz w:val="22"/>
              </w:rPr>
              <w:t>26-35</w:t>
            </w:r>
          </w:p>
        </w:tc>
        <w:tc>
          <w:tcPr>
            <w:tcW w:type="dxa" w:w="2055"/>
          </w:tcPr>
          <w:p>
            <w:pPr>
              <w:jc w:val="center"/>
            </w:pPr>
            <w:r/>
            <w:r>
              <w:rPr>
                <w:b w:val="0"/>
                <w:sz w:val="22"/>
              </w:rPr>
              <w:t>63</w:t>
            </w:r>
          </w:p>
        </w:tc>
        <w:tc>
          <w:tcPr>
            <w:tcW w:type="dxa" w:w="2055"/>
          </w:tcPr>
          <w:p>
            <w:pPr>
              <w:jc w:val="center"/>
            </w:pPr>
            <w:r/>
            <w:r>
              <w:rPr>
                <w:b w:val="0"/>
                <w:sz w:val="22"/>
              </w:rPr>
              <w:t>37.06</w:t>
            </w:r>
          </w:p>
        </w:tc>
      </w:tr>
      <w:tr>
        <w:tc>
          <w:tcPr>
            <w:tcW w:type="dxa" w:w="2055"/>
          </w:tcPr>
          <w:p>
            <w:pPr>
              <w:bidi w:val="1"/>
              <w:jc w:val="center"/>
            </w:pPr>
            <w:r/>
            <w:r>
              <w:rPr>
                <w:b w:val="0"/>
                <w:sz w:val="22"/>
              </w:rPr>
              <w:t>سن (سال)</w:t>
            </w:r>
          </w:p>
        </w:tc>
        <w:tc>
          <w:tcPr>
            <w:tcW w:type="dxa" w:w="2055"/>
          </w:tcPr>
          <w:p>
            <w:pPr>
              <w:jc w:val="center"/>
            </w:pPr>
            <w:r/>
            <w:r>
              <w:rPr>
                <w:b w:val="0"/>
                <w:sz w:val="22"/>
              </w:rPr>
              <w:t>18-25</w:t>
            </w:r>
          </w:p>
        </w:tc>
        <w:tc>
          <w:tcPr>
            <w:tcW w:type="dxa" w:w="2055"/>
          </w:tcPr>
          <w:p>
            <w:pPr>
              <w:jc w:val="center"/>
            </w:pPr>
            <w:r/>
            <w:r>
              <w:rPr>
                <w:b w:val="0"/>
                <w:sz w:val="22"/>
              </w:rPr>
              <w:t>49</w:t>
            </w:r>
          </w:p>
        </w:tc>
        <w:tc>
          <w:tcPr>
            <w:tcW w:type="dxa" w:w="2055"/>
          </w:tcPr>
          <w:p>
            <w:pPr>
              <w:jc w:val="center"/>
            </w:pPr>
            <w:r/>
            <w:r>
              <w:rPr>
                <w:b w:val="0"/>
                <w:sz w:val="22"/>
              </w:rPr>
              <w:t>28.82</w:t>
            </w:r>
          </w:p>
        </w:tc>
      </w:tr>
      <w:tr>
        <w:tc>
          <w:tcPr>
            <w:tcW w:type="dxa" w:w="2055"/>
          </w:tcPr>
          <w:p>
            <w:pPr>
              <w:bidi w:val="1"/>
              <w:jc w:val="center"/>
            </w:pPr>
            <w:r/>
            <w:r>
              <w:rPr>
                <w:b w:val="0"/>
                <w:sz w:val="22"/>
              </w:rPr>
              <w:t>سن (سال)</w:t>
            </w:r>
          </w:p>
        </w:tc>
        <w:tc>
          <w:tcPr>
            <w:tcW w:type="dxa" w:w="2055"/>
          </w:tcPr>
          <w:p>
            <w:pPr>
              <w:jc w:val="center"/>
            </w:pPr>
            <w:r/>
            <w:r>
              <w:rPr>
                <w:b w:val="0"/>
                <w:sz w:val="22"/>
              </w:rPr>
              <w:t>36-45</w:t>
            </w:r>
          </w:p>
        </w:tc>
        <w:tc>
          <w:tcPr>
            <w:tcW w:type="dxa" w:w="2055"/>
          </w:tcPr>
          <w:p>
            <w:pPr>
              <w:jc w:val="center"/>
            </w:pPr>
            <w:r/>
            <w:r>
              <w:rPr>
                <w:b w:val="0"/>
                <w:sz w:val="22"/>
              </w:rPr>
              <w:t>43</w:t>
            </w:r>
          </w:p>
        </w:tc>
        <w:tc>
          <w:tcPr>
            <w:tcW w:type="dxa" w:w="2055"/>
          </w:tcPr>
          <w:p>
            <w:pPr>
              <w:jc w:val="center"/>
            </w:pPr>
            <w:r/>
            <w:r>
              <w:rPr>
                <w:b w:val="0"/>
                <w:sz w:val="22"/>
              </w:rPr>
              <w:t>25.29</w:t>
            </w:r>
          </w:p>
        </w:tc>
      </w:tr>
      <w:tr>
        <w:tc>
          <w:tcPr>
            <w:tcW w:type="dxa" w:w="2055"/>
          </w:tcPr>
          <w:p>
            <w:pPr>
              <w:bidi w:val="1"/>
              <w:jc w:val="center"/>
            </w:pPr>
            <w:r/>
            <w:r>
              <w:rPr>
                <w:b w:val="0"/>
                <w:sz w:val="22"/>
              </w:rPr>
              <w:t>سن (سال)</w:t>
            </w:r>
          </w:p>
        </w:tc>
        <w:tc>
          <w:tcPr>
            <w:tcW w:type="dxa" w:w="2055"/>
          </w:tcPr>
          <w:p>
            <w:pPr>
              <w:jc w:val="center"/>
            </w:pPr>
            <w:r/>
            <w:r>
              <w:rPr>
                <w:b w:val="0"/>
                <w:sz w:val="22"/>
              </w:rPr>
              <w:t>46+</w:t>
            </w:r>
          </w:p>
        </w:tc>
        <w:tc>
          <w:tcPr>
            <w:tcW w:type="dxa" w:w="2055"/>
          </w:tcPr>
          <w:p>
            <w:pPr>
              <w:jc w:val="center"/>
            </w:pPr>
            <w:r/>
            <w:r>
              <w:rPr>
                <w:b w:val="0"/>
                <w:sz w:val="22"/>
              </w:rPr>
              <w:t>15</w:t>
            </w:r>
          </w:p>
        </w:tc>
        <w:tc>
          <w:tcPr>
            <w:tcW w:type="dxa" w:w="2055"/>
          </w:tcPr>
          <w:p>
            <w:pPr>
              <w:jc w:val="center"/>
            </w:pPr>
            <w:r/>
            <w:r>
              <w:rPr>
                <w:b w:val="0"/>
                <w:sz w:val="22"/>
              </w:rPr>
              <w:t>8.82</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jc w:val="center"/>
            </w:pPr>
            <w:r/>
            <w:r>
              <w:rPr>
                <w:b w:val="0"/>
                <w:sz w:val="22"/>
              </w:rPr>
              <w:t>29</w:t>
            </w:r>
          </w:p>
        </w:tc>
        <w:tc>
          <w:tcPr>
            <w:tcW w:type="dxa" w:w="2055"/>
          </w:tcPr>
          <w:p>
            <w:pPr>
              <w:jc w:val="center"/>
            </w:pPr>
            <w:r/>
            <w:r>
              <w:rPr>
                <w:b w:val="0"/>
                <w:sz w:val="22"/>
              </w:rPr>
              <w:t>17.06</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jc w:val="center"/>
            </w:pPr>
            <w:r/>
            <w:r>
              <w:rPr>
                <w:b w:val="0"/>
                <w:sz w:val="22"/>
              </w:rPr>
              <w:t>87</w:t>
            </w:r>
          </w:p>
        </w:tc>
        <w:tc>
          <w:tcPr>
            <w:tcW w:type="dxa" w:w="2055"/>
          </w:tcPr>
          <w:p>
            <w:pPr>
              <w:jc w:val="center"/>
            </w:pPr>
            <w:r/>
            <w:r>
              <w:rPr>
                <w:b w:val="0"/>
                <w:sz w:val="22"/>
              </w:rPr>
              <w:t>51.18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jc w:val="center"/>
            </w:pPr>
            <w:r/>
            <w:r>
              <w:rPr>
                <w:b w:val="0"/>
                <w:sz w:val="22"/>
              </w:rPr>
              <w:t>43</w:t>
            </w:r>
          </w:p>
        </w:tc>
        <w:tc>
          <w:tcPr>
            <w:tcW w:type="dxa" w:w="2055"/>
          </w:tcPr>
          <w:p>
            <w:pPr>
              <w:jc w:val="center"/>
            </w:pPr>
            <w:r/>
            <w:r>
              <w:rPr>
                <w:b w:val="0"/>
                <w:sz w:val="22"/>
              </w:rPr>
              <w:t>25.29</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jc w:val="center"/>
            </w:pPr>
            <w:r/>
            <w:r>
              <w:rPr>
                <w:b w:val="0"/>
                <w:sz w:val="22"/>
              </w:rPr>
              <w:t>11</w:t>
            </w:r>
          </w:p>
        </w:tc>
        <w:tc>
          <w:tcPr>
            <w:tcW w:type="dxa" w:w="2055"/>
          </w:tcPr>
          <w:p>
            <w:pPr>
              <w:jc w:val="center"/>
            </w:pPr>
            <w:r/>
            <w:r>
              <w:rPr>
                <w:b w:val="0"/>
                <w:sz w:val="22"/>
              </w:rPr>
              <w:t>6.47</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jc w:val="center"/>
            </w:pPr>
            <w:r/>
            <w:r>
              <w:rPr>
                <w:b w:val="0"/>
                <w:sz w:val="22"/>
              </w:rPr>
              <w:t>79</w:t>
            </w:r>
          </w:p>
        </w:tc>
        <w:tc>
          <w:tcPr>
            <w:tcW w:type="dxa" w:w="2055"/>
          </w:tcPr>
          <w:p>
            <w:pPr>
              <w:jc w:val="center"/>
            </w:pPr>
            <w:r/>
            <w:r>
              <w:rPr>
                <w:b w:val="0"/>
                <w:sz w:val="22"/>
              </w:rPr>
              <w:t>46.47</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jc w:val="center"/>
            </w:pPr>
            <w:r/>
            <w:r>
              <w:rPr>
                <w:b w:val="0"/>
                <w:sz w:val="22"/>
              </w:rPr>
              <w:t>39</w:t>
            </w:r>
          </w:p>
        </w:tc>
        <w:tc>
          <w:tcPr>
            <w:tcW w:type="dxa" w:w="2055"/>
          </w:tcPr>
          <w:p>
            <w:pPr>
              <w:jc w:val="center"/>
            </w:pPr>
            <w:r/>
            <w:r>
              <w:rPr>
                <w:b w:val="0"/>
                <w:sz w:val="22"/>
              </w:rPr>
              <w:t>22.94</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jc w:val="center"/>
            </w:pPr>
            <w:r/>
            <w:r>
              <w:rPr>
                <w:b w:val="0"/>
                <w:sz w:val="22"/>
              </w:rPr>
              <w:t>31</w:t>
            </w:r>
          </w:p>
        </w:tc>
        <w:tc>
          <w:tcPr>
            <w:tcW w:type="dxa" w:w="2055"/>
          </w:tcPr>
          <w:p>
            <w:pPr>
              <w:jc w:val="center"/>
            </w:pPr>
            <w:r/>
            <w:r>
              <w:rPr>
                <w:b w:val="0"/>
                <w:sz w:val="22"/>
              </w:rPr>
              <w:t>18.24</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jc w:val="center"/>
            </w:pPr>
            <w:r/>
            <w:r>
              <w:rPr>
                <w:b w:val="0"/>
                <w:sz w:val="22"/>
              </w:rPr>
              <w:t>21</w:t>
            </w:r>
          </w:p>
        </w:tc>
        <w:tc>
          <w:tcPr>
            <w:tcW w:type="dxa" w:w="2055"/>
          </w:tcPr>
          <w:p>
            <w:pPr>
              <w:jc w:val="center"/>
            </w:pPr>
            <w:r/>
            <w:r>
              <w:rPr>
                <w:b w:val="0"/>
                <w:sz w:val="22"/>
              </w:rPr>
              <w:t>12.35</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25-60</w:t>
            </w:r>
          </w:p>
        </w:tc>
        <w:tc>
          <w:tcPr>
            <w:tcW w:type="dxa" w:w="2055"/>
          </w:tcPr>
          <w:p>
            <w:pPr>
              <w:jc w:val="center"/>
            </w:pPr>
            <w:r/>
            <w:r>
              <w:rPr>
                <w:b w:val="0"/>
                <w:sz w:val="22"/>
              </w:rPr>
              <w:t>85</w:t>
            </w:r>
          </w:p>
        </w:tc>
        <w:tc>
          <w:tcPr>
            <w:tcW w:type="dxa" w:w="2055"/>
          </w:tcPr>
          <w:p>
            <w:pPr>
              <w:jc w:val="center"/>
            </w:pPr>
            <w:r/>
            <w:r>
              <w:rPr>
                <w:b w:val="0"/>
                <w:sz w:val="22"/>
              </w:rPr>
              <w:t>50.00</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3-24</w:t>
            </w:r>
          </w:p>
        </w:tc>
        <w:tc>
          <w:tcPr>
            <w:tcW w:type="dxa" w:w="2055"/>
          </w:tcPr>
          <w:p>
            <w:pPr>
              <w:jc w:val="center"/>
            </w:pPr>
            <w:r/>
            <w:r>
              <w:rPr>
                <w:b w:val="0"/>
                <w:sz w:val="22"/>
              </w:rPr>
              <w:t>58</w:t>
            </w:r>
          </w:p>
        </w:tc>
        <w:tc>
          <w:tcPr>
            <w:tcW w:type="dxa" w:w="2055"/>
          </w:tcPr>
          <w:p>
            <w:pPr>
              <w:jc w:val="center"/>
            </w:pPr>
            <w:r/>
            <w:r>
              <w:rPr>
                <w:b w:val="0"/>
                <w:sz w:val="22"/>
              </w:rPr>
              <w:t>34.12</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61+</w:t>
            </w:r>
          </w:p>
        </w:tc>
        <w:tc>
          <w:tcPr>
            <w:tcW w:type="dxa" w:w="2055"/>
          </w:tcPr>
          <w:p>
            <w:pPr>
              <w:jc w:val="center"/>
            </w:pPr>
            <w:r/>
            <w:r>
              <w:rPr>
                <w:b w:val="0"/>
                <w:sz w:val="22"/>
              </w:rPr>
              <w:t>27</w:t>
            </w:r>
          </w:p>
        </w:tc>
        <w:tc>
          <w:tcPr>
            <w:tcW w:type="dxa" w:w="2055"/>
          </w:tcPr>
          <w:p>
            <w:pPr>
              <w:jc w:val="center"/>
            </w:pPr>
            <w:r/>
            <w:r>
              <w:rPr>
                <w:b w:val="0"/>
                <w:sz w:val="22"/>
              </w:rPr>
              <w:t>15.88</w:t>
            </w:r>
          </w:p>
        </w:tc>
      </w:tr>
      <w:tr>
        <w:tc>
          <w:tcPr>
            <w:tcW w:type="dxa" w:w="2055"/>
          </w:tcPr>
          <w:p>
            <w:pPr>
              <w:bidi w:val="1"/>
              <w:jc w:val="center"/>
            </w:pPr>
            <w:r/>
            <w:r>
              <w:rPr>
                <w:b w:val="0"/>
                <w:sz w:val="22"/>
              </w:rPr>
              <w:t>تعداد معاملات در ۶ ماه اخیر</w:t>
            </w:r>
          </w:p>
        </w:tc>
        <w:tc>
          <w:tcPr>
            <w:tcW w:type="dxa" w:w="2055"/>
          </w:tcPr>
          <w:p>
            <w:pPr>
              <w:jc w:val="center"/>
            </w:pPr>
            <w:r/>
            <w:r>
              <w:rPr>
                <w:b w:val="0"/>
                <w:sz w:val="22"/>
              </w:rPr>
              <w:t>1-10</w:t>
            </w:r>
          </w:p>
        </w:tc>
        <w:tc>
          <w:tcPr>
            <w:tcW w:type="dxa" w:w="2055"/>
          </w:tcPr>
          <w:p>
            <w:pPr>
              <w:jc w:val="center"/>
            </w:pPr>
            <w:r/>
            <w:r>
              <w:rPr>
                <w:b w:val="0"/>
                <w:sz w:val="22"/>
              </w:rPr>
              <w:t>132</w:t>
            </w:r>
          </w:p>
        </w:tc>
        <w:tc>
          <w:tcPr>
            <w:tcW w:type="dxa" w:w="2055"/>
          </w:tcPr>
          <w:p>
            <w:pPr>
              <w:jc w:val="center"/>
            </w:pPr>
            <w:r/>
            <w:r>
              <w:rPr>
                <w:b w:val="0"/>
                <w:sz w:val="22"/>
              </w:rPr>
              <w:t>77.65</w:t>
            </w:r>
          </w:p>
        </w:tc>
      </w:tr>
      <w:tr>
        <w:tc>
          <w:tcPr>
            <w:tcW w:type="dxa" w:w="2055"/>
          </w:tcPr>
          <w:p>
            <w:pPr>
              <w:bidi w:val="1"/>
              <w:jc w:val="center"/>
            </w:pPr>
            <w:r/>
            <w:r>
              <w:rPr>
                <w:b w:val="0"/>
                <w:sz w:val="22"/>
              </w:rPr>
              <w:t>تعداد معاملات در ۶ ماه اخیر</w:t>
            </w:r>
          </w:p>
        </w:tc>
        <w:tc>
          <w:tcPr>
            <w:tcW w:type="dxa" w:w="2055"/>
          </w:tcPr>
          <w:p>
            <w:pPr>
              <w:jc w:val="center"/>
            </w:pPr>
            <w:r/>
            <w:r>
              <w:rPr>
                <w:b w:val="0"/>
                <w:sz w:val="22"/>
              </w:rPr>
              <w:t>11-50</w:t>
            </w:r>
          </w:p>
        </w:tc>
        <w:tc>
          <w:tcPr>
            <w:tcW w:type="dxa" w:w="2055"/>
          </w:tcPr>
          <w:p>
            <w:pPr>
              <w:jc w:val="center"/>
            </w:pPr>
            <w:r/>
            <w:r>
              <w:rPr>
                <w:b w:val="0"/>
                <w:sz w:val="22"/>
              </w:rPr>
              <w:t>38</w:t>
            </w:r>
          </w:p>
        </w:tc>
        <w:tc>
          <w:tcPr>
            <w:tcW w:type="dxa" w:w="2055"/>
          </w:tcPr>
          <w:p>
            <w:pPr>
              <w:jc w:val="center"/>
            </w:pPr>
            <w:r/>
            <w:r>
              <w:rPr>
                <w:b w:val="0"/>
                <w:sz w:val="22"/>
              </w:rPr>
              <w:t>22.35</w:t>
            </w:r>
          </w:p>
        </w:tc>
      </w:tr>
      <w:tr>
        <w:tc>
          <w:tcPr>
            <w:tcW w:type="dxa" w:w="2055"/>
          </w:tcPr>
          <w:p>
            <w:pPr>
              <w:bidi w:val="1"/>
              <w:jc w:val="center"/>
            </w:pPr>
            <w:r/>
            <w:r>
              <w:rPr>
                <w:b w:val="0"/>
                <w:sz w:val="22"/>
              </w:rPr>
              <w:t>تعداد معاملات در ۶ ماه اخیر</w:t>
            </w:r>
          </w:p>
        </w:tc>
        <w:tc>
          <w:tcPr>
            <w:tcW w:type="dxa" w:w="2055"/>
          </w:tcPr>
          <w:p>
            <w:pPr>
              <w:jc w:val="center"/>
            </w:pPr>
            <w:r/>
            <w:r>
              <w:rPr>
                <w:b w:val="0"/>
                <w:sz w:val="22"/>
              </w:rPr>
              <w:t>0</w:t>
            </w:r>
          </w:p>
        </w:tc>
        <w:tc>
          <w:tcPr>
            <w:tcW w:type="dxa" w:w="2055"/>
          </w:tcPr>
          <w:p>
            <w:pPr>
              <w:jc w:val="center"/>
            </w:pPr>
            <w:r/>
            <w:r>
              <w:rPr>
                <w:b w:val="0"/>
                <w:sz w:val="22"/>
              </w:rPr>
              <w:t>0</w:t>
            </w:r>
          </w:p>
        </w:tc>
        <w:tc>
          <w:tcPr>
            <w:tcW w:type="dxa" w:w="2055"/>
          </w:tcPr>
          <w:p>
            <w:pPr>
              <w:jc w:val="center"/>
            </w:pPr>
            <w:r/>
            <w:r>
              <w:rPr>
                <w:b w:val="0"/>
                <w:sz w:val="22"/>
              </w:rPr>
              <w:t>0.00</w:t>
            </w:r>
          </w:p>
        </w:tc>
      </w:tr>
      <w:tr>
        <w:tc>
          <w:tcPr>
            <w:tcW w:type="dxa" w:w="2055"/>
          </w:tcPr>
          <w:p>
            <w:pPr>
              <w:bidi w:val="1"/>
              <w:jc w:val="center"/>
            </w:pPr>
            <w:r/>
            <w:r>
              <w:rPr>
                <w:b w:val="0"/>
                <w:sz w:val="22"/>
              </w:rPr>
              <w:t>تعداد معاملات در ۶ ماه اخیر</w:t>
            </w:r>
          </w:p>
        </w:tc>
        <w:tc>
          <w:tcPr>
            <w:tcW w:type="dxa" w:w="2055"/>
          </w:tcPr>
          <w:p>
            <w:pPr>
              <w:jc w:val="center"/>
            </w:pPr>
            <w:r/>
            <w:r>
              <w:rPr>
                <w:b w:val="0"/>
                <w:sz w:val="22"/>
              </w:rPr>
              <w:t>50+</w:t>
            </w:r>
          </w:p>
        </w:tc>
        <w:tc>
          <w:tcPr>
            <w:tcW w:type="dxa" w:w="2055"/>
          </w:tcPr>
          <w:p>
            <w:pPr>
              <w:jc w:val="center"/>
            </w:pPr>
            <w:r/>
            <w:r>
              <w:rPr>
                <w:b w:val="0"/>
                <w:sz w:val="22"/>
              </w:rPr>
              <w:t>0</w:t>
            </w:r>
          </w:p>
        </w:tc>
        <w:tc>
          <w:tcPr>
            <w:tcW w:type="dxa" w:w="2055"/>
          </w:tcPr>
          <w:p>
            <w:pPr>
              <w:jc w:val="center"/>
            </w:pPr>
            <w:r/>
            <w:r>
              <w:rPr>
                <w:b w:val="0"/>
                <w:sz w:val="22"/>
              </w:rPr>
              <w:t>0.00</w:t>
            </w:r>
          </w:p>
        </w:tc>
      </w:tr>
    </w:tbl>
    <w:p>
      <w:pPr>
        <w:bidi w:val="1"/>
        <w:spacing w:lineRule="exact" w:line="580" w:after="0"/>
        <w:jc w:val="both"/>
      </w:pPr>
      <w:r>
        <w:rPr>
          <w:rFonts w:ascii="B Nazanin" w:hAnsi="B Nazanin" w:cs="B Nazanin" w:hint="cs"/>
          <w:sz w:val="24"/>
          <w:szCs w:val="24"/>
          <w:rtl/>
          <w:lang w:bidi="fa-IR"/>
        </w:rPr>
        <w:t xml:space="preserve">مجموعاً، نمونه نهایی از نظر ترکیب سنی، جنسیتی و بازاری با ویژگی‌های گزارش‌شده در پژوهش‌های جامعه معامله‌گران آنلاین هم‌خوان است؛ غلبه بورس و گروه‌های جوان‌تر نیز در تفسیر نتایج و در محدودیت‌های فصل پنجم لحاظ خواهد شد.</w:t>
      </w:r>
    </w:p>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jc w:val="center"/>
            </w:pPr>
            <w:r/>
            <w:r>
              <w:rPr>
                <w:b w:val="0"/>
                <w:sz w:val="22"/>
              </w:rPr>
              <w:t>46.12</w:t>
            </w:r>
          </w:p>
        </w:tc>
        <w:tc>
          <w:tcPr>
            <w:tcW w:type="dxa" w:w="1174"/>
          </w:tcPr>
          <w:p>
            <w:pPr>
              <w:jc w:val="center"/>
            </w:pPr>
            <w:r/>
            <w:r>
              <w:rPr>
                <w:b w:val="0"/>
                <w:sz w:val="22"/>
              </w:rPr>
              <w:t>11.21</w:t>
            </w:r>
          </w:p>
        </w:tc>
        <w:tc>
          <w:tcPr>
            <w:tcW w:type="dxa" w:w="1174"/>
          </w:tcPr>
          <w:p>
            <w:pPr>
              <w:jc w:val="center"/>
            </w:pPr>
            <w:r/>
            <w:r>
              <w:rPr>
                <w:b w:val="0"/>
                <w:sz w:val="22"/>
              </w:rPr>
              <w:t>22</w:t>
            </w:r>
          </w:p>
        </w:tc>
        <w:tc>
          <w:tcPr>
            <w:tcW w:type="dxa" w:w="1174"/>
          </w:tcPr>
          <w:p>
            <w:pPr>
              <w:jc w:val="center"/>
            </w:pPr>
            <w:r/>
            <w:r>
              <w:rPr>
                <w:b w:val="0"/>
                <w:sz w:val="22"/>
              </w:rPr>
              <w:t>72</w:t>
            </w:r>
          </w:p>
        </w:tc>
        <w:tc>
          <w:tcPr>
            <w:tcW w:type="dxa" w:w="1174"/>
          </w:tcPr>
          <w:p>
            <w:pPr>
              <w:jc w:val="center"/>
            </w:pPr>
            <w:r/>
            <w:r>
              <w:rPr>
                <w:b w:val="0"/>
                <w:sz w:val="22"/>
              </w:rPr>
              <w:t>0.06</w:t>
            </w:r>
          </w:p>
        </w:tc>
        <w:tc>
          <w:tcPr>
            <w:tcW w:type="dxa" w:w="1174"/>
          </w:tcPr>
          <w:p>
            <w:pPr>
              <w:jc w:val="center"/>
            </w:pPr>
            <w:r/>
            <w:r>
              <w:rPr>
                <w:b w:val="0"/>
                <w:sz w:val="22"/>
              </w:rPr>
              <w:t>-0.53</w:t>
            </w:r>
          </w:p>
        </w:tc>
      </w:tr>
      <w:tr>
        <w:tc>
          <w:tcPr>
            <w:tcW w:type="dxa" w:w="1174"/>
          </w:tcPr>
          <w:p>
            <w:pPr>
              <w:bidi w:val="1"/>
              <w:jc w:val="center"/>
            </w:pPr>
            <w:r/>
            <w:r>
              <w:rPr>
                <w:b w:val="0"/>
                <w:sz w:val="22"/>
              </w:rPr>
              <w:t>طرحوارۀ ناسازگار اولیه (YSQ-SF)</w:t>
            </w:r>
          </w:p>
        </w:tc>
        <w:tc>
          <w:tcPr>
            <w:tcW w:type="dxa" w:w="1174"/>
          </w:tcPr>
          <w:p>
            <w:pPr>
              <w:jc w:val="center"/>
            </w:pPr>
            <w:r/>
            <w:r>
              <w:rPr>
                <w:b w:val="0"/>
                <w:sz w:val="22"/>
              </w:rPr>
              <w:t>223.38</w:t>
            </w:r>
          </w:p>
        </w:tc>
        <w:tc>
          <w:tcPr>
            <w:tcW w:type="dxa" w:w="1174"/>
          </w:tcPr>
          <w:p>
            <w:pPr>
              <w:jc w:val="center"/>
            </w:pPr>
            <w:r/>
            <w:r>
              <w:rPr>
                <w:b w:val="0"/>
                <w:sz w:val="22"/>
              </w:rPr>
              <w:t>43.03</w:t>
            </w:r>
          </w:p>
        </w:tc>
        <w:tc>
          <w:tcPr>
            <w:tcW w:type="dxa" w:w="1174"/>
          </w:tcPr>
          <w:p>
            <w:pPr>
              <w:jc w:val="center"/>
            </w:pPr>
            <w:r/>
            <w:r>
              <w:rPr>
                <w:b w:val="0"/>
                <w:sz w:val="22"/>
              </w:rPr>
              <w:t>121</w:t>
            </w:r>
          </w:p>
        </w:tc>
        <w:tc>
          <w:tcPr>
            <w:tcW w:type="dxa" w:w="1174"/>
          </w:tcPr>
          <w:p>
            <w:pPr>
              <w:jc w:val="center"/>
            </w:pPr>
            <w:r/>
            <w:r>
              <w:rPr>
                <w:b w:val="0"/>
                <w:sz w:val="22"/>
              </w:rPr>
              <w:t>335</w:t>
            </w:r>
          </w:p>
        </w:tc>
        <w:tc>
          <w:tcPr>
            <w:tcW w:type="dxa" w:w="1174"/>
          </w:tcPr>
          <w:p>
            <w:pPr>
              <w:jc w:val="center"/>
            </w:pPr>
            <w:r/>
            <w:r>
              <w:rPr>
                <w:b w:val="0"/>
                <w:sz w:val="22"/>
              </w:rPr>
              <w:t>-0.09</w:t>
            </w:r>
          </w:p>
        </w:tc>
        <w:tc>
          <w:tcPr>
            <w:tcW w:type="dxa" w:w="1174"/>
          </w:tcPr>
          <w:p>
            <w:pPr>
              <w:jc w:val="center"/>
            </w:pPr>
            <w:r/>
            <w:r>
              <w:rPr>
                <w:b w:val="0"/>
                <w:sz w:val="22"/>
              </w:rPr>
              <w:t>-0.51</w:t>
            </w:r>
          </w:p>
        </w:tc>
      </w:tr>
      <w:tr>
        <w:tc>
          <w:tcPr>
            <w:tcW w:type="dxa" w:w="1174"/>
          </w:tcPr>
          <w:p>
            <w:pPr>
              <w:bidi w:val="1"/>
              <w:jc w:val="center"/>
            </w:pPr>
            <w:r/>
            <w:r>
              <w:rPr>
                <w:b w:val="0"/>
                <w:sz w:val="22"/>
              </w:rPr>
              <w:t>رفتار مالی پرخطر (Grable &amp; Lytton)</w:t>
            </w:r>
          </w:p>
        </w:tc>
        <w:tc>
          <w:tcPr>
            <w:tcW w:type="dxa" w:w="1174"/>
          </w:tcPr>
          <w:p>
            <w:pPr>
              <w:jc w:val="center"/>
            </w:pPr>
            <w:r/>
            <w:r>
              <w:rPr>
                <w:b w:val="0"/>
                <w:sz w:val="22"/>
              </w:rPr>
              <w:t>23.29</w:t>
            </w:r>
          </w:p>
        </w:tc>
        <w:tc>
          <w:tcPr>
            <w:tcW w:type="dxa" w:w="1174"/>
          </w:tcPr>
          <w:p>
            <w:pPr>
              <w:jc w:val="center"/>
            </w:pPr>
            <w:r/>
            <w:r>
              <w:rPr>
                <w:b w:val="0"/>
                <w:sz w:val="22"/>
              </w:rPr>
              <w:t>5.01</w:t>
            </w:r>
          </w:p>
        </w:tc>
        <w:tc>
          <w:tcPr>
            <w:tcW w:type="dxa" w:w="1174"/>
          </w:tcPr>
          <w:p>
            <w:pPr>
              <w:jc w:val="center"/>
            </w:pPr>
            <w:r/>
            <w:r>
              <w:rPr>
                <w:b w:val="0"/>
                <w:sz w:val="22"/>
              </w:rPr>
              <w:t>13.62</w:t>
            </w:r>
          </w:p>
        </w:tc>
        <w:tc>
          <w:tcPr>
            <w:tcW w:type="dxa" w:w="1174"/>
          </w:tcPr>
          <w:p>
            <w:pPr>
              <w:jc w:val="center"/>
            </w:pPr>
            <w:r/>
            <w:r>
              <w:rPr>
                <w:b w:val="0"/>
                <w:sz w:val="22"/>
              </w:rPr>
              <w:t>37.62</w:t>
            </w:r>
          </w:p>
        </w:tc>
        <w:tc>
          <w:tcPr>
            <w:tcW w:type="dxa" w:w="1174"/>
          </w:tcPr>
          <w:p>
            <w:pPr>
              <w:jc w:val="center"/>
            </w:pPr>
            <w:r/>
            <w:r>
              <w:rPr>
                <w:b w:val="0"/>
                <w:sz w:val="22"/>
              </w:rPr>
              <w:t>0.44</w:t>
            </w:r>
          </w:p>
        </w:tc>
        <w:tc>
          <w:tcPr>
            <w:tcW w:type="dxa" w:w="1174"/>
          </w:tcPr>
          <w:p>
            <w:pPr>
              <w:jc w:val="center"/>
            </w:pPr>
            <w:r/>
            <w:r>
              <w:rPr>
                <w:b w:val="0"/>
                <w:sz w:val="22"/>
              </w:rPr>
              <w:t>-0.11</w:t>
            </w:r>
          </w:p>
        </w:tc>
      </w:tr>
    </w:tbl>
    <w:p>
      <w:pPr>
        <w:bidi w:val="1"/>
        <w:spacing w:lineRule="exact" w:line="580" w:after="0"/>
        <w:jc w:val="both"/>
      </w:pPr>
      <w:r>
        <w:rPr>
          <w:rFonts w:ascii="B Nazanin" w:hAnsi="B Nazanin" w:cs="B Nazanin" w:hint="cs"/>
          <w:sz w:val="24"/>
          <w:szCs w:val="24"/>
          <w:rtl/>
          <w:lang w:bidi="fa-IR"/>
        </w:rPr>
        <w:t xml:space="preserve">میانگین اضطراب صفتی (۴۶٫۱۲ از ۸۰) در این نمونه به دست آمد و مقایسه آن با هنجارها نیازمند داده‌های مرجع جداگانه است؛ این جای‌گیری برای جامعه معامله‌گران قابل انتظار بوده و نشانه هم‌زمانیِ دامنه کافی (کمینه ۲۲ تا بیشینه ۷۲) و نبود اثر سقف/کف است.</w:t>
      </w:r>
    </w:p>
    <w:p>
      <w:pPr>
        <w:bidi w:val="1"/>
        <w:spacing w:lineRule="exact" w:line="580" w:after="0"/>
        <w:jc w:val="both"/>
      </w:pPr>
      <w:r>
        <w:rPr>
          <w:rFonts w:ascii="B Nazanin" w:hAnsi="B Nazanin" w:cs="B Nazanin" w:hint="cs"/>
          <w:sz w:val="24"/>
          <w:szCs w:val="24"/>
          <w:rtl/>
          <w:lang w:bidi="fa-IR"/>
        </w:rPr>
        <w:t xml:space="preserve">میانگین طرحواره ناسازگار ۲۲۳٫۳۸ از ۴۵۰ و میانگین رفتار مالی پرخطر ۲۳٫۲۹ از ۴۵ است؛ هر دو پایین‌تر از نقطه میانی بازه نظری مقیاس خود قرار دارند. رفتار مالی چولگی مثبت ملایمی (۰٫۴۴)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۰٫۸۰۰ بود؛ هر دو در بازه مطلوب قرار گرفتند. آلفای کل مقیاس طرحواره ۰٫۹۲۹ به دست آمد. مقداری مطلوب و پایین‌تر از کرانه ۰٫۹۵. مقادیر بسیار نزدیک به ۱ معمولاً نشانه هم‌پوشانی محتوایی گویه‌هاست و در اینجا دیده نمی‌شود.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jc w:val="center"/>
            </w:pPr>
            <w:r/>
            <w:r>
              <w:rPr>
                <w:b w:val="0"/>
                <w:sz w:val="22"/>
              </w:rPr>
              <w:t>20</w:t>
            </w:r>
          </w:p>
        </w:tc>
        <w:tc>
          <w:tcPr>
            <w:tcW w:type="dxa" w:w="2740"/>
          </w:tcPr>
          <w:p>
            <w:pPr>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jc w:val="center"/>
            </w:pPr>
            <w:r/>
            <w:r>
              <w:rPr>
                <w:b w:val="0"/>
                <w:sz w:val="22"/>
              </w:rPr>
              <w:t>75</w:t>
            </w:r>
          </w:p>
        </w:tc>
        <w:tc>
          <w:tcPr>
            <w:tcW w:type="dxa" w:w="2740"/>
          </w:tcPr>
          <w:p>
            <w:pPr>
              <w:jc w:val="center"/>
            </w:pPr>
            <w:r/>
            <w:r>
              <w:rPr>
                <w:b w:val="0"/>
                <w:sz w:val="22"/>
              </w:rPr>
              <w:t>0.929</w:t>
            </w:r>
          </w:p>
        </w:tc>
      </w:tr>
      <w:tr>
        <w:tc>
          <w:tcPr>
            <w:tcW w:type="dxa" w:w="2740"/>
          </w:tcPr>
          <w:p>
            <w:pPr>
              <w:bidi w:val="1"/>
              <w:jc w:val="center"/>
            </w:pPr>
            <w:r/>
            <w:r>
              <w:rPr>
                <w:b w:val="0"/>
                <w:sz w:val="22"/>
              </w:rPr>
              <w:t>رفتارهای مالی پرخطر (Grable &amp; Lytton)</w:t>
            </w:r>
          </w:p>
        </w:tc>
        <w:tc>
          <w:tcPr>
            <w:tcW w:type="dxa" w:w="2740"/>
          </w:tcPr>
          <w:p>
            <w:pPr>
              <w:jc w:val="center"/>
            </w:pPr>
            <w:r/>
            <w:r>
              <w:rPr>
                <w:b w:val="0"/>
                <w:sz w:val="22"/>
              </w:rPr>
              <w:t>13</w:t>
            </w:r>
          </w:p>
        </w:tc>
        <w:tc>
          <w:tcPr>
            <w:tcW w:type="dxa" w:w="2740"/>
          </w:tcPr>
          <w:p>
            <w:pPr>
              <w:jc w:val="center"/>
            </w:pPr>
            <w:r/>
            <w:r>
              <w:rPr>
                <w:b w:val="0"/>
                <w:sz w:val="22"/>
              </w:rPr>
              <w:t>0.800</w:t>
            </w:r>
          </w:p>
        </w:tc>
      </w:tr>
    </w:tbl>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چهار پیش‌فرض وابسته است: نرمال بودن، نبود داده‌های پرت، عدم هم‌خطی و استقلال پسماندها.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در محدوده قابل قبول برای آزمون‌های استنتاجی رایج مانند رگرسیون است، هرچند نرمال بودن کامل توزیع‌ها برقرار نیست.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 و نزدیک‌ترین مقدار بیشینه ۱۵٫۱۱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۱٫۳۰ و تلورانس ۰٫۷۷ بود که نشانه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۱٫۸۶ و در مدل پیامد ۱٫۸۳ بود؛ هر دو به ۲ نزدیک‌اند و پیش‌فرض استقلال پسماندها برقرار ارزیابی شد.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15.11؛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jc w:val="center"/>
            </w:pPr>
            <w:r/>
            <w:r>
              <w:rPr>
                <w:b w:val="0"/>
                <w:sz w:val="22"/>
              </w:rPr>
              <w:t>1.30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1.86 و 1.83</w:t>
            </w:r>
          </w:p>
        </w:tc>
        <w:tc>
          <w:tcPr>
            <w:tcW w:type="dxa" w:w="2055"/>
          </w:tcPr>
          <w:p>
            <w:pPr>
              <w:bidi w:val="1"/>
              <w:jc w:val="center"/>
            </w:pPr>
            <w:r/>
            <w:r>
              <w:rPr>
                <w:b w:val="0"/>
                <w:sz w:val="22"/>
              </w:rPr>
              <w:t>برقرار</w:t>
            </w:r>
          </w:p>
        </w:tc>
      </w:tr>
    </w:tbl>
    <w:p>
      <w:pPr>
        <w:bidi w:val="1"/>
        <w:spacing w:lineRule="exact" w:line="580" w:after="0"/>
        <w:jc w:val="both"/>
      </w:pPr>
      <w:r>
        <w:rPr>
          <w:rFonts w:ascii="B Nazanin" w:hAnsi="B Nazanin" w:cs="B Nazanin" w:hint="cs"/>
          <w:sz w:val="24"/>
          <w:szCs w:val="24"/>
          <w:rtl/>
          <w:lang w:bidi="fa-IR"/>
        </w:rPr>
        <w:t xml:space="preserve">بر این اساس، همبستگی پیرسون و رگرسیون چندگانه به‌کار رفتند و تصمیم کلیدی برای حفظ مسیر استنباطی، اتکا به بازه‌های اطمینان بوت‌استرپ در تحلیل میانجی بود تا حساسیت نتیجه به انحراف‌های خفیف توزیع کنترل شود.</w:t>
      </w:r>
    </w:p>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 </w:t>
      </w:r>
      <w:r>
        <w:rPr>
          <w:rFonts w:ascii="Times New Roman" w:hAnsi="Times New Roman" w:cs="Times New Roman"/>
          <w:sz w:val="20"/>
          <w:szCs w:val="20"/>
          <w:lang w:val="en-US"/>
        </w:rPr>
        <w:t xml:space="preserve">(N = 170)</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jc w:val="center"/>
            </w:pPr>
            <w:r/>
            <w:r>
              <w:rPr>
                <w:b w:val="0"/>
                <w:sz w:val="22"/>
              </w:rPr>
              <w:t>—</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jc w:val="center"/>
            </w:pPr>
            <w:r/>
            <w:r>
              <w:rPr>
                <w:b w:val="0"/>
                <w:sz w:val="22"/>
              </w:rPr>
              <w:t>0.48***</w:t>
            </w:r>
          </w:p>
        </w:tc>
        <w:tc>
          <w:tcPr>
            <w:tcW w:type="dxa" w:w="2055"/>
          </w:tcPr>
          <w:p>
            <w:pPr>
              <w:jc w:val="center"/>
            </w:pPr>
            <w:r/>
            <w:r>
              <w:rPr>
                <w:b w:val="0"/>
                <w:sz w:val="22"/>
              </w:rPr>
              <w:t>—</w:t>
            </w:r>
          </w:p>
        </w:tc>
        <w:tc>
          <w:tcPr>
            <w:tcW w:type="dxa" w:w="2055"/>
          </w:tcPr>
          <w:p>
            <w:pPr>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jc w:val="center"/>
            </w:pPr>
            <w:r/>
            <w:r>
              <w:rPr>
                <w:b w:val="0"/>
                <w:sz w:val="22"/>
              </w:rPr>
              <w:t>0.27***</w:t>
            </w:r>
          </w:p>
        </w:tc>
        <w:tc>
          <w:tcPr>
            <w:tcW w:type="dxa" w:w="2055"/>
          </w:tcPr>
          <w:p>
            <w:pPr>
              <w:jc w:val="center"/>
            </w:pPr>
            <w:r/>
            <w:r>
              <w:rPr>
                <w:b w:val="0"/>
                <w:sz w:val="22"/>
              </w:rPr>
              <w:t>0.29***</w:t>
            </w:r>
          </w:p>
        </w:tc>
        <w:tc>
          <w:tcPr>
            <w:tcW w:type="dxa" w:w="2055"/>
          </w:tcPr>
          <w:p>
            <w:pPr>
              <w:jc w:val="center"/>
            </w:pPr>
            <w:r/>
            <w:r>
              <w:rPr>
                <w:b w:val="0"/>
                <w:sz w:val="22"/>
              </w:rPr>
              <w:t>—</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Times New Roman" w:hAnsi="Times New Roman" w:cs="Times New Roman"/>
          <w:sz w:val="22"/>
          <w:szCs w:val="22"/>
          <w:lang w:val="en-US"/>
        </w:rPr>
        <w:t xml:space="preserve"> *** p &lt; 0.001 (</w:t>
      </w:r>
      <w:r>
        <w:rPr>
          <w:rFonts w:ascii="B Nazanin" w:hAnsi="B Nazanin" w:cs="B Nazanin" w:hint="cs"/>
          <w:sz w:val="24"/>
          <w:szCs w:val="24"/>
          <w:rtl/>
          <w:lang w:bidi="fa-IR"/>
        </w:rPr>
        <w:t xml:space="preserve">دودامنه).</w:t>
      </w:r>
    </w:p>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0.27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 الگوی شماره ۴ پراسس</w:t>
      </w:r>
    </w:p>
    <w:p>
      <w:pPr>
        <w:bidi w:val="1"/>
        <w:spacing w:lineRule="exact" w:line="580" w:after="0"/>
        <w:jc w:val="both"/>
      </w:pPr>
      <w:r>
        <w:rPr>
          <w:rFonts w:ascii="B Nazanin" w:hAnsi="B Nazanin" w:cs="B Nazanin" w:hint="cs"/>
          <w:sz w:val="24"/>
          <w:szCs w:val="24"/>
          <w:rtl/>
          <w:lang w:bidi="fa-IR"/>
        </w:rPr>
        <w:t xml:space="preserve">در تحلیل میانجی، اضطراب صفتی </w:t>
      </w:r>
      <w:r>
        <w:rPr>
          <w:rFonts w:ascii="Times New Roman" w:hAnsi="Times New Roman" w:cs="Times New Roman"/>
          <w:sz w:val="22"/>
          <w:szCs w:val="22"/>
          <w:lang w:val="en-US"/>
        </w:rPr>
        <w:t xml:space="preserve">(X)</w:t>
      </w:r>
      <w:r>
        <w:rPr>
          <w:rFonts w:ascii="B Nazanin" w:hAnsi="B Nazanin" w:cs="B Nazanin" w:hint="cs"/>
          <w:sz w:val="24"/>
          <w:szCs w:val="24"/>
          <w:rtl/>
          <w:lang w:bidi="fa-IR"/>
        </w:rPr>
        <w:t xml:space="preserve">، طرحواره‌ها </w:t>
      </w:r>
      <w:r>
        <w:rPr>
          <w:rFonts w:ascii="Times New Roman" w:hAnsi="Times New Roman" w:cs="Times New Roman"/>
          <w:sz w:val="22"/>
          <w:szCs w:val="22"/>
          <w:lang w:val="en-US"/>
        </w:rPr>
        <w:t xml:space="preserve">(M)</w:t>
      </w:r>
      <w:r>
        <w:rPr>
          <w:rFonts w:ascii="B Nazanin" w:hAnsi="B Nazanin" w:cs="B Nazanin" w:hint="cs"/>
          <w:sz w:val="24"/>
          <w:szCs w:val="24"/>
          <w:rtl/>
          <w:lang w:bidi="fa-IR"/>
        </w:rPr>
        <w:t xml:space="preserve"> و رفتارهای مالی پرخطر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 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فاصله اطمینان ۹۵٪ به روش صدکی</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بر پایه ۵۰۰۰ بازنمونه بوت‌استرپ قضاوت شد، زیرا توزیع نمونه‌گیریِ حاصل‌ضرب ضرایب معمولاً نامتقارن است. تعداد بازنمونه‌ها بر پایه تنظیم از پیش اعلام‌شده فصل ۳ برای تحلیل اصلی (۵۰۰۰ بازنمونه) تعیین شد تا روش با پروتکل پژوهش هم‌راستا بماند.</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۱٫۸۳۲ بود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۰٫۰۲۵ و معنادار بود </w:t>
      </w:r>
      <w:r>
        <w:rPr>
          <w:rFonts w:ascii="Times New Roman" w:hAnsi="Times New Roman" w:cs="Times New Roman"/>
          <w:sz w:val="22"/>
          <w:szCs w:val="22"/>
          <w:lang w:val="en-US"/>
        </w:rPr>
        <w:t xml:space="preserve">(p = 0.011)</w:t>
      </w:r>
      <w:r>
        <w:rPr>
          <w:rFonts w:ascii="B Nazanin" w:hAnsi="B Nazanin" w:cs="B Nazanin" w:hint="cs"/>
          <w:sz w:val="24"/>
          <w:szCs w:val="24"/>
          <w:rtl/>
          <w:lang w:bidi="fa-IR"/>
        </w:rPr>
        <w:t xml:space="preserve">. اثر مستقیم پس از ورود میانجی از</w:t>
      </w:r>
      <w:r>
        <w:rPr>
          <w:rFonts w:ascii="Times New Roman" w:hAnsi="Times New Roman" w:cs="Times New Roman"/>
          <w:sz w:val="22"/>
          <w:szCs w:val="22"/>
          <w:lang w:val="en-US"/>
        </w:rPr>
        <w:t xml:space="preserve"> c = 0.122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0.077 </w:t>
      </w:r>
      <w:r>
        <w:rPr>
          <w:rFonts w:ascii="B Nazanin" w:hAnsi="B Nazanin" w:cs="B Nazanin" w:hint="cs"/>
          <w:sz w:val="24"/>
          <w:szCs w:val="24"/>
          <w:rtl/>
          <w:lang w:bidi="fa-IR"/>
        </w:rPr>
        <w:t xml:space="preserve">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 </w:t>
      </w:r>
      <w:r>
        <w:rPr>
          <w:rFonts w:ascii="Times New Roman" w:hAnsi="Times New Roman" w:cs="Times New Roman"/>
          <w:sz w:val="22"/>
          <w:szCs w:val="22"/>
          <w:lang w:val="en-US"/>
        </w:rPr>
        <w:t xml:space="preserve">(p = 0.040)</w:t>
      </w:r>
      <w:r>
        <w:rPr>
          <w:rFonts w:ascii="B Nazanin" w:hAnsi="B Nazanin" w:cs="B Nazanin" w:hint="cs"/>
          <w:sz w:val="24"/>
          <w:szCs w:val="24"/>
          <w:rtl/>
          <w:lang w:bidi="fa-IR"/>
        </w:rPr>
        <w:t xml:space="preserve">. مدل کامل پیامد حدود ۱۱٪ از واریانس رفتار مالی را توضیح داد.</w:t>
      </w:r>
    </w:p>
    <w:p>
      <w:pPr>
        <w:bidi w:val="1"/>
        <w:spacing w:lineRule="exact" w:line="580" w:after="0"/>
        <w:jc w:val="both"/>
      </w:pPr>
      <w:r>
        <w:rPr>
          <w:rFonts w:ascii="B Nazanin" w:hAnsi="B Nazanin" w:cs="B Nazanin" w:hint="cs"/>
          <w:sz w:val="24"/>
          <w:szCs w:val="24"/>
          <w:rtl/>
          <w:lang w:bidi="fa-IR"/>
        </w:rPr>
        <w:t xml:space="preserve">اثر غیرمستقیم ۰٫۰۴۵ برآورد شد و بازه اطمینان ۹۵٪ بوت‌استرپ آن </w:t>
      </w:r>
      <w:r>
        <w:rPr>
          <w:rFonts w:ascii="Times New Roman" w:hAnsi="Times New Roman" w:cs="Times New Roman"/>
          <w:sz w:val="22"/>
          <w:szCs w:val="22"/>
          <w:lang w:val="en-US"/>
        </w:rPr>
        <w:t xml:space="preserve">[0.008, 0.090]</w:t>
      </w:r>
      <w:r>
        <w:rPr>
          <w:rFonts w:ascii="B Nazanin" w:hAnsi="B Nazanin" w:cs="B Nazanin" w:hint="cs"/>
          <w:sz w:val="24"/>
          <w:szCs w:val="24"/>
          <w:rtl/>
          <w:lang w:bidi="fa-IR"/>
        </w:rPr>
        <w:t xml:space="preserve"> بود؛ چون صفر در بازه نیست، مسیر طرحواره‌ای به‌عنوان میانجی تأیید می‌شود. حدود ۳۷٪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با مدل ۴ هایز و ۵۰۰۰ بازنمونه بوت‌استرپ</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jc w:val="center"/>
            </w:pPr>
            <w:r/>
            <w:r>
              <w:rPr>
                <w:b/>
                <w:sz w:val="22"/>
              </w:rPr>
              <w:t>t</w:t>
            </w:r>
          </w:p>
        </w:tc>
        <w:tc>
          <w:tcPr>
            <w:tcW w:type="dxa" w:w="1370"/>
            <w:tcBorders>
              <w:bottom w:val="single" w:sz="12" w:space="0" w:color="000000"/>
            </w:tcBorders>
          </w:tcPr>
          <w:p>
            <w:pPr>
              <w:jc w:val="center"/>
            </w:pPr>
            <w:r/>
            <w:r>
              <w:rPr>
                <w:b/>
                <w:sz w:val="22"/>
              </w:rPr>
              <w:t>p</w:t>
            </w:r>
          </w:p>
        </w:tc>
        <w:tc>
          <w:tcPr>
            <w:tcW w:type="dxa" w:w="1370"/>
            <w:tcBorders>
              <w:bottom w:val="single" w:sz="12" w:space="0" w:color="000000"/>
            </w:tcBorders>
          </w:tcPr>
          <w:p>
            <w:pPr>
              <w:jc w:val="center"/>
            </w:pPr>
            <w:r/>
            <w:r>
              <w:rPr>
                <w:b/>
                <w:sz w:val="22"/>
              </w:rPr>
              <w:t>CI95%</w:t>
            </w:r>
          </w:p>
        </w:tc>
      </w:tr>
      <w:tr>
        <w:tc>
          <w:tcPr>
            <w:tcW w:type="dxa" w:w="1370"/>
          </w:tcPr>
          <w:p>
            <w:pPr>
              <w:bidi w:val="1"/>
              <w:jc w:val="center"/>
            </w:pPr>
            <w:r/>
            <w:r>
              <w:rPr>
                <w:b w:val="0"/>
                <w:sz w:val="22"/>
              </w:rPr>
              <w:t>مسیر a (اضطراب ← طرحواره‌ها)</w:t>
            </w:r>
          </w:p>
        </w:tc>
        <w:tc>
          <w:tcPr>
            <w:tcW w:type="dxa" w:w="1370"/>
          </w:tcPr>
          <w:p>
            <w:pPr>
              <w:jc w:val="center"/>
            </w:pPr>
            <w:r/>
            <w:r>
              <w:rPr>
                <w:b w:val="0"/>
                <w:sz w:val="22"/>
              </w:rPr>
              <w:t>1.832</w:t>
            </w:r>
          </w:p>
        </w:tc>
        <w:tc>
          <w:tcPr>
            <w:tcW w:type="dxa" w:w="1370"/>
          </w:tcPr>
          <w:p>
            <w:pPr>
              <w:jc w:val="center"/>
            </w:pPr>
            <w:r/>
            <w:r>
              <w:rPr>
                <w:b w:val="0"/>
                <w:sz w:val="22"/>
              </w:rPr>
              <w:t>0.260</w:t>
            </w:r>
          </w:p>
        </w:tc>
        <w:tc>
          <w:tcPr>
            <w:tcW w:type="dxa" w:w="1370"/>
          </w:tcPr>
          <w:p>
            <w:pPr>
              <w:jc w:val="center"/>
            </w:pPr>
            <w:r/>
            <w:r>
              <w:rPr>
                <w:b w:val="0"/>
                <w:sz w:val="22"/>
              </w:rPr>
              <w:t>7.04</w:t>
            </w:r>
          </w:p>
        </w:tc>
        <w:tc>
          <w:tcPr>
            <w:tcW w:type="dxa" w:w="1370"/>
          </w:tcPr>
          <w:p>
            <w:pPr>
              <w:jc w:val="center"/>
            </w:pPr>
            <w:r/>
            <w:r>
              <w:rPr>
                <w:b w:val="0"/>
                <w:sz w:val="22"/>
              </w:rPr>
              <w:t>p &lt; 0.001</w:t>
            </w:r>
          </w:p>
        </w:tc>
        <w:tc>
          <w:tcPr>
            <w:tcW w:type="dxa" w:w="1370"/>
          </w:tcPr>
          <w:p>
            <w:pPr>
              <w:jc w:val="center"/>
            </w:pPr>
            <w:r/>
            <w:r>
              <w:rPr>
                <w:b w:val="0"/>
                <w:sz w:val="22"/>
              </w:rPr>
              <w:t>[1.319, 2.346]</w:t>
            </w:r>
          </w:p>
        </w:tc>
      </w:tr>
      <w:tr>
        <w:tc>
          <w:tcPr>
            <w:tcW w:type="dxa" w:w="1370"/>
          </w:tcPr>
          <w:p>
            <w:pPr>
              <w:bidi w:val="1"/>
              <w:jc w:val="center"/>
            </w:pPr>
            <w:r/>
            <w:r>
              <w:rPr>
                <w:b w:val="0"/>
                <w:sz w:val="22"/>
              </w:rPr>
              <w:t>مسیر b (طرحواره‌ها ← رفتار مالی)</w:t>
            </w:r>
          </w:p>
        </w:tc>
        <w:tc>
          <w:tcPr>
            <w:tcW w:type="dxa" w:w="1370"/>
          </w:tcPr>
          <w:p>
            <w:pPr>
              <w:jc w:val="center"/>
            </w:pPr>
            <w:r/>
            <w:r>
              <w:rPr>
                <w:b w:val="0"/>
                <w:sz w:val="22"/>
              </w:rPr>
              <w:t>0.025</w:t>
            </w:r>
          </w:p>
        </w:tc>
        <w:tc>
          <w:tcPr>
            <w:tcW w:type="dxa" w:w="1370"/>
          </w:tcPr>
          <w:p>
            <w:pPr>
              <w:jc w:val="center"/>
            </w:pPr>
            <w:r/>
            <w:r>
              <w:rPr>
                <w:b w:val="0"/>
                <w:sz w:val="22"/>
              </w:rPr>
              <w:t>0.010</w:t>
            </w:r>
          </w:p>
        </w:tc>
        <w:tc>
          <w:tcPr>
            <w:tcW w:type="dxa" w:w="1370"/>
          </w:tcPr>
          <w:p>
            <w:pPr>
              <w:jc w:val="center"/>
            </w:pPr>
            <w:r/>
            <w:r>
              <w:rPr>
                <w:b w:val="0"/>
                <w:sz w:val="22"/>
              </w:rPr>
              <w:t>2.56</w:t>
            </w:r>
          </w:p>
        </w:tc>
        <w:tc>
          <w:tcPr>
            <w:tcW w:type="dxa" w:w="1370"/>
          </w:tcPr>
          <w:p>
            <w:pPr>
              <w:jc w:val="center"/>
            </w:pPr>
            <w:r/>
            <w:r>
              <w:rPr>
                <w:b w:val="0"/>
                <w:sz w:val="22"/>
              </w:rPr>
              <w:t>p = 0.011</w:t>
            </w:r>
          </w:p>
        </w:tc>
        <w:tc>
          <w:tcPr>
            <w:tcW w:type="dxa" w:w="1370"/>
          </w:tcPr>
          <w:p>
            <w:pPr>
              <w:jc w:val="center"/>
            </w:pPr>
            <w:r/>
            <w:r>
              <w:rPr>
                <w:b w:val="0"/>
                <w:sz w:val="22"/>
              </w:rPr>
              <w:t>[0.006, 0.044]</w:t>
            </w:r>
          </w:p>
        </w:tc>
      </w:tr>
      <w:tr>
        <w:tc>
          <w:tcPr>
            <w:tcW w:type="dxa" w:w="1370"/>
          </w:tcPr>
          <w:p>
            <w:pPr>
              <w:bidi w:val="1"/>
              <w:jc w:val="center"/>
            </w:pPr>
            <w:r/>
            <w:r>
              <w:rPr>
                <w:b w:val="0"/>
                <w:sz w:val="22"/>
              </w:rPr>
              <w:t>اثر مستقیم c′</w:t>
            </w:r>
          </w:p>
        </w:tc>
        <w:tc>
          <w:tcPr>
            <w:tcW w:type="dxa" w:w="1370"/>
          </w:tcPr>
          <w:p>
            <w:pPr>
              <w:jc w:val="center"/>
            </w:pPr>
            <w:r/>
            <w:r>
              <w:rPr>
                <w:b w:val="0"/>
                <w:sz w:val="22"/>
              </w:rPr>
              <w:t>0.077</w:t>
            </w:r>
          </w:p>
        </w:tc>
        <w:tc>
          <w:tcPr>
            <w:tcW w:type="dxa" w:w="1370"/>
          </w:tcPr>
          <w:p>
            <w:pPr>
              <w:jc w:val="center"/>
            </w:pPr>
            <w:r/>
            <w:r>
              <w:rPr>
                <w:b w:val="0"/>
                <w:sz w:val="22"/>
              </w:rPr>
              <w:t>0.037</w:t>
            </w:r>
          </w:p>
        </w:tc>
        <w:tc>
          <w:tcPr>
            <w:tcW w:type="dxa" w:w="1370"/>
          </w:tcPr>
          <w:p>
            <w:pPr>
              <w:jc w:val="center"/>
            </w:pPr>
            <w:r/>
            <w:r>
              <w:rPr>
                <w:b w:val="0"/>
                <w:sz w:val="22"/>
              </w:rPr>
              <w:t>2.07</w:t>
            </w:r>
          </w:p>
        </w:tc>
        <w:tc>
          <w:tcPr>
            <w:tcW w:type="dxa" w:w="1370"/>
          </w:tcPr>
          <w:p>
            <w:pPr>
              <w:jc w:val="center"/>
            </w:pPr>
            <w:r/>
            <w:r>
              <w:rPr>
                <w:b w:val="0"/>
                <w:sz w:val="22"/>
              </w:rPr>
              <w:t>p = 0.040</w:t>
            </w:r>
          </w:p>
        </w:tc>
        <w:tc>
          <w:tcPr>
            <w:tcW w:type="dxa" w:w="1370"/>
          </w:tcPr>
          <w:p>
            <w:pPr>
              <w:jc w:val="center"/>
            </w:pPr>
            <w:r/>
            <w:r>
              <w:rPr>
                <w:b w:val="0"/>
                <w:sz w:val="22"/>
              </w:rPr>
              <w:t>[0.004, 0.150]</w:t>
            </w:r>
          </w:p>
        </w:tc>
      </w:tr>
      <w:tr>
        <w:tc>
          <w:tcPr>
            <w:tcW w:type="dxa" w:w="1370"/>
          </w:tcPr>
          <w:p>
            <w:pPr>
              <w:bidi w:val="1"/>
              <w:jc w:val="center"/>
            </w:pPr>
            <w:r/>
            <w:r>
              <w:rPr>
                <w:b w:val="0"/>
                <w:sz w:val="22"/>
              </w:rPr>
              <w:t>اثر کل c</w:t>
            </w:r>
          </w:p>
        </w:tc>
        <w:tc>
          <w:tcPr>
            <w:tcW w:type="dxa" w:w="1370"/>
          </w:tcPr>
          <w:p>
            <w:pPr>
              <w:jc w:val="center"/>
            </w:pPr>
            <w:r/>
            <w:r>
              <w:rPr>
                <w:b w:val="0"/>
                <w:sz w:val="22"/>
              </w:rPr>
              <w:t>0.122</w:t>
            </w:r>
          </w:p>
        </w:tc>
        <w:tc>
          <w:tcPr>
            <w:tcW w:type="dxa" w:w="1370"/>
          </w:tcPr>
          <w:p>
            <w:pPr>
              <w:jc w:val="center"/>
            </w:pPr>
            <w:r/>
            <w:r>
              <w:rPr>
                <w:b w:val="0"/>
                <w:sz w:val="22"/>
              </w:rPr>
              <w:t>0.033</w:t>
            </w:r>
          </w:p>
        </w:tc>
        <w:tc>
          <w:tcPr>
            <w:tcW w:type="dxa" w:w="1370"/>
          </w:tcPr>
          <w:p>
            <w:pPr>
              <w:jc w:val="center"/>
            </w:pPr>
            <w:r/>
            <w:r>
              <w:rPr>
                <w:b w:val="0"/>
                <w:sz w:val="22"/>
              </w:rPr>
              <w:t>3.69</w:t>
            </w:r>
          </w:p>
        </w:tc>
        <w:tc>
          <w:tcPr>
            <w:tcW w:type="dxa" w:w="1370"/>
          </w:tcPr>
          <w:p>
            <w:pPr>
              <w:jc w:val="center"/>
            </w:pPr>
            <w:r/>
            <w:r>
              <w:rPr>
                <w:b w:val="0"/>
                <w:sz w:val="22"/>
              </w:rPr>
              <w:t>p &lt; 0.001</w:t>
            </w:r>
          </w:p>
        </w:tc>
        <w:tc>
          <w:tcPr>
            <w:tcW w:type="dxa" w:w="1370"/>
          </w:tcPr>
          <w:p>
            <w:pPr>
              <w:jc w:val="center"/>
            </w:pPr>
            <w:r/>
            <w:r>
              <w:rPr>
                <w:b w:val="0"/>
                <w:sz w:val="22"/>
              </w:rPr>
              <w:t>[0.057, 0.188]</w:t>
            </w:r>
          </w:p>
        </w:tc>
      </w:tr>
      <w:tr>
        <w:tc>
          <w:tcPr>
            <w:tcW w:type="dxa" w:w="1370"/>
          </w:tcPr>
          <w:p>
            <w:pPr>
              <w:bidi w:val="1"/>
              <w:jc w:val="center"/>
            </w:pPr>
            <w:r/>
            <w:r>
              <w:rPr>
                <w:b w:val="0"/>
                <w:sz w:val="22"/>
              </w:rPr>
              <w:t>اثر غیرمستقیم a×b</w:t>
            </w:r>
          </w:p>
        </w:tc>
        <w:tc>
          <w:tcPr>
            <w:tcW w:type="dxa" w:w="1370"/>
          </w:tcPr>
          <w:p>
            <w:pPr>
              <w:jc w:val="center"/>
            </w:pPr>
            <w:r/>
            <w:r>
              <w:rPr>
                <w:b w:val="0"/>
                <w:sz w:val="22"/>
              </w:rPr>
              <w:t>0.045</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[0.008, 0.090]</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B Nazanin" w:hAnsi="B Nazanin" w:cs="B Nazanin" w:hint="cs"/>
          <w:sz w:val="24"/>
          <w:szCs w:val="24"/>
          <w:rtl/>
          <w:lang w:bidi="fa-IR"/>
        </w:rPr>
        <w:t xml:space="preserve"> بازه‌های سطرهای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تحلیلی‌اند </w:t>
      </w:r>
      <w:r>
        <w:rPr>
          <w:rFonts w:ascii="Times New Roman" w:hAnsi="Times New Roman" w:cs="Times New Roman"/>
          <w:sz w:val="22"/>
          <w:szCs w:val="22"/>
          <w:lang w:val="en-US"/>
        </w:rPr>
        <w:t xml:space="preserve">(B ± t·SE)</w:t>
      </w:r>
      <w:r>
        <w:rPr>
          <w:rFonts w:ascii="B Nazanin" w:hAnsi="B Nazanin" w:cs="B Nazanin" w:hint="cs"/>
          <w:sz w:val="24"/>
          <w:szCs w:val="24"/>
          <w:rtl/>
          <w:lang w:bidi="fa-IR"/>
        </w:rPr>
        <w:t xml:space="preserve">؛ بازه اثر غیرمستقیم، صدکی بوت‌استرپ است.</w:t>
      </w:r>
    </w:p>
    <w:p>
      <w:pPr>
        <w:bidi w:val="1"/>
        <w:spacing w:lineRule="exact" w:line="580" w:after="0"/>
        <w:jc w:val="both"/>
      </w:pPr>
      <w:r>
        <w:rPr>
          <w:rFonts w:ascii="B Nazanin" w:hAnsi="B Nazanin" w:cs="B Nazanin" w:hint="cs"/>
          <w:sz w:val="24"/>
          <w:szCs w:val="24"/>
          <w:rtl/>
          <w:lang w:bidi="fa-IR"/>
        </w:rPr>
        <w:t xml:space="preserve">تفسیر</w:t>
      </w:r>
      <w:r>
        <w:rPr>
          <w:rFonts w:ascii="Times New Roman" w:hAnsi="Times New Roman" w:cs="Times New Roman"/>
          <w:sz w:val="22"/>
          <w:szCs w:val="22"/>
          <w:lang w:val="en-US"/>
        </w:rPr>
        <w:t xml:space="preserve"> H1: </w:t>
      </w:r>
      <w:r>
        <w:rPr>
          <w:rFonts w:ascii="B Nazanin" w:hAnsi="B Nazanin" w:cs="B Nazanin" w:hint="cs"/>
          <w:sz w:val="24"/>
          <w:szCs w:val="24"/>
          <w:rtl/>
          <w:lang w:bidi="fa-IR"/>
        </w:rPr>
        <w:t xml:space="preserve">میانجی‌گری از نوع جزئی تأیید می‌شود؛ اما چون کرانه پایینِ بازه اطمینان اثر غیرمستقیم (۰٫۰۰۸) به صفر نزدیک است، این تأیید باید محتاطانه خوانده شود: معناداری مسیر غیرمستقیم از نظر آماری برقرار است، ولی اندازه آن کوچک تا متوسط و حساس به بازنمونه‌گیری است و تکرار آن در نمونه مستقل ضرورت دارد.</w:t>
      </w:r>
    </w:p>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 پراسس،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jc w:val="center"/>
            </w:pPr>
            <w:r/>
            <w:r>
              <w:rPr>
                <w:b/>
                <w:sz w:val="22"/>
              </w:rPr>
              <w:t>χ²</w:t>
            </w:r>
          </w:p>
        </w:tc>
        <w:tc>
          <w:tcPr>
            <w:tcW w:type="dxa" w:w="1028"/>
            <w:tcBorders>
              <w:bottom w:val="single" w:sz="12" w:space="0" w:color="000000"/>
            </w:tcBorders>
          </w:tcPr>
          <w:p>
            <w:pPr>
              <w:jc w:val="center"/>
            </w:pPr>
            <w:r/>
            <w:r>
              <w:rPr>
                <w:b/>
                <w:sz w:val="22"/>
              </w:rPr>
              <w:t>df</w:t>
            </w:r>
          </w:p>
        </w:tc>
        <w:tc>
          <w:tcPr>
            <w:tcW w:type="dxa" w:w="1028"/>
            <w:tcBorders>
              <w:bottom w:val="single" w:sz="12" w:space="0" w:color="000000"/>
            </w:tcBorders>
          </w:tcPr>
          <w:p>
            <w:pPr>
              <w:jc w:val="center"/>
            </w:pPr>
            <w:r/>
            <w:r>
              <w:rPr>
                <w:b/>
                <w:sz w:val="22"/>
              </w:rPr>
              <w:t>χ²/df</w:t>
            </w:r>
          </w:p>
        </w:tc>
        <w:tc>
          <w:tcPr>
            <w:tcW w:type="dxa" w:w="1028"/>
            <w:tcBorders>
              <w:bottom w:val="single" w:sz="12" w:space="0" w:color="000000"/>
            </w:tcBorders>
          </w:tcPr>
          <w:p>
            <w:pPr>
              <w:jc w:val="center"/>
            </w:pPr>
            <w:r/>
            <w:r>
              <w:rPr>
                <w:b/>
                <w:sz w:val="22"/>
              </w:rPr>
              <w:t>CFI</w:t>
            </w:r>
          </w:p>
        </w:tc>
        <w:tc>
          <w:tcPr>
            <w:tcW w:type="dxa" w:w="1028"/>
            <w:tcBorders>
              <w:bottom w:val="single" w:sz="12" w:space="0" w:color="000000"/>
            </w:tcBorders>
          </w:tcPr>
          <w:p>
            <w:pPr>
              <w:jc w:val="center"/>
            </w:pPr>
            <w:r/>
            <w:r>
              <w:rPr>
                <w:b/>
                <w:sz w:val="22"/>
              </w:rPr>
              <w:t>TLI</w:t>
            </w:r>
          </w:p>
        </w:tc>
        <w:tc>
          <w:tcPr>
            <w:tcW w:type="dxa" w:w="1028"/>
            <w:tcBorders>
              <w:bottom w:val="single" w:sz="12" w:space="0" w:color="000000"/>
            </w:tcBorders>
          </w:tcPr>
          <w:p>
            <w:pPr>
              <w:jc w:val="center"/>
            </w:pPr>
            <w:r/>
            <w:r>
              <w:rPr>
                <w:b/>
                <w:sz w:val="22"/>
              </w:rPr>
              <w:t>RMSEA</w:t>
            </w:r>
          </w:p>
        </w:tc>
        <w:tc>
          <w:tcPr>
            <w:tcW w:type="dxa" w:w="1028"/>
            <w:tcBorders>
              <w:bottom w:val="single" w:sz="12" w:space="0" w:color="000000"/>
            </w:tcBorders>
          </w:tcPr>
          <w:p>
            <w:pPr>
              <w:jc w:val="center"/>
            </w:pPr>
            <w:r/>
            <w:r>
              <w:rPr>
                <w:b/>
                <w:sz w:val="22"/>
              </w:rPr>
              <w:t>SRMR</w:t>
            </w:r>
          </w:p>
        </w:tc>
      </w:tr>
      <w:tr>
        <w:tc>
          <w:tcPr>
            <w:tcW w:type="dxa" w:w="1028"/>
          </w:tcPr>
          <w:p>
            <w:pPr>
              <w:bidi w:val="1"/>
              <w:jc w:val="center"/>
            </w:pPr>
            <w:r/>
            <w:r>
              <w:rPr>
                <w:b w:val="0"/>
                <w:sz w:val="22"/>
              </w:rPr>
              <w:t>میانجی‌گری کامل</w:t>
            </w:r>
          </w:p>
        </w:tc>
        <w:tc>
          <w:tcPr>
            <w:tcW w:type="dxa" w:w="1028"/>
          </w:tcPr>
          <w:p>
            <w:pPr>
              <w:jc w:val="center"/>
            </w:pPr>
            <w:r/>
            <w:r>
              <w:rPr>
                <w:b w:val="0"/>
                <w:sz w:val="22"/>
              </w:rPr>
              <w:t>4.30</w:t>
            </w:r>
          </w:p>
        </w:tc>
        <w:tc>
          <w:tcPr>
            <w:tcW w:type="dxa" w:w="1028"/>
          </w:tcPr>
          <w:p>
            <w:pPr>
              <w:jc w:val="center"/>
            </w:pPr>
            <w:r/>
            <w:r>
              <w:rPr>
                <w:b w:val="0"/>
                <w:sz w:val="22"/>
              </w:rPr>
              <w:t>1</w:t>
            </w:r>
          </w:p>
        </w:tc>
        <w:tc>
          <w:tcPr>
            <w:tcW w:type="dxa" w:w="1028"/>
          </w:tcPr>
          <w:p>
            <w:pPr>
              <w:jc w:val="center"/>
            </w:pPr>
            <w:r/>
            <w:r>
              <w:rPr>
                <w:b w:val="0"/>
                <w:sz w:val="22"/>
              </w:rPr>
              <w:t>4.30</w:t>
            </w:r>
          </w:p>
        </w:tc>
        <w:tc>
          <w:tcPr>
            <w:tcW w:type="dxa" w:w="1028"/>
          </w:tcPr>
          <w:p>
            <w:pPr>
              <w:jc w:val="center"/>
            </w:pPr>
            <w:r/>
            <w:r>
              <w:rPr>
                <w:b w:val="0"/>
                <w:sz w:val="22"/>
              </w:rPr>
              <w:t>0.945</w:t>
            </w:r>
          </w:p>
        </w:tc>
        <w:tc>
          <w:tcPr>
            <w:tcW w:type="dxa" w:w="1028"/>
          </w:tcPr>
          <w:p>
            <w:pPr>
              <w:jc w:val="center"/>
            </w:pPr>
            <w:r/>
            <w:r>
              <w:rPr>
                <w:b w:val="0"/>
                <w:sz w:val="22"/>
              </w:rPr>
              <w:t>0.836</w:t>
            </w:r>
          </w:p>
        </w:tc>
        <w:tc>
          <w:tcPr>
            <w:tcW w:type="dxa" w:w="1028"/>
          </w:tcPr>
          <w:p>
            <w:pPr>
              <w:jc w:val="center"/>
            </w:pPr>
            <w:r/>
            <w:r>
              <w:rPr>
                <w:b w:val="0"/>
                <w:sz w:val="22"/>
              </w:rPr>
              <w:t>0.140</w:t>
            </w:r>
          </w:p>
        </w:tc>
        <w:tc>
          <w:tcPr>
            <w:tcW w:type="dxa" w:w="1028"/>
          </w:tcPr>
          <w:p>
            <w:pPr>
              <w:jc w:val="center"/>
            </w:pPr>
            <w:r/>
            <w:r>
              <w:rPr>
                <w:b w:val="0"/>
                <w:sz w:val="22"/>
              </w:rPr>
              <w:t>0.077</w:t>
            </w:r>
          </w:p>
        </w:tc>
      </w:tr>
      <w:tr>
        <w:tc>
          <w:tcPr>
            <w:tcW w:type="dxa" w:w="1028"/>
          </w:tcPr>
          <w:p>
            <w:pPr>
              <w:bidi w:val="1"/>
              <w:jc w:val="center"/>
            </w:pPr>
            <w:r/>
            <w:r>
              <w:rPr>
                <w:b w:val="0"/>
                <w:sz w:val="22"/>
              </w:rPr>
              <w:t>میانجی‌گری جزئی (اشباع)</w:t>
            </w:r>
          </w:p>
        </w:tc>
        <w:tc>
          <w:tcPr>
            <w:tcW w:type="dxa" w:w="1028"/>
          </w:tcPr>
          <w:p>
            <w:pPr>
              <w:jc w:val="center"/>
            </w:pPr>
            <w:r/>
            <w:r>
              <w:rPr>
                <w:b w:val="0"/>
                <w:sz w:val="22"/>
              </w:rPr>
              <w:t>0.00</w:t>
            </w:r>
          </w:p>
        </w:tc>
        <w:tc>
          <w:tcPr>
            <w:tcW w:type="dxa" w:w="1028"/>
          </w:tcPr>
          <w:p>
            <w:pPr>
              <w:jc w:val="center"/>
            </w:pPr>
            <w:r/>
            <w:r>
              <w:rPr>
                <w:b w:val="0"/>
                <w:sz w:val="22"/>
              </w:rPr>
              <w:t>0</w:t>
            </w:r>
          </w:p>
        </w:tc>
        <w:tc>
          <w:tcPr>
            <w:tcW w:type="dxa" w:w="1028"/>
          </w:tcPr>
          <w:p>
            <w:pPr>
              <w:jc w:val="center"/>
            </w:pPr>
            <w:r/>
            <w:r>
              <w:rPr>
                <w:b w:val="0"/>
                <w:sz w:val="22"/>
              </w:rPr>
              <w:t>—</w:t>
            </w:r>
          </w:p>
        </w:tc>
        <w:tc>
          <w:tcPr>
            <w:tcW w:type="dxa" w:w="1028"/>
          </w:tcPr>
          <w:p>
            <w:pPr>
              <w:jc w:val="center"/>
            </w:pPr>
            <w:r/>
            <w:r>
              <w:rPr>
                <w:b w:val="0"/>
                <w:sz w:val="22"/>
              </w:rPr>
              <w:t>1.000</w:t>
            </w:r>
          </w:p>
        </w:tc>
        <w:tc>
          <w:tcPr>
            <w:tcW w:type="dxa" w:w="1028"/>
          </w:tcPr>
          <w:p>
            <w:pPr>
              <w:jc w:val="center"/>
            </w:pPr>
            <w:r/>
            <w:r>
              <w:rPr>
                <w:b w:val="0"/>
                <w:sz w:val="22"/>
              </w:rPr>
              <w:t>1.000</w:t>
            </w:r>
          </w:p>
        </w:tc>
        <w:tc>
          <w:tcPr>
            <w:tcW w:type="dxa" w:w="1028"/>
          </w:tcPr>
          <w:p>
            <w:pPr>
              <w:jc w:val="center"/>
            </w:pPr>
            <w:r/>
            <w:r>
              <w:rPr>
                <w:b w:val="0"/>
                <w:sz w:val="22"/>
              </w:rPr>
              <w:t>0.000</w:t>
            </w:r>
          </w:p>
        </w:tc>
        <w:tc>
          <w:tcPr>
            <w:tcW w:type="dxa" w:w="1028"/>
          </w:tcPr>
          <w:p>
            <w:pPr>
              <w:jc w:val="center"/>
            </w:pPr>
            <w:r/>
            <w:r>
              <w:rPr>
                <w:b w:val="0"/>
                <w:sz w:val="22"/>
              </w:rPr>
              <w:t>0.000</w:t>
            </w:r>
          </w:p>
        </w:tc>
      </w:tr>
    </w:tbl>
    <w:p>
      <w:pPr>
        <w:bidi w:val="1"/>
        <w:spacing w:lineRule="exact" w:line="580" w:after="0"/>
        <w:jc w:val="both"/>
      </w:pPr>
      <w:r>
        <w:rPr>
          <w:rFonts w:ascii="B Nazanin" w:hAnsi="B Nazanin" w:cs="B Nazanin" w:hint="cs"/>
          <w:sz w:val="24"/>
          <w:szCs w:val="24"/>
          <w:rtl/>
          <w:lang w:bidi="fa-IR"/>
        </w:rPr>
        <w:t xml:space="preserve">بر اساس آستانه‌های متعارف، تنها</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0.945, SRMR = 0.077)</w:t>
      </w:r>
      <w:r>
        <w:rPr>
          <w:rFonts w:ascii="B Nazanin" w:hAnsi="B Nazanin" w:cs="B Nazanin" w:hint="cs"/>
          <w:sz w:val="24"/>
          <w:szCs w:val="24"/>
          <w:rtl/>
          <w:lang w:bidi="fa-IR"/>
        </w:rPr>
        <w:t xml:space="preserve">. در مقابل،</w:t>
      </w:r>
      <w:r>
        <w:rPr>
          <w:rFonts w:ascii="Times New Roman" w:hAnsi="Times New Roman" w:cs="Times New Roman"/>
          <w:sz w:val="22"/>
          <w:szCs w:val="22"/>
          <w:lang w:val="en-US"/>
        </w:rPr>
        <w:t xml:space="preserve"> TLI = 0.836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0.140 </w:t>
      </w:r>
      <w:r>
        <w:rPr>
          <w:rFonts w:ascii="B Nazanin" w:hAnsi="B Nazanin" w:cs="B Nazanin" w:hint="cs"/>
          <w:sz w:val="24"/>
          <w:szCs w:val="24"/>
          <w:rtl/>
          <w:lang w:bidi="fa-IR"/>
        </w:rPr>
        <w:t xml:space="preserve">از حد مطلوب فاصله دارند. بنابراین این مدل تأییدشده روش‌شناختی اعلام نمی‌شود: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 از این رو نتایج</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باید با احتیاط تفسیر شوند و تحلیل پراسس به‌عنوان تحلیل اصلی میانجی‌گری ملاک قرار می‌گیرد. هم‌جهتی معنادار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 جهت‌دار از الگو است نه اثبات برازش.</w:t>
      </w:r>
    </w:p>
    <w:p>
      <w:pPr>
        <w:bidi w:val="1"/>
        <w:spacing w:lineRule="exact" w:line="580" w:after="0"/>
        <w:jc w:val="both"/>
      </w:pPr>
      <w:r>
        <w:rPr>
          <w:rFonts w:ascii="B Nazanin" w:hAnsi="B Nazanin" w:cs="B Nazanin" w:hint="cs"/>
          <w:sz w:val="24"/>
          <w:szCs w:val="24"/>
          <w:rtl/>
          <w:lang w:bidi="fa-IR"/>
        </w:rPr>
        <w:t xml:space="preserve">پیشنهاد روش‌شناختی برای پژوهش‌های بعدی: چون الگوی آزموده‌شده بر نمره‌های کلِ مشاهده‌پذیر استوار است و خطای اندازه‌گیری در آن مدل‌سازی نشده، پیشنهاد می‌شود در پژوهش‌های بعدی مدل نهفت‌نگار با پارسل‌بندی گویه‌ها (به‌ویژه برای مقیاس ۷۵گویه‌ای طرحواره) در برابر همان الگوی سه‌متغیره و نیز مدل رقیب «اثر مستقیمِ صرف» آزمون شود؛ چنین مقایسه‌ای می‌تواند برآورد دقیق‌تری از برازش ساختار و سهم خطای اندازه‌گیری ارائه کند.</w:t>
      </w:r>
    </w:p>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jc w:val="center"/>
            </w:pPr>
            <w:r/>
            <w:r>
              <w:rPr>
                <w:b w:val="0"/>
                <w:sz w:val="22"/>
              </w:rPr>
              <w:t>r = 0.27</w:t>
            </w:r>
          </w:p>
        </w:tc>
        <w:tc>
          <w:tcPr>
            <w:tcW w:type="dxa" w:w="2055"/>
          </w:tcPr>
          <w:p>
            <w:pPr>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jc w:val="center"/>
            </w:pPr>
            <w:r/>
            <w:r>
              <w:rPr>
                <w:b w:val="0"/>
                <w:sz w:val="22"/>
              </w:rPr>
              <w:t>r = 0.48</w:t>
            </w:r>
          </w:p>
        </w:tc>
        <w:tc>
          <w:tcPr>
            <w:tcW w:type="dxa" w:w="2055"/>
          </w:tcPr>
          <w:p>
            <w:pPr>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jc w:val="center"/>
            </w:pPr>
            <w:r/>
            <w:r>
              <w:rPr>
                <w:b w:val="0"/>
                <w:sz w:val="22"/>
              </w:rPr>
              <w:t>r = 0.29</w:t>
            </w:r>
          </w:p>
        </w:tc>
        <w:tc>
          <w:tcPr>
            <w:tcW w:type="dxa" w:w="2055"/>
          </w:tcPr>
          <w:p>
            <w:pPr>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jc w:val="center"/>
            </w:pPr>
            <w:r/>
            <w:r>
              <w:rPr>
                <w:b w:val="0"/>
                <w:sz w:val="22"/>
              </w:rPr>
              <w:t>a×b = 0.045</w:t>
            </w:r>
          </w:p>
        </w:tc>
        <w:tc>
          <w:tcPr>
            <w:tcW w:type="dxa" w:w="2055"/>
          </w:tcPr>
          <w:p>
            <w:pPr>
              <w:jc w:val="center"/>
            </w:pPr>
            <w:r/>
            <w:r>
              <w:rPr>
                <w:b w:val="0"/>
                <w:sz w:val="22"/>
              </w:rPr>
              <w:t>CI [0.008, 0.090]</w:t>
            </w:r>
          </w:p>
        </w:tc>
      </w:tr>
    </w:tbl>
    <w:p>
      <w:pPr>
        <w:bidi w:val="1"/>
        <w:spacing w:lineRule="exact" w:line="580" w:after="0"/>
        <w:jc w:val="both"/>
      </w:pPr>
      <w:r>
        <w:rPr>
          <w:rFonts w:ascii="B Nazanin" w:hAnsi="B Nazanin" w:cs="B Nazanin" w:hint="cs"/>
          <w:sz w:val="24"/>
          <w:szCs w:val="24"/>
          <w:rtl/>
          <w:lang w:bidi="fa-IR"/>
        </w:rPr>
        <w:t xml:space="preserve">الگوی کلی یافته‌ها: اضطراب صفتی با طرحواره‌های ناسازگار رابطه دارد و بخشی از رابطه اضطراب با رفتارهای پرخطر مالی از مسیر طرحواره‌ها عبور می‌کند. مسیری مستقیم و مستقل نیز باقی می‌ماند که احتمالاً بازتاب هیجان‌های موقعیتی و سبک‌های شخصیِ ریسک‌پذیری است. سهم حدود ۳۷٪ مسیر غیرمستقیم، مداخله طرحواره‌محور را توجیه می‌کند. با این حال، عدم صفرشدن</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هشدار می‌دهد که صرفِ بازسازی شناختی کافی نیست؛ آموزش مدیریت اضطراب و سواد مالی نیز باید در برنامه باشد.</w:t>
      </w:r>
    </w:p>
    <w:p>
      <w:pPr>
        <w:bidi w:val="1"/>
        <w:spacing w:lineRule="exact" w:line="580" w:after="0"/>
        <w:jc w:val="both"/>
      </w:pPr>
      <w:r>
        <w:rPr>
          <w:rFonts w:ascii="B Nazanin" w:hAnsi="B Nazanin" w:cs="B Nazanin" w:hint="cs"/>
          <w:sz w:val="24"/>
          <w:szCs w:val="24"/>
          <w:rtl/>
          <w:lang w:bidi="fa-IR"/>
        </w:rPr>
        <w:t xml:space="preserve">سه محدودیت روش‌شناختی یادآوری می‌شود: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Straight-lining</w:t>
      </w:r>
    </w:p>
  </w:footnote>
  <w:footnote w:id="2">
    <w:p>
      <w:pPr>
        <w:bidi w:val="0"/>
      </w:pPr>
      <w:r>
        <w:rPr>
          <w:vertAlign w:val="superscript"/>
        </w:rPr>
        <w:footnoteRef/>
      </w:r>
      <w:r>
        <w:rPr>
          <w:rFonts w:ascii="Times New Roman" w:hAnsi="Times New Roman" w:cs="Times New Roman"/>
          <w:sz w:val="20"/>
          <w:szCs w:val="20"/>
        </w:rPr>
        <w:t xml:space="preserve"> Percentile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