
<file path=[Content_Types].xml><?xml version="1.0" encoding="utf-8"?>
<ns0:Types xmlns:ns0="http://schemas.openxmlformats.org/package/2006/content-types">
  <ns0:Default Extension="jpeg" ContentType="image/jpeg"/>
  <ns0:Default Extension="rels" ContentType="application/vnd.openxmlformats-package.relationships+xml"/>
  <ns0:Default Extension="xml" ContentType="application/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word/document.xml" ContentType="application/vnd.openxmlformats-officedocument.wordprocessingml.document.main+xml"/>
  <ns0:Override PartName="/word/fontTable.xml" ContentType="application/vnd.openxmlformats-officedocument.wordprocessingml.fontTable+xml"/>
  <ns0:Override PartName="/word/footnotes.xml" ContentType="application/vnd.openxmlformats-officedocument.wordprocessingml.footnotes+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stylesWithEffects.xml" ContentType="application/vnd.ms-word.stylesWithEffects+xml"/>
  <ns0:Override PartName="/word/theme/theme1.xml" ContentType="application/vnd.openxmlformats-officedocument.theme+xml"/>
  <ns0:Override PartName="/word/webSettings.xml" ContentType="application/vnd.openxmlformats-officedocument.wordprocessingml.webSettings+xml"/>
  <ns0:Override PartName="/word/footer1.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Default Extension="png" ContentType="image/png"/>
</ns0: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3="http://schemas.openxmlformats.org/drawingml/2006/wordprocessingDrawing" xmlns:ns4="http://schemas.openxmlformats.org/drawingml/2006/main" xmlns:ns5="http://schemas.openxmlformats.org/drawingml/2006/picture" xmlns:r="http://schemas.openxmlformats.org/officeDocument/2006/relationships" xmlns:w="http://schemas.openxmlformats.org/wordprocessingml/2006/main" ns1:Ignorable="w14 wp14">
  <w:body>
    <w:p/>
    <w:p/>
    <w:p/>
    <w:p/>
    <w:p>
      <w:pPr>
        <w:bidi/>
        <w:jc w:val="center"/>
        <w:spacing w:line="580" w:lineRule="exact"/>
      </w:pPr>
      <w:r>
        <w:rPr>
          <w:rFonts w:ascii="B Nazanin" w:hAnsi="B Nazanin" w:cs="B Nazanin"/>
          <w:sz w:val="28"/>
          <w:szCs w:val="28"/>
        </w:rPr>
        <w:t>بسم الله الرحمن الرحیم</w:t>
      </w:r>
    </w:p>
    <w:p>
      <w:r>
        <w:br w:type="page"/>
      </w:r>
    </w:p>
    <w:p/>
    <w:p/>
    <w:p>
      <w:pPr>
        <w:bidi/>
        <w:jc w:val="center"/>
        <w:spacing w:line="580" w:lineRule="exact"/>
      </w:pPr>
      <w:r>
        <w:rPr>
          <w:rFonts w:ascii="B Nazanin" w:hAnsi="B Nazanin" w:cs="B Nazanin"/>
          <w:b/>
          <w:bCs/>
          <w:sz w:val="20"/>
          <w:szCs w:val="20"/>
        </w:rPr>
        <w:t>دانشگاه علم و هنر یزد</w:t>
      </w:r>
    </w:p>
    <w:p/>
    <w:p/>
    <w:p>
      <w:pPr>
        <w:bidi/>
        <w:jc w:val="center"/>
        <w:spacing w:line="580" w:lineRule="exact"/>
      </w:pPr>
      <w:r>
        <w:rPr>
          <w:rFonts w:ascii="B Nazanin" w:hAnsi="B Nazanin" w:cs="B Nazanin"/>
          <w:b/>
          <w:bCs/>
          <w:sz w:val="48"/>
          <w:szCs w:val="48"/>
        </w:rPr>
        <w:t>تعیین نقش میانجی‌گر طرحواره‌های ناسازگار اولیه</w:t>
      </w:r>
    </w:p>
    <w:p>
      <w:pPr>
        <w:bidi/>
        <w:jc w:val="center"/>
        <w:spacing w:line="580" w:lineRule="exact"/>
      </w:pPr>
      <w:r>
        <w:rPr>
          <w:rFonts w:ascii="B Nazanin" w:hAnsi="B Nazanin" w:cs="B Nazanin"/>
          <w:b/>
          <w:bCs/>
          <w:sz w:val="48"/>
          <w:szCs w:val="48"/>
        </w:rPr>
        <w:t>در رابطه بین اضطراب صفتی و رفتارهای مالی پرخطر</w:t>
      </w:r>
    </w:p>
    <w:p>
      <w:pPr>
        <w:bidi/>
        <w:jc w:val="center"/>
        <w:spacing w:line="580" w:lineRule="exact"/>
      </w:pPr>
      <w:r>
        <w:rPr>
          <w:rFonts w:ascii="B Nazanin" w:hAnsi="B Nazanin" w:cs="B Nazanin"/>
          <w:b/>
          <w:bCs/>
          <w:sz w:val="48"/>
          <w:szCs w:val="48"/>
        </w:rPr>
        <w:t>در معامله‌گران بازارهای مالی</w:t>
      </w:r>
    </w:p>
    <w:p/>
    <w:p/>
    <w:p>
      <w:pPr>
        <w:bidi/>
        <w:jc w:val="center"/>
        <w:spacing w:line="580" w:lineRule="exact"/>
      </w:pPr>
      <w:r>
        <w:rPr>
          <w:rFonts w:ascii="B Nazanin" w:hAnsi="B Nazanin" w:cs="B Nazanin"/>
          <w:b/>
          <w:bCs/>
          <w:sz w:val="28"/>
          <w:szCs w:val="28"/>
        </w:rPr>
        <w:t>پایان‌نامه کارشناسی ارشد روان‌شناسی بالینی</w:t>
      </w:r>
    </w:p>
    <w:p/>
    <w:p/>
    <w:p/>
    <w:p>
      <w:pPr>
        <w:bidi/>
        <w:jc w:val="center"/>
        <w:spacing w:line="580" w:lineRule="exact"/>
      </w:pPr>
      <w:r>
        <w:rPr>
          <w:rFonts w:ascii="B Nazanin" w:hAnsi="B Nazanin" w:cs="B Nazanin"/>
          <w:sz w:val="28"/>
          <w:szCs w:val="28"/>
        </w:rPr>
        <w:t xml:space="preserve">استاد راهنما: </w:t>
      </w:r>
      <w:r>
        <w:rPr>
          <w:rFonts w:ascii="B Nazanin" w:hAnsi="B Nazanin" w:cs="B Nazanin"/>
          <w:b/>
          <w:bCs/>
          <w:sz w:val="28"/>
          <w:szCs w:val="28"/>
        </w:rPr>
        <w:t>دکتر سعید وزیری یزدی</w:t>
      </w:r>
    </w:p>
    <w:p>
      <w:pPr>
        <w:bidi/>
        <w:jc w:val="center"/>
        <w:spacing w:line="580" w:lineRule="exact"/>
      </w:pPr>
      <w:r>
        <w:rPr>
          <w:rFonts w:ascii="B Nazanin" w:hAnsi="B Nazanin" w:cs="B Nazanin"/>
          <w:sz w:val="28"/>
          <w:szCs w:val="28"/>
        </w:rPr>
        <w:t xml:space="preserve">نگارنده: </w:t>
      </w:r>
      <w:r>
        <w:rPr>
          <w:rFonts w:ascii="B Nazanin" w:hAnsi="B Nazanin" w:cs="B Nazanin"/>
          <w:b/>
          <w:bCs/>
          <w:sz w:val="28"/>
          <w:szCs w:val="28"/>
        </w:rPr>
        <w:t>مریم قابل</w:t>
      </w:r>
    </w:p>
    <w:p/>
    <w:p/>
    <w:p>
      <w:pPr>
        <w:bidi/>
        <w:jc w:val="center"/>
        <w:spacing w:line="580" w:lineRule="exact"/>
      </w:pPr>
      <w:r>
        <w:rPr>
          <w:rFonts w:ascii="B Nazanin" w:hAnsi="B Nazanin" w:cs="B Nazanin"/>
          <w:b/>
          <w:bCs/>
          <w:sz w:val="28"/>
          <w:szCs w:val="28"/>
        </w:rPr>
        <w:t>۱۴۰۵</w:t>
      </w:r>
    </w:p>
    <w:p>
      <w:r>
        <w:br w:type="page"/>
      </w:r>
    </w:p>
    <w:p>
      <w:pPr>
        <w:bidi/>
        <w:jc w:val="center"/>
        <w:spacing w:line="580" w:lineRule="exact"/>
      </w:pPr>
      <w:r>
        <w:rPr>
          <w:rFonts w:ascii="B Nazanin" w:hAnsi="B Nazanin" w:cs="B Nazanin"/>
          <w:b/>
          <w:bCs/>
          <w:sz w:val="28"/>
          <w:szCs w:val="28"/>
        </w:rPr>
        <w:t>تأییدیه هیئت داوران</w:t>
      </w:r>
    </w:p>
    <w:p/>
    <w:p>
      <w:pPr>
        <w:bidi/>
        <w:jc w:val="center"/>
        <w:spacing w:line="580" w:lineRule="exact"/>
      </w:pPr>
      <w:r>
        <w:rPr>
          <w:rFonts w:ascii="B Nazanin" w:hAnsi="B Nazanin" w:cs="B Nazanin"/>
          <w:sz w:val="24"/>
          <w:szCs w:val="24"/>
        </w:rPr>
        <w:t>[فرم تأییدیه و صورت‌جلسه دفاع پس از جلسه دفاع در این محل قرار می‌گیرد]</w:t>
      </w:r>
    </w:p>
    <w:p>
      <w:r>
        <w:br w:type="page"/>
      </w:r>
    </w:p>
    <w:p>
      <w:pPr>
        <w:bidi/>
        <w:jc w:val="center"/>
        <w:spacing w:line="580" w:lineRule="exact"/>
      </w:pPr>
      <w:r>
        <w:rPr>
          <w:rFonts w:ascii="B Nazanin" w:hAnsi="B Nazanin" w:cs="B Nazanin"/>
          <w:b/>
          <w:bCs/>
          <w:sz w:val="28"/>
          <w:szCs w:val="28"/>
        </w:rPr>
        <w:t>تعهدنامه اصالت اثر</w:t>
      </w:r>
    </w:p>
    <w:p/>
    <w:p>
      <w:pPr>
        <w:bidi/>
        <w:jc w:val="center"/>
        <w:spacing w:line="580" w:lineRule="exact"/>
      </w:pPr>
      <w:r>
        <w:rPr>
          <w:rFonts w:ascii="B Nazanin" w:hAnsi="B Nazanin" w:cs="B Nazanin"/>
          <w:sz w:val="24"/>
          <w:szCs w:val="24"/>
        </w:rPr>
        <w:t>[فرم تعهدنامه اصالت اثر پس از تکمیل در این محل قرار می‌گیرد]</w:t>
      </w:r>
    </w:p>
    <w:p>
      <w:r>
        <w:br w:type="page"/>
      </w:r>
    </w:p>
    <w:p>
      <w:pPr>
        <w:bidi/>
        <w:jc w:val="center"/>
        <w:spacing w:line="580" w:lineRule="exact"/>
      </w:pPr>
      <w:r>
        <w:rPr>
          <w:rFonts w:ascii="B Nazanin" w:hAnsi="B Nazanin" w:cs="B Nazanin"/>
          <w:b/>
          <w:bCs/>
          <w:sz w:val="28"/>
          <w:szCs w:val="28"/>
        </w:rPr>
        <w:t>تقدیم به:</w:t>
      </w:r>
    </w:p>
    <w:p/>
    <w:p>
      <w:pPr>
        <w:bidi/>
        <w:jc w:val="center"/>
        <w:spacing w:line="580" w:lineRule="exact"/>
      </w:pPr>
      <w:r>
        <w:rPr>
          <w:rFonts w:ascii="B Nazanin" w:hAnsi="B Nazanin" w:cs="B Nazanin"/>
          <w:sz w:val="28"/>
          <w:szCs w:val="28"/>
        </w:rPr>
        <w:t>این پژوهش را به خانواده‌ام تقدیم می‌کنم که با حمایت، صبوری و دلگرمی خود، مسیر تحصیل و پژوهش را برایم هموار ساختند.</w:t>
      </w:r>
    </w:p>
    <w:p>
      <w:r>
        <w:br w:type="page"/>
      </w:r>
    </w:p>
    <w:p>
      <w:pPr>
        <w:bidi/>
        <w:jc w:val="center"/>
        <w:spacing w:line="580" w:lineRule="exact"/>
      </w:pPr>
      <w:r>
        <w:rPr>
          <w:rFonts w:ascii="B Nazanin" w:hAnsi="B Nazanin" w:cs="B Nazanin"/>
          <w:b/>
          <w:bCs/>
          <w:sz w:val="28"/>
          <w:szCs w:val="28"/>
        </w:rPr>
        <w:t>سپاسگزاری</w:t>
      </w:r>
    </w:p>
    <w:p/>
    <w:p>
      <w:pPr>
        <w:bidi/>
        <w:jc w:val="both"/>
        <w:spacing w:line="580" w:lineRule="exact"/>
      </w:pPr>
      <w:r>
        <w:rPr>
          <w:rFonts w:ascii="B Nazanin" w:hAnsi="B Nazanin" w:cs="B Nazanin"/>
          <w:sz w:val="28"/>
          <w:szCs w:val="28"/>
        </w:rPr>
        <w:t>در آغاز، از استاد گران‌قدر راهنمای این پژوهش، جناب آقای دکتر سعید وزیری یزدی، که با راهنمایی‌ها و حمایت‌های ارزشمند خود در تمام مراحل انجام این پژوهش یاری‌ام کردند، صمیمانه سپاسگزارم. همچنین از تمامی استادان، همکاران و شرکت‌کنندگانی که امکان انجام این پژوهش را فراهم ساختند، قدردانی می‌کنم.</w:t>
      </w:r>
    </w:p>
    <w:p>
      <w:r>
        <w:br w:type="page"/>
      </w:r>
    </w:p>
    <w:p>
      <w:pPr>
        <w:bidi/>
        <w:jc w:val="center"/>
        <w:spacing w:line="580" w:lineRule="exact"/>
      </w:pPr>
      <w:r>
        <w:rPr>
          <w:rFonts w:ascii="B Nazanin" w:hAnsi="B Nazanin" w:cs="B Nazanin"/>
          <w:b/>
          <w:bCs/>
          <w:sz w:val="28"/>
          <w:szCs w:val="28"/>
        </w:rPr>
        <w:t>چکیده:</w:t>
      </w:r>
    </w:p>
    <w:p/>
    <w:p>
      <w:pPr>
        <w:bidi/>
        <w:jc w:val="both"/>
        <w:spacing w:line="580" w:lineRule="exact"/>
      </w:pPr>
      <w:r>
        <w:rPr>
          <w:rFonts w:ascii="B Nazanin" w:hAnsi="B Nazanin" w:cs="B Nazanin"/>
          <w:sz w:val="24"/>
          <w:szCs w:val="24"/>
        </w:rPr>
        <w:t>پژوهش حاضر با هدف تعیین نقش میانجی‌گر طرحواره‌های ناسازگار اولیه در رابطه بین اضطراب صفتی و رفتارهای مالی پرخطر در معامله‌گران بازارهای مالی طراحی شد. این پژوهش از نظر هدف کاربردی و از نظر روش توصیفی-همبستگی از نوع مدل‌سازی معادلات ساختاری است. جامعهٔ آماری پژوهش را کلیهٔ معامله‌گران حقیقی فارسی‌زبان بالای ۱۸ سال با حداقل شش ماه سابقهٔ معامله تشکیل می‌دهند و نمونه‌گیری به روش غیرتصادفی در دسترس به همراه روش گلوله‌برفی انجام می‌شود؛ حجم نمونهٔ هدف بر اساس قواعد تجربی مدل‌یابی معادلات ساختاری ۲۰۰ نفر در نظر گرفته شد. ابزارهای پژوهش شامل فرم اضطراب صفتی پرسشنامهٔ حالت-صفت اسپیلبرگر (۲۰ گویه)، پرسشنامهٔ طرحواره‌های ناسازگار اولیهٔ یانگ ــ فرم کوتاه (۷۵ گویه) و مقیاس تحمل ریسک مالی گرابل و لایتون (۱۳ سؤال) است. برای تحلیل داده‌ها از آمار توصیفی، ضریب همبستگی پیرسون، مدل‌سازی معادلات ساختاری با شاخص‌های برازش و تحلیل میانجی‌گری با ماکروی PROCESS استفاده خواهد شد. یافته‌های تجربی نهایی پس از تحلیل داده‌های واقعی در نسخه نهایی پایان‌نامه گزارش خواهد شد.</w:t>
      </w:r>
    </w:p>
    <w:p>
      <w:pPr>
        <w:bidi/>
        <w:jc w:val="both"/>
        <w:spacing w:line="580" w:lineRule="exact"/>
      </w:pPr>
      <w:r>
        <w:rPr>
          <w:rFonts w:ascii="B Nazanin" w:hAnsi="B Nazanin" w:cs="B Nazanin"/>
          <w:b/>
          <w:bCs/>
          <w:sz w:val="24"/>
          <w:szCs w:val="24"/>
        </w:rPr>
        <w:t xml:space="preserve">کلمات کلیدی: </w:t>
      </w:r>
      <w:r>
        <w:rPr>
          <w:rFonts w:ascii="B Nazanin" w:hAnsi="B Nazanin" w:cs="B Nazanin"/>
          <w:sz w:val="24"/>
          <w:szCs w:val="24"/>
        </w:rPr>
        <w:t>اضطراب صفتی، طرحواره‌های ناسازگار اولیه، رفتارهای مالی پرخطر، معامله‌گران بازارهای مالی، مدل‌سازی معادلات ساختاری</w:t>
      </w:r>
    </w:p>
    <w:p>
      <w:r>
        <w:br w:type="page"/>
      </w:r>
    </w:p>
    <w:p>
      <w:pPr>
        <w:sectPr>
          <w:footerReference w:type="default" r:id="rId20"/>
          <w:footnotePr>
            <w:numFmt w:val="hindi"/>
            <w:numRestart w:val="eachPage"/>
          </w:footnotePr>
          <w:pgSz w:w="11906" w:h="16838"/>
          <w:pgMar w:top="1701" w:right="2268" w:bottom="1417" w:left="1417" w:header="720" w:footer="567" w:gutter="0"/>
          <w:cols w:space="720"/>
          <w:bidi/>
          <w:docGrid w:linePitch="360"/>
        </w:sectPr>
      </w:pPr>
    </w:p>
    <w:p>
      <w:pPr>
        <w:bidi/>
        <w:jc w:val="center"/>
        <w:spacing w:line="580" w:lineRule="exact"/>
      </w:pPr>
      <w:r>
        <w:rPr>
          <w:rFonts w:ascii="B Nazanin" w:hAnsi="B Nazanin" w:cs="B Nazanin"/>
          <w:b/>
          <w:bCs/>
          <w:sz w:val="28"/>
          <w:szCs w:val="28"/>
        </w:rPr>
        <w:t>فهرست مطالب</w:t>
      </w:r>
    </w:p>
    <w:p>
      <w:pPr>
        <w:bidi/>
      </w:pPr>
      <w:r>
        <w:rPr>
          <w:rFonts w:ascii="B Nazanin" w:hAnsi="B Nazanin"/>
        </w:rPr>
        <w:fldChar w:fldCharType="begin"/>
      </w:r>
      <w:r>
        <w:rPr>
          <w:rFonts w:ascii="B Nazanin" w:hAnsi="B Nazanin"/>
        </w:rPr>
        <w:instrText>TOC \o "1-3" \h \z \u</w:instrText>
      </w:r>
      <w:r>
        <w:rPr>
          <w:rFonts w:ascii="B Nazanin" w:hAnsi="B Nazanin"/>
        </w:rPr>
        <w:fldChar w:fldCharType="separate"/>
      </w:r>
    </w:p>
    <w:p>
      <w:pPr>
        <w:pStyle w:val="TOC1"/>
        <w:bidi/>
        <w:jc w:val="right"/>
        <w:spacing w:line="580" w:lineRule="exact"/>
      </w:pPr>
      <w:r>
        <w:rPr>
          <w:rFonts w:ascii="B Nazanin" w:hAnsi="B Nazanin" w:cs="B Nazanin"/>
          <w:b/>
          <w:bCs/>
          <w:sz w:val="24"/>
          <w:szCs w:val="24"/>
          <w:rtl/>
        </w:rPr>
        <w:t>فصل اول</w:t>
      </w:r>
    </w:p>
    <w:p>
      <w:pPr>
        <w:pStyle w:val="TOC2"/>
        <w:bidi/>
        <w:jc w:val="right"/>
        <w:spacing w:line="580" w:lineRule="exact"/>
      </w:pPr>
      <w:r>
        <w:rPr>
          <w:rFonts w:ascii="B Nazanin" w:hAnsi="B Nazanin" w:cs="B Nazanin"/>
          <w:sz w:val="24"/>
          <w:szCs w:val="24"/>
          <w:rtl/>
        </w:rPr>
        <w:t>۱-۱. مقدمه</w:t>
      </w:r>
    </w:p>
    <w:p>
      <w:pPr>
        <w:pStyle w:val="TOC2"/>
        <w:bidi/>
        <w:jc w:val="right"/>
        <w:spacing w:line="580" w:lineRule="exact"/>
      </w:pPr>
      <w:r>
        <w:rPr>
          <w:rFonts w:ascii="B Nazanin" w:hAnsi="B Nazanin" w:cs="B Nazanin"/>
          <w:sz w:val="24"/>
          <w:szCs w:val="24"/>
          <w:rtl/>
        </w:rPr>
        <w:t>۱-۲. بیان مسأله</w:t>
      </w:r>
    </w:p>
    <w:p>
      <w:pPr>
        <w:pStyle w:val="TOC3"/>
        <w:bidi/>
        <w:jc w:val="right"/>
        <w:spacing w:line="580" w:lineRule="exact"/>
      </w:pPr>
      <w:r>
        <w:rPr>
          <w:rFonts w:ascii="B Nazanin" w:hAnsi="B Nazanin" w:cs="B Nazanin"/>
          <w:sz w:val="24"/>
          <w:szCs w:val="24"/>
          <w:rtl/>
        </w:rPr>
        <w:t>بازارهای مالی و محیط پرتنش تصمیم‌گیری</w:t>
      </w:r>
    </w:p>
    <w:p>
      <w:pPr>
        <w:pStyle w:val="TOC3"/>
        <w:bidi/>
        <w:jc w:val="right"/>
        <w:spacing w:line="580" w:lineRule="exact"/>
      </w:pPr>
      <w:r>
        <w:rPr>
          <w:rFonts w:ascii="B Nazanin" w:hAnsi="B Nazanin" w:cs="B Nazanin"/>
          <w:sz w:val="24"/>
          <w:szCs w:val="24"/>
          <w:rtl/>
        </w:rPr>
        <w:t>از فرضیه بازار کارا تا اقتصاد رفتاری</w:t>
      </w:r>
    </w:p>
    <w:p>
      <w:pPr>
        <w:pStyle w:val="TOC3"/>
        <w:bidi/>
        <w:jc w:val="right"/>
        <w:spacing w:line="580" w:lineRule="exact"/>
      </w:pPr>
      <w:r>
        <w:rPr>
          <w:rFonts w:ascii="B Nazanin" w:hAnsi="B Nazanin" w:cs="B Nazanin"/>
          <w:sz w:val="24"/>
          <w:szCs w:val="24"/>
          <w:rtl/>
        </w:rPr>
        <w:t>بافت ویژه اقتصادی و اجتماعی ایران</w:t>
      </w:r>
    </w:p>
    <w:p>
      <w:pPr>
        <w:pStyle w:val="TOC3"/>
        <w:bidi/>
        <w:jc w:val="right"/>
        <w:spacing w:line="580" w:lineRule="exact"/>
      </w:pPr>
      <w:r>
        <w:rPr>
          <w:rFonts w:ascii="B Nazanin" w:hAnsi="B Nazanin" w:cs="B Nazanin"/>
          <w:sz w:val="24"/>
          <w:szCs w:val="24"/>
          <w:rtl/>
        </w:rPr>
        <w:t>اضطراب صفتی، طرحواره‌های ناسازگار اولیه و رفتارهای مالی پرخطر</w:t>
      </w:r>
    </w:p>
    <w:p>
      <w:pPr>
        <w:pStyle w:val="TOC3"/>
        <w:bidi/>
        <w:jc w:val="right"/>
        <w:spacing w:line="580" w:lineRule="exact"/>
      </w:pPr>
      <w:r>
        <w:rPr>
          <w:rFonts w:ascii="B Nazanin" w:hAnsi="B Nazanin" w:cs="B Nazanin"/>
          <w:sz w:val="24"/>
          <w:szCs w:val="24"/>
          <w:rtl/>
        </w:rPr>
        <w:t>شکاف تبیینی: فقدان مدل میانجی‌گر در جامعه معامله‌گران</w:t>
      </w:r>
    </w:p>
    <w:p>
      <w:pPr>
        <w:pStyle w:val="TOC2"/>
        <w:bidi/>
        <w:jc w:val="right"/>
        <w:spacing w:line="580" w:lineRule="exact"/>
      </w:pPr>
      <w:r>
        <w:rPr>
          <w:rFonts w:ascii="B Nazanin" w:hAnsi="B Nazanin" w:cs="B Nazanin"/>
          <w:sz w:val="24"/>
          <w:szCs w:val="24"/>
          <w:rtl/>
        </w:rPr>
        <w:t>۱-۳. اهمیت و ضرورت پژوهش</w:t>
      </w:r>
    </w:p>
    <w:p>
      <w:pPr>
        <w:pStyle w:val="TOC3"/>
        <w:bidi/>
        <w:jc w:val="right"/>
        <w:spacing w:line="580" w:lineRule="exact"/>
      </w:pPr>
      <w:r>
        <w:rPr>
          <w:rFonts w:ascii="B Nazanin" w:hAnsi="B Nazanin" w:cs="B Nazanin"/>
          <w:sz w:val="24"/>
          <w:szCs w:val="24"/>
          <w:rtl/>
        </w:rPr>
        <w:t>اهمیت نظری</w:t>
      </w:r>
    </w:p>
    <w:p>
      <w:pPr>
        <w:pStyle w:val="TOC3"/>
        <w:bidi/>
        <w:jc w:val="right"/>
        <w:spacing w:line="580" w:lineRule="exact"/>
      </w:pPr>
      <w:r>
        <w:rPr>
          <w:rFonts w:ascii="B Nazanin" w:hAnsi="B Nazanin" w:cs="B Nazanin"/>
          <w:sz w:val="24"/>
          <w:szCs w:val="24"/>
          <w:rtl/>
        </w:rPr>
        <w:t>اهمیت کاربردی (در سطح معامله‌گران و نهادهای مالی)</w:t>
      </w:r>
    </w:p>
    <w:p>
      <w:pPr>
        <w:pStyle w:val="TOC3"/>
        <w:bidi/>
        <w:jc w:val="right"/>
        <w:spacing w:line="580" w:lineRule="exact"/>
      </w:pPr>
      <w:r>
        <w:rPr>
          <w:rFonts w:ascii="B Nazanin" w:hAnsi="B Nazanin" w:cs="B Nazanin"/>
          <w:sz w:val="24"/>
          <w:szCs w:val="24"/>
          <w:rtl/>
        </w:rPr>
        <w:t>اهمیت اجتماعی (در سطح سرمایه‌گذاران خرد و خانواده‌ها)</w:t>
      </w:r>
    </w:p>
    <w:p>
      <w:pPr>
        <w:pStyle w:val="TOC3"/>
        <w:bidi/>
        <w:jc w:val="right"/>
        <w:spacing w:line="580" w:lineRule="exact"/>
      </w:pPr>
      <w:r>
        <w:rPr>
          <w:rFonts w:ascii="B Nazanin" w:hAnsi="B Nazanin" w:cs="B Nazanin"/>
          <w:sz w:val="24"/>
          <w:szCs w:val="24"/>
          <w:rtl/>
        </w:rPr>
        <w:t>ضرورت زمینه‌ای (بافت بازارهای مالی ایران)</w:t>
      </w:r>
    </w:p>
    <w:p>
      <w:pPr>
        <w:pStyle w:val="TOC3"/>
        <w:bidi/>
        <w:jc w:val="right"/>
        <w:spacing w:line="580" w:lineRule="exact"/>
      </w:pPr>
      <w:r>
        <w:rPr>
          <w:rFonts w:ascii="B Nazanin" w:hAnsi="B Nazanin" w:cs="B Nazanin"/>
          <w:sz w:val="24"/>
          <w:szCs w:val="24"/>
          <w:rtl/>
        </w:rPr>
        <w:t>جمع‌بندی اهمیت و ضرورت پژوهش (پر کردن شکاف تبیینی)</w:t>
      </w:r>
    </w:p>
    <w:p>
      <w:pPr>
        <w:pStyle w:val="TOC2"/>
        <w:bidi/>
        <w:jc w:val="right"/>
        <w:spacing w:line="580" w:lineRule="exact"/>
      </w:pPr>
      <w:r>
        <w:rPr>
          <w:rFonts w:ascii="B Nazanin" w:hAnsi="B Nazanin" w:cs="B Nazanin"/>
          <w:sz w:val="24"/>
          <w:szCs w:val="24"/>
          <w:rtl/>
        </w:rPr>
        <w:t>۱-۴. اهداف پژوهش</w:t>
      </w:r>
    </w:p>
    <w:p>
      <w:pPr>
        <w:pStyle w:val="TOC3"/>
        <w:bidi/>
        <w:jc w:val="right"/>
        <w:spacing w:line="580" w:lineRule="exact"/>
      </w:pPr>
      <w:r>
        <w:rPr>
          <w:rFonts w:ascii="B Nazanin" w:hAnsi="B Nazanin" w:cs="B Nazanin"/>
          <w:sz w:val="24"/>
          <w:szCs w:val="24"/>
          <w:rtl/>
        </w:rPr>
        <w:t>۱-۴-۱. هدف اصلی</w:t>
      </w:r>
    </w:p>
    <w:p>
      <w:pPr>
        <w:pStyle w:val="TOC3"/>
        <w:bidi/>
        <w:jc w:val="right"/>
        <w:spacing w:line="580" w:lineRule="exact"/>
      </w:pPr>
      <w:r>
        <w:rPr>
          <w:rFonts w:ascii="B Nazanin" w:hAnsi="B Nazanin" w:cs="B Nazanin"/>
          <w:sz w:val="24"/>
          <w:szCs w:val="24"/>
          <w:rtl/>
        </w:rPr>
        <w:t>۱-۴-۲. اهداف فرعی</w:t>
      </w:r>
    </w:p>
    <w:p>
      <w:pPr>
        <w:pStyle w:val="TOC2"/>
        <w:bidi/>
        <w:jc w:val="right"/>
        <w:spacing w:line="580" w:lineRule="exact"/>
      </w:pPr>
      <w:r>
        <w:rPr>
          <w:rFonts w:ascii="B Nazanin" w:hAnsi="B Nazanin" w:cs="B Nazanin"/>
          <w:sz w:val="24"/>
          <w:szCs w:val="24"/>
          <w:rtl/>
        </w:rPr>
        <w:t>۱-۵. فرضیه‌های پژوهش</w:t>
      </w:r>
    </w:p>
    <w:p>
      <w:pPr>
        <w:pStyle w:val="TOC2"/>
        <w:bidi/>
        <w:jc w:val="right"/>
        <w:spacing w:line="580" w:lineRule="exact"/>
      </w:pPr>
      <w:r>
        <w:rPr>
          <w:rFonts w:ascii="B Nazanin" w:hAnsi="B Nazanin" w:cs="B Nazanin"/>
          <w:sz w:val="24"/>
          <w:szCs w:val="24"/>
          <w:rtl/>
        </w:rPr>
        <w:t>۱-۶. تعاریف مفهومی و عملیاتی متغیرهای پژوهش</w:t>
      </w:r>
    </w:p>
    <w:p>
      <w:pPr>
        <w:pStyle w:val="TOC3"/>
        <w:bidi/>
        <w:jc w:val="right"/>
        <w:spacing w:line="580" w:lineRule="exact"/>
      </w:pPr>
      <w:r>
        <w:rPr>
          <w:rFonts w:ascii="B Nazanin" w:hAnsi="B Nazanin" w:cs="B Nazanin"/>
          <w:sz w:val="24"/>
          <w:szCs w:val="24"/>
          <w:rtl/>
        </w:rPr>
        <w:t>۱-۶-۱. اضطراب صفتی</w:t>
      </w:r>
    </w:p>
    <w:p>
      <w:pPr>
        <w:pStyle w:val="TOC3"/>
        <w:bidi/>
        <w:jc w:val="right"/>
        <w:spacing w:line="580" w:lineRule="exact"/>
      </w:pPr>
      <w:r>
        <w:rPr>
          <w:rFonts w:ascii="B Nazanin" w:hAnsi="B Nazanin" w:cs="B Nazanin"/>
          <w:sz w:val="24"/>
          <w:szCs w:val="24"/>
          <w:rtl/>
        </w:rPr>
        <w:t>۱-۶-۲. طرحواره‌های ناسازگار اولیه</w:t>
      </w:r>
    </w:p>
    <w:p>
      <w:pPr>
        <w:pStyle w:val="TOC3"/>
        <w:bidi/>
        <w:jc w:val="right"/>
        <w:spacing w:line="580" w:lineRule="exact"/>
      </w:pPr>
      <w:r>
        <w:rPr>
          <w:rFonts w:ascii="B Nazanin" w:hAnsi="B Nazanin" w:cs="B Nazanin"/>
          <w:sz w:val="24"/>
          <w:szCs w:val="24"/>
          <w:rtl/>
        </w:rPr>
        <w:t>۱-۶-۳. رفتارهای مالی پرخطر</w:t>
      </w:r>
    </w:p>
    <w:p>
      <w:pPr>
        <w:pStyle w:val="TOC2"/>
        <w:bidi/>
        <w:jc w:val="right"/>
        <w:spacing w:line="580" w:lineRule="exact"/>
      </w:pPr>
      <w:r>
        <w:rPr>
          <w:rFonts w:ascii="B Nazanin" w:hAnsi="B Nazanin" w:cs="B Nazanin"/>
          <w:sz w:val="24"/>
          <w:szCs w:val="24"/>
          <w:rtl/>
        </w:rPr>
        <w:t>۱-۷. سازمان‌بندی رساله</w:t>
      </w:r>
    </w:p>
    <w:p>
      <w:pPr>
        <w:pStyle w:val="TOC1"/>
        <w:bidi/>
        <w:jc w:val="right"/>
        <w:spacing w:line="580" w:lineRule="exact"/>
      </w:pPr>
      <w:r>
        <w:rPr>
          <w:rFonts w:ascii="B Nazanin" w:hAnsi="B Nazanin" w:cs="B Nazanin"/>
          <w:b/>
          <w:bCs/>
          <w:sz w:val="24"/>
          <w:szCs w:val="24"/>
          <w:rtl/>
        </w:rPr>
        <w:t>فصل دوم</w:t>
      </w:r>
    </w:p>
    <w:p>
      <w:pPr>
        <w:pStyle w:val="TOC2"/>
        <w:bidi/>
        <w:jc w:val="right"/>
        <w:spacing w:line="580" w:lineRule="exact"/>
      </w:pPr>
      <w:r>
        <w:rPr>
          <w:rFonts w:ascii="B Nazanin" w:hAnsi="B Nazanin" w:cs="B Nazanin"/>
          <w:sz w:val="24"/>
          <w:szCs w:val="24"/>
          <w:rtl/>
        </w:rPr>
        <w:t>۲-۱. مقدمه</w:t>
      </w:r>
    </w:p>
    <w:p>
      <w:pPr>
        <w:pStyle w:val="TOC2"/>
        <w:bidi/>
        <w:jc w:val="right"/>
        <w:spacing w:line="580" w:lineRule="exact"/>
      </w:pPr>
      <w:r>
        <w:rPr>
          <w:rFonts w:ascii="B Nazanin" w:hAnsi="B Nazanin" w:cs="B Nazanin"/>
          <w:sz w:val="24"/>
          <w:szCs w:val="24"/>
          <w:rtl/>
        </w:rPr>
        <w:t>۲-۲. مبانی نظری</w:t>
      </w:r>
    </w:p>
    <w:p>
      <w:pPr>
        <w:pStyle w:val="TOC3"/>
        <w:bidi/>
        <w:jc w:val="right"/>
        <w:spacing w:line="580" w:lineRule="exact"/>
      </w:pPr>
      <w:r>
        <w:rPr>
          <w:rFonts w:ascii="B Nazanin" w:hAnsi="B Nazanin" w:cs="B Nazanin"/>
          <w:sz w:val="24"/>
          <w:szCs w:val="24"/>
          <w:rtl/>
        </w:rPr>
        <w:t>۲-۲-۱. اضطراب صفتی</w:t>
      </w:r>
    </w:p>
    <w:p>
      <w:pPr>
        <w:pStyle w:val="TOC3"/>
        <w:bidi/>
        <w:jc w:val="right"/>
        <w:spacing w:line="580" w:lineRule="exact"/>
      </w:pPr>
      <w:r>
        <w:rPr>
          <w:rFonts w:ascii="B Nazanin" w:hAnsi="B Nazanin" w:cs="B Nazanin"/>
          <w:sz w:val="24"/>
          <w:szCs w:val="24"/>
          <w:rtl/>
        </w:rPr>
        <w:t>۲-۲-۱-۱. تمایزهای مفهومی کلیدی</w:t>
      </w:r>
    </w:p>
    <w:p>
      <w:pPr>
        <w:pStyle w:val="TOC3"/>
        <w:bidi/>
        <w:jc w:val="right"/>
        <w:spacing w:line="580" w:lineRule="exact"/>
      </w:pPr>
      <w:r>
        <w:rPr>
          <w:rFonts w:ascii="B Nazanin" w:hAnsi="B Nazanin" w:cs="B Nazanin"/>
          <w:sz w:val="24"/>
          <w:szCs w:val="24"/>
          <w:rtl/>
        </w:rPr>
        <w:t>۲-۲-۱-۲. مبانی زیست‌شناختی و عصب‌شناختی اضطراب</w:t>
      </w:r>
    </w:p>
    <w:p>
      <w:pPr>
        <w:pStyle w:val="TOC3"/>
        <w:bidi/>
        <w:jc w:val="right"/>
        <w:spacing w:line="580" w:lineRule="exact"/>
      </w:pPr>
      <w:r>
        <w:rPr>
          <w:rFonts w:ascii="B Nazanin" w:hAnsi="B Nazanin" w:cs="B Nazanin"/>
          <w:sz w:val="24"/>
          <w:szCs w:val="24"/>
          <w:rtl/>
        </w:rPr>
        <w:t>۲-۲-۱-۳. دیدگاه‌های روان‌شناختی درباره اضطراب</w:t>
      </w:r>
    </w:p>
    <w:p>
      <w:pPr>
        <w:pStyle w:val="TOC3"/>
        <w:bidi/>
        <w:jc w:val="right"/>
        <w:spacing w:line="580" w:lineRule="exact"/>
      </w:pPr>
      <w:r>
        <w:rPr>
          <w:rFonts w:ascii="B Nazanin" w:hAnsi="B Nazanin" w:cs="B Nazanin"/>
          <w:sz w:val="24"/>
          <w:szCs w:val="24"/>
          <w:rtl/>
        </w:rPr>
        <w:t>۲-۲-۱-۴. جمع‌بندی: جایگاه اضطراب صفتی در تصمیم‌گیری مالی</w:t>
      </w:r>
    </w:p>
    <w:p>
      <w:pPr>
        <w:pStyle w:val="TOC3"/>
        <w:bidi/>
        <w:jc w:val="right"/>
        <w:spacing w:line="580" w:lineRule="exact"/>
      </w:pPr>
      <w:r>
        <w:rPr>
          <w:rFonts w:ascii="B Nazanin" w:hAnsi="B Nazanin" w:cs="B Nazanin"/>
          <w:sz w:val="24"/>
          <w:szCs w:val="24"/>
          <w:rtl/>
        </w:rPr>
        <w:t>۲-۲-۲. طرحواره‌های ناسازگار اولیه</w:t>
      </w:r>
    </w:p>
    <w:p>
      <w:pPr>
        <w:pStyle w:val="TOC3"/>
        <w:bidi/>
        <w:jc w:val="right"/>
        <w:spacing w:line="580" w:lineRule="exact"/>
      </w:pPr>
      <w:r>
        <w:rPr>
          <w:rFonts w:ascii="B Nazanin" w:hAnsi="B Nazanin" w:cs="B Nazanin"/>
          <w:sz w:val="24"/>
          <w:szCs w:val="24"/>
          <w:rtl/>
        </w:rPr>
        <w:t>۲-۲-۲-۱. حوزه‌ها و طرحواره‌های ناسازگار اولیه و سبک‌های مقابله‌ای</w:t>
      </w:r>
    </w:p>
    <w:p>
      <w:pPr>
        <w:pStyle w:val="TOC3"/>
        <w:bidi/>
        <w:jc w:val="right"/>
        <w:spacing w:line="580" w:lineRule="exact"/>
      </w:pPr>
      <w:r>
        <w:rPr>
          <w:rFonts w:ascii="B Nazanin" w:hAnsi="B Nazanin" w:cs="B Nazanin"/>
          <w:sz w:val="24"/>
          <w:szCs w:val="24"/>
          <w:rtl/>
        </w:rPr>
        <w:t>۲-۲-۳. رفتارهای مالی پرخطر</w:t>
      </w:r>
    </w:p>
    <w:p>
      <w:pPr>
        <w:pStyle w:val="TOC3"/>
        <w:bidi/>
        <w:jc w:val="right"/>
        <w:spacing w:line="580" w:lineRule="exact"/>
      </w:pPr>
      <w:r>
        <w:rPr>
          <w:rFonts w:ascii="B Nazanin" w:hAnsi="B Nazanin" w:cs="B Nazanin"/>
          <w:sz w:val="24"/>
          <w:szCs w:val="24"/>
          <w:rtl/>
        </w:rPr>
        <w:t>۲-۲-۳-۱. تحمل ریسک مالی</w:t>
      </w:r>
    </w:p>
    <w:p>
      <w:pPr>
        <w:pStyle w:val="TOC3"/>
        <w:bidi/>
        <w:jc w:val="right"/>
        <w:spacing w:line="580" w:lineRule="exact"/>
      </w:pPr>
      <w:r>
        <w:rPr>
          <w:rFonts w:ascii="B Nazanin" w:hAnsi="B Nazanin" w:cs="B Nazanin"/>
          <w:sz w:val="24"/>
          <w:szCs w:val="24"/>
          <w:rtl/>
        </w:rPr>
        <w:t>۲-۲-۴. روابط بین متغیرها و مدل نظری میانجی‌گری</w:t>
      </w:r>
    </w:p>
    <w:p>
      <w:pPr>
        <w:pStyle w:val="TOC3"/>
        <w:bidi/>
        <w:jc w:val="right"/>
        <w:spacing w:line="580" w:lineRule="exact"/>
      </w:pPr>
      <w:r>
        <w:rPr>
          <w:rFonts w:ascii="B Nazanin" w:hAnsi="B Nazanin" w:cs="B Nazanin"/>
          <w:sz w:val="24"/>
          <w:szCs w:val="24"/>
          <w:rtl/>
        </w:rPr>
        <w:t>۲-۲-۴-۱. سازوکار نظری مدل میانجی‌گری</w:t>
      </w:r>
    </w:p>
    <w:p>
      <w:pPr>
        <w:pStyle w:val="TOC2"/>
        <w:bidi/>
        <w:jc w:val="right"/>
        <w:spacing w:line="580" w:lineRule="exact"/>
      </w:pPr>
      <w:r>
        <w:rPr>
          <w:rFonts w:ascii="B Nazanin" w:hAnsi="B Nazanin" w:cs="B Nazanin"/>
          <w:sz w:val="24"/>
          <w:szCs w:val="24"/>
          <w:rtl/>
        </w:rPr>
        <w:t>۲-۳. پیشینه پژوهشی</w:t>
      </w:r>
    </w:p>
    <w:p>
      <w:pPr>
        <w:pStyle w:val="TOC3"/>
        <w:bidi/>
        <w:jc w:val="right"/>
        <w:spacing w:line="580" w:lineRule="exact"/>
      </w:pPr>
      <w:r>
        <w:rPr>
          <w:rFonts w:ascii="B Nazanin" w:hAnsi="B Nazanin" w:cs="B Nazanin"/>
          <w:sz w:val="24"/>
          <w:szCs w:val="24"/>
          <w:rtl/>
        </w:rPr>
        <w:t>۲-۳-۱. پیشینه داخلی</w:t>
      </w:r>
    </w:p>
    <w:p>
      <w:pPr>
        <w:pStyle w:val="TOC3"/>
        <w:bidi/>
        <w:jc w:val="right"/>
        <w:spacing w:line="580" w:lineRule="exact"/>
      </w:pPr>
      <w:r>
        <w:rPr>
          <w:rFonts w:ascii="B Nazanin" w:hAnsi="B Nazanin" w:cs="B Nazanin"/>
          <w:sz w:val="24"/>
          <w:szCs w:val="24"/>
          <w:rtl/>
        </w:rPr>
        <w:t>۲-۳-۲. پیشینه خارجی</w:t>
      </w:r>
    </w:p>
    <w:p>
      <w:pPr>
        <w:pStyle w:val="TOC3"/>
        <w:bidi/>
        <w:jc w:val="right"/>
        <w:spacing w:line="580" w:lineRule="exact"/>
      </w:pPr>
      <w:r>
        <w:rPr>
          <w:rFonts w:ascii="B Nazanin" w:hAnsi="B Nazanin" w:cs="B Nazanin"/>
          <w:sz w:val="24"/>
          <w:szCs w:val="24"/>
          <w:rtl/>
        </w:rPr>
        <w:t>۲-۳-۳. جمع‌بندی پیشینه و شکاف پژوهشی</w:t>
      </w:r>
    </w:p>
    <w:p>
      <w:pPr>
        <w:pStyle w:val="TOC2"/>
        <w:bidi/>
        <w:jc w:val="right"/>
        <w:spacing w:line="580" w:lineRule="exact"/>
      </w:pPr>
      <w:r>
        <w:rPr>
          <w:rFonts w:ascii="B Nazanin" w:hAnsi="B Nazanin" w:cs="B Nazanin"/>
          <w:sz w:val="24"/>
          <w:szCs w:val="24"/>
          <w:rtl/>
        </w:rPr>
        <w:t>۲-۴. مدل مفهومی و چارچوب نهایی پژوهش</w:t>
      </w:r>
    </w:p>
    <w:p>
      <w:pPr>
        <w:pStyle w:val="TOC1"/>
        <w:bidi/>
        <w:jc w:val="right"/>
        <w:spacing w:line="580" w:lineRule="exact"/>
      </w:pPr>
      <w:r>
        <w:rPr>
          <w:rFonts w:ascii="B Nazanin" w:hAnsi="B Nazanin" w:cs="B Nazanin"/>
          <w:b/>
          <w:bCs/>
          <w:sz w:val="24"/>
          <w:szCs w:val="24"/>
          <w:rtl/>
        </w:rPr>
        <w:t>فصل سوم</w:t>
      </w:r>
    </w:p>
    <w:p>
      <w:pPr>
        <w:pStyle w:val="TOC2"/>
        <w:bidi/>
        <w:jc w:val="right"/>
        <w:spacing w:line="580" w:lineRule="exact"/>
      </w:pPr>
      <w:r>
        <w:rPr>
          <w:rFonts w:ascii="B Nazanin" w:hAnsi="B Nazanin" w:cs="B Nazanin"/>
          <w:sz w:val="24"/>
          <w:szCs w:val="24"/>
          <w:rtl/>
        </w:rPr>
        <w:t>۳-۱. مقدمه</w:t>
      </w:r>
    </w:p>
    <w:p>
      <w:pPr>
        <w:pStyle w:val="TOC2"/>
        <w:bidi/>
        <w:jc w:val="right"/>
        <w:spacing w:line="580" w:lineRule="exact"/>
      </w:pPr>
      <w:r>
        <w:rPr>
          <w:rFonts w:ascii="B Nazanin" w:hAnsi="B Nazanin" w:cs="B Nazanin"/>
          <w:sz w:val="24"/>
          <w:szCs w:val="24"/>
          <w:rtl/>
        </w:rPr>
        <w:t>۳-۲. طرح پژوهش</w:t>
      </w:r>
    </w:p>
    <w:p>
      <w:pPr>
        <w:pStyle w:val="TOC2"/>
        <w:bidi/>
        <w:jc w:val="right"/>
        <w:spacing w:line="580" w:lineRule="exact"/>
      </w:pPr>
      <w:r>
        <w:rPr>
          <w:rFonts w:ascii="B Nazanin" w:hAnsi="B Nazanin" w:cs="B Nazanin"/>
          <w:sz w:val="24"/>
          <w:szCs w:val="24"/>
          <w:rtl/>
        </w:rPr>
        <w:t>۳-۳. جامعه آماری، نمونه و روش نمونه‌گیری</w:t>
      </w:r>
    </w:p>
    <w:p>
      <w:pPr>
        <w:pStyle w:val="TOC3"/>
        <w:bidi/>
        <w:jc w:val="right"/>
        <w:spacing w:line="580" w:lineRule="exact"/>
      </w:pPr>
      <w:r>
        <w:rPr>
          <w:rFonts w:ascii="B Nazanin" w:hAnsi="B Nazanin" w:cs="B Nazanin"/>
          <w:sz w:val="24"/>
          <w:szCs w:val="24"/>
          <w:rtl/>
        </w:rPr>
        <w:t>۳-۳-۱. جامعه آماری</w:t>
      </w:r>
    </w:p>
    <w:p>
      <w:pPr>
        <w:pStyle w:val="TOC3"/>
        <w:bidi/>
        <w:jc w:val="right"/>
        <w:spacing w:line="580" w:lineRule="exact"/>
      </w:pPr>
      <w:r>
        <w:rPr>
          <w:rFonts w:ascii="B Nazanin" w:hAnsi="B Nazanin" w:cs="B Nazanin"/>
          <w:sz w:val="24"/>
          <w:szCs w:val="24"/>
          <w:rtl/>
        </w:rPr>
        <w:t>۳-۳-۲. روش نمونه‌گیری و گردآوری داده‌ها</w:t>
      </w:r>
    </w:p>
    <w:p>
      <w:pPr>
        <w:pStyle w:val="TOC3"/>
        <w:bidi/>
        <w:jc w:val="right"/>
        <w:spacing w:line="580" w:lineRule="exact"/>
      </w:pPr>
      <w:r>
        <w:rPr>
          <w:rFonts w:ascii="B Nazanin" w:hAnsi="B Nazanin" w:cs="B Nazanin"/>
          <w:sz w:val="24"/>
          <w:szCs w:val="24"/>
          <w:rtl/>
        </w:rPr>
        <w:t>۳-۳-۳. حجم نمونه</w:t>
      </w:r>
    </w:p>
    <w:p>
      <w:pPr>
        <w:pStyle w:val="TOC3"/>
        <w:bidi/>
        <w:jc w:val="right"/>
        <w:spacing w:line="580" w:lineRule="exact"/>
      </w:pPr>
      <w:r>
        <w:rPr>
          <w:rFonts w:ascii="B Nazanin" w:hAnsi="B Nazanin" w:cs="B Nazanin"/>
          <w:sz w:val="24"/>
          <w:szCs w:val="24"/>
          <w:rtl/>
        </w:rPr>
        <w:t>۳-۳-۴. ملاک‌های ورود و خروج</w:t>
      </w:r>
    </w:p>
    <w:p>
      <w:pPr>
        <w:pStyle w:val="TOC2"/>
        <w:bidi/>
        <w:jc w:val="right"/>
        <w:spacing w:line="580" w:lineRule="exact"/>
      </w:pPr>
      <w:r>
        <w:rPr>
          <w:rFonts w:ascii="B Nazanin" w:hAnsi="B Nazanin" w:cs="B Nazanin"/>
          <w:sz w:val="24"/>
          <w:szCs w:val="24"/>
          <w:rtl/>
        </w:rPr>
        <w:t>۳-۴. ابزارهای اندازه‌گیری</w:t>
      </w:r>
    </w:p>
    <w:p>
      <w:pPr>
        <w:pStyle w:val="TOC3"/>
        <w:bidi/>
        <w:jc w:val="right"/>
        <w:spacing w:line="580" w:lineRule="exact"/>
      </w:pPr>
      <w:r>
        <w:rPr>
          <w:rFonts w:ascii="B Nazanin" w:hAnsi="B Nazanin" w:cs="B Nazanin"/>
          <w:sz w:val="24"/>
          <w:szCs w:val="24"/>
          <w:rtl/>
        </w:rPr>
        <w:t>۳-۴-۱. پرسشنامه اضطراب حالت-صفت اسپیلبرگر — فرم صفتی</w:t>
      </w:r>
    </w:p>
    <w:p>
      <w:pPr>
        <w:pStyle w:val="TOC3"/>
        <w:bidi/>
        <w:jc w:val="right"/>
        <w:spacing w:line="580" w:lineRule="exact"/>
      </w:pPr>
      <w:r>
        <w:rPr>
          <w:rFonts w:ascii="B Nazanin" w:hAnsi="B Nazanin" w:cs="B Nazanin"/>
          <w:sz w:val="24"/>
          <w:szCs w:val="24"/>
          <w:rtl/>
        </w:rPr>
        <w:t>۳-۴-۲. پرسشنامه طرحواره‌های ناسازگار اولیه یانگ — فرم کوتاه</w:t>
      </w:r>
    </w:p>
    <w:p>
      <w:pPr>
        <w:pStyle w:val="TOC3"/>
        <w:bidi/>
        <w:jc w:val="right"/>
        <w:spacing w:line="580" w:lineRule="exact"/>
      </w:pPr>
      <w:r>
        <w:rPr>
          <w:rFonts w:ascii="B Nazanin" w:hAnsi="B Nazanin" w:cs="B Nazanin"/>
          <w:sz w:val="24"/>
          <w:szCs w:val="24"/>
          <w:rtl/>
        </w:rPr>
        <w:t>۳-۴-۳. مقیاس تحمل ریسک مالی گرابل و لایتون</w:t>
      </w:r>
    </w:p>
    <w:p>
      <w:pPr>
        <w:pStyle w:val="TOC2"/>
        <w:bidi/>
        <w:jc w:val="right"/>
        <w:spacing w:line="580" w:lineRule="exact"/>
      </w:pPr>
      <w:r>
        <w:rPr>
          <w:rFonts w:ascii="B Nazanin" w:hAnsi="B Nazanin" w:cs="B Nazanin"/>
          <w:sz w:val="24"/>
          <w:szCs w:val="24"/>
          <w:rtl/>
        </w:rPr>
        <w:t>۳-۵. روش اجرای پژوهش</w:t>
      </w:r>
    </w:p>
    <w:p>
      <w:pPr>
        <w:pStyle w:val="TOC2"/>
        <w:bidi/>
        <w:jc w:val="right"/>
        <w:spacing w:line="580" w:lineRule="exact"/>
      </w:pPr>
      <w:r>
        <w:rPr>
          <w:rFonts w:ascii="B Nazanin" w:hAnsi="B Nazanin" w:cs="B Nazanin"/>
          <w:sz w:val="24"/>
          <w:szCs w:val="24"/>
          <w:rtl/>
        </w:rPr>
        <w:t>۳-۶. روش تحلیل داده‌ها</w:t>
      </w:r>
    </w:p>
    <w:p>
      <w:pPr>
        <w:pStyle w:val="TOC2"/>
        <w:bidi/>
        <w:jc w:val="right"/>
        <w:spacing w:line="580" w:lineRule="exact"/>
      </w:pPr>
      <w:r>
        <w:rPr>
          <w:rFonts w:ascii="B Nazanin" w:hAnsi="B Nazanin" w:cs="B Nazanin"/>
          <w:sz w:val="24"/>
          <w:szCs w:val="24"/>
          <w:rtl/>
        </w:rPr>
        <w:t>۳-۷. ملاحظات اخلاقی</w:t>
      </w:r>
    </w:p>
    <w:p>
      <w:pPr>
        <w:pStyle w:val="TOC1"/>
        <w:bidi/>
        <w:jc w:val="right"/>
        <w:spacing w:line="580" w:lineRule="exact"/>
      </w:pPr>
      <w:r>
        <w:rPr>
          <w:rFonts w:ascii="B Nazanin" w:hAnsi="B Nazanin" w:cs="B Nazanin"/>
          <w:b/>
          <w:bCs/>
          <w:sz w:val="24"/>
          <w:szCs w:val="24"/>
          <w:rtl/>
        </w:rPr>
        <w:t>فصل چهارم: یافته‌های پژوهش</w:t>
      </w:r>
    </w:p>
    <w:p>
      <w:pPr>
        <w:pStyle w:val="TOC2"/>
        <w:bidi/>
        <w:jc w:val="right"/>
        <w:spacing w:line="580" w:lineRule="exact"/>
      </w:pPr>
      <w:r>
        <w:rPr>
          <w:rFonts w:ascii="B Nazanin" w:hAnsi="B Nazanin" w:cs="B Nazanin"/>
          <w:sz w:val="24"/>
          <w:szCs w:val="24"/>
          <w:rtl/>
        </w:rPr>
        <w:t>۴-۱. مقدمه</w:t>
      </w:r>
    </w:p>
    <w:p>
      <w:pPr>
        <w:pStyle w:val="TOC2"/>
        <w:bidi/>
        <w:jc w:val="right"/>
        <w:spacing w:line="580" w:lineRule="exact"/>
      </w:pPr>
      <w:r>
        <w:rPr>
          <w:rFonts w:ascii="B Nazanin" w:hAnsi="B Nazanin" w:cs="B Nazanin"/>
          <w:sz w:val="24"/>
          <w:szCs w:val="24"/>
          <w:rtl/>
        </w:rPr>
        <w:t>۴-۲. آماده‌سازی و غربالگری داده‌ها</w:t>
      </w:r>
    </w:p>
    <w:p>
      <w:pPr>
        <w:pStyle w:val="TOC2"/>
        <w:bidi/>
        <w:jc w:val="right"/>
        <w:spacing w:line="580" w:lineRule="exact"/>
      </w:pPr>
      <w:r>
        <w:rPr>
          <w:rFonts w:ascii="B Nazanin" w:hAnsi="B Nazanin" w:cs="B Nazanin"/>
          <w:sz w:val="24"/>
          <w:szCs w:val="24"/>
          <w:rtl/>
        </w:rPr>
        <w:t>۴-۳. ویژگی‌های جمعیت‌شناختی و معاملاتی نمونه</w:t>
      </w:r>
    </w:p>
    <w:p>
      <w:pPr>
        <w:pStyle w:val="TOC2"/>
        <w:bidi/>
        <w:jc w:val="right"/>
        <w:spacing w:line="580" w:lineRule="exact"/>
      </w:pPr>
      <w:r>
        <w:rPr>
          <w:rFonts w:ascii="B Nazanin" w:hAnsi="B Nazanin" w:cs="B Nazanin"/>
          <w:sz w:val="24"/>
          <w:szCs w:val="24"/>
          <w:rtl/>
        </w:rPr>
        <w:t>۴-۴. شاخص‌های توصیفی متغیرهای اصلی پژوهش</w:t>
      </w:r>
    </w:p>
    <w:p>
      <w:pPr>
        <w:pStyle w:val="TOC2"/>
        <w:bidi/>
        <w:jc w:val="right"/>
        <w:spacing w:line="580" w:lineRule="exact"/>
      </w:pPr>
      <w:r>
        <w:rPr>
          <w:rFonts w:ascii="B Nazanin" w:hAnsi="B Nazanin" w:cs="B Nazanin"/>
          <w:sz w:val="24"/>
          <w:szCs w:val="24"/>
          <w:rtl/>
        </w:rPr>
        <w:t>۴-۵. پایایی ابزارهای اندازه‌گیری</w:t>
      </w:r>
    </w:p>
    <w:p>
      <w:pPr>
        <w:pStyle w:val="TOC2"/>
        <w:bidi/>
        <w:jc w:val="right"/>
        <w:spacing w:line="580" w:lineRule="exact"/>
      </w:pPr>
      <w:r>
        <w:rPr>
          <w:rFonts w:ascii="B Nazanin" w:hAnsi="B Nazanin" w:cs="B Nazanin"/>
          <w:sz w:val="24"/>
          <w:szCs w:val="24"/>
          <w:rtl/>
        </w:rPr>
        <w:t>۴-۶. ارزیابی پیش‌فرض‌های آماری</w:t>
      </w:r>
    </w:p>
    <w:p>
      <w:pPr>
        <w:pStyle w:val="TOC2"/>
        <w:bidi/>
        <w:jc w:val="right"/>
        <w:spacing w:line="580" w:lineRule="exact"/>
      </w:pPr>
      <w:r>
        <w:rPr>
          <w:rFonts w:ascii="B Nazanin" w:hAnsi="B Nazanin" w:cs="B Nazanin"/>
          <w:sz w:val="24"/>
          <w:szCs w:val="24"/>
          <w:rtl/>
        </w:rPr>
        <w:t>۴-۷. همبستگی پیرسون و آزمون فرضیه‌های فرعی</w:t>
      </w:r>
    </w:p>
    <w:p>
      <w:pPr>
        <w:pStyle w:val="TOC2"/>
        <w:bidi/>
        <w:jc w:val="right"/>
        <w:spacing w:line="580" w:lineRule="exact"/>
      </w:pPr>
      <w:r>
        <w:rPr>
          <w:rFonts w:ascii="B Nazanin" w:hAnsi="B Nazanin" w:cs="B Nazanin"/>
          <w:sz w:val="24"/>
          <w:szCs w:val="24"/>
          <w:rtl/>
        </w:rPr>
        <w:t>۴-۸. آزمون فرضیه اصلی: تحلیل میانجی‌گری</w:t>
      </w:r>
    </w:p>
    <w:p>
      <w:pPr>
        <w:pStyle w:val="TOC2"/>
        <w:bidi/>
        <w:jc w:val="right"/>
        <w:spacing w:line="580" w:lineRule="exact"/>
      </w:pPr>
      <w:r>
        <w:rPr>
          <w:rFonts w:ascii="B Nazanin" w:hAnsi="B Nazanin" w:cs="B Nazanin"/>
          <w:sz w:val="24"/>
          <w:szCs w:val="24"/>
          <w:rtl/>
        </w:rPr>
        <w:t>۴-۹. تحلیل مسیر با متغیرهای مشاهده‌شده</w:t>
      </w:r>
    </w:p>
    <w:p>
      <w:pPr>
        <w:pStyle w:val="TOC2"/>
        <w:bidi/>
        <w:jc w:val="right"/>
        <w:spacing w:line="580" w:lineRule="exact"/>
      </w:pPr>
      <w:r>
        <w:rPr>
          <w:rFonts w:ascii="B Nazanin" w:hAnsi="B Nazanin" w:cs="B Nazanin"/>
          <w:sz w:val="24"/>
          <w:szCs w:val="24"/>
          <w:rtl/>
        </w:rPr>
        <w:t>۴-۱۰. جمع‌بندی یافته‌ها</w:t>
      </w:r>
    </w:p>
    <w:p>
      <w:pPr>
        <w:pStyle w:val="TOC1"/>
        <w:bidi/>
        <w:jc w:val="right"/>
        <w:spacing w:line="580" w:lineRule="exact"/>
      </w:pPr>
      <w:r>
        <w:rPr>
          <w:rFonts w:ascii="B Nazanin" w:hAnsi="B Nazanin" w:cs="B Nazanin"/>
          <w:b/>
          <w:bCs/>
          <w:sz w:val="24"/>
          <w:szCs w:val="24"/>
          <w:rtl/>
        </w:rPr>
        <w:t>فصل پنجم: بحث و نتیجه‌گیری</w:t>
      </w:r>
    </w:p>
    <w:p>
      <w:pPr>
        <w:pStyle w:val="TOC2"/>
        <w:bidi/>
        <w:jc w:val="right"/>
        <w:spacing w:line="580" w:lineRule="exact"/>
      </w:pPr>
      <w:r>
        <w:rPr>
          <w:rFonts w:ascii="B Nazanin" w:hAnsi="B Nazanin" w:cs="B Nazanin"/>
          <w:sz w:val="24"/>
          <w:szCs w:val="24"/>
          <w:rtl/>
        </w:rPr>
        <w:t>۵-۱. مقدمه</w:t>
      </w:r>
    </w:p>
    <w:p>
      <w:pPr>
        <w:pStyle w:val="TOC2"/>
        <w:bidi/>
        <w:jc w:val="right"/>
        <w:spacing w:line="580" w:lineRule="exact"/>
      </w:pPr>
      <w:r>
        <w:rPr>
          <w:rFonts w:ascii="B Nazanin" w:hAnsi="B Nazanin" w:cs="B Nazanin"/>
          <w:sz w:val="24"/>
          <w:szCs w:val="24"/>
          <w:rtl/>
        </w:rPr>
        <w:t>۵-۲. خلاصه یافته‌ها</w:t>
      </w:r>
    </w:p>
    <w:p>
      <w:pPr>
        <w:pStyle w:val="TOC2"/>
        <w:bidi/>
        <w:jc w:val="right"/>
        <w:spacing w:line="580" w:lineRule="exact"/>
      </w:pPr>
      <w:r>
        <w:rPr>
          <w:rFonts w:ascii="B Nazanin" w:hAnsi="B Nazanin" w:cs="B Nazanin"/>
          <w:sz w:val="24"/>
          <w:szCs w:val="24"/>
          <w:rtl/>
        </w:rPr>
        <w:t>۵-۳. بحث درباره یافته‌ها</w:t>
      </w:r>
    </w:p>
    <w:p>
      <w:pPr>
        <w:pStyle w:val="TOC3"/>
        <w:bidi/>
        <w:jc w:val="right"/>
        <w:spacing w:line="580" w:lineRule="exact"/>
      </w:pPr>
      <w:r>
        <w:rPr>
          <w:rFonts w:ascii="B Nazanin" w:hAnsi="B Nazanin" w:cs="B Nazanin"/>
          <w:sz w:val="24"/>
          <w:szCs w:val="24"/>
          <w:rtl/>
        </w:rPr>
        <w:t>۵-۳-۱. فرضیه اصلی: میانجی‌گری جزئی طرحواره‌های ناسازگار اولیه</w:t>
      </w:r>
    </w:p>
    <w:p>
      <w:pPr>
        <w:pStyle w:val="TOC3"/>
        <w:bidi/>
        <w:jc w:val="right"/>
        <w:spacing w:line="580" w:lineRule="exact"/>
      </w:pPr>
      <w:r>
        <w:rPr>
          <w:rFonts w:ascii="B Nazanin" w:hAnsi="B Nazanin" w:cs="B Nazanin"/>
          <w:sz w:val="24"/>
          <w:szCs w:val="24"/>
          <w:rtl/>
        </w:rPr>
        <w:t>۵-۳-۲. فرضیه دوم: رابطه اضطراب صفتی با رفتارهای مالی پرخطر</w:t>
      </w:r>
    </w:p>
    <w:p>
      <w:pPr>
        <w:pStyle w:val="TOC3"/>
        <w:bidi/>
        <w:jc w:val="right"/>
        <w:spacing w:line="580" w:lineRule="exact"/>
      </w:pPr>
      <w:r>
        <w:rPr>
          <w:rFonts w:ascii="B Nazanin" w:hAnsi="B Nazanin" w:cs="B Nazanin"/>
          <w:sz w:val="24"/>
          <w:szCs w:val="24"/>
          <w:rtl/>
        </w:rPr>
        <w:t>۵-۳-۳. فرضیه سوم: رابطه اضطراب صفتی با طرحواره‌های ناسازگار اولیه</w:t>
      </w:r>
    </w:p>
    <w:p>
      <w:pPr>
        <w:pStyle w:val="TOC3"/>
        <w:bidi/>
        <w:jc w:val="right"/>
        <w:spacing w:line="580" w:lineRule="exact"/>
      </w:pPr>
      <w:r>
        <w:rPr>
          <w:rFonts w:ascii="B Nazanin" w:hAnsi="B Nazanin" w:cs="B Nazanin"/>
          <w:sz w:val="24"/>
          <w:szCs w:val="24"/>
          <w:rtl/>
        </w:rPr>
        <w:t>۵-۳-۴. فرضیه چهارم: رابطه طرحواره‌های ناسازگار اولیه با رفتارهای مالی پرخطر</w:t>
      </w:r>
    </w:p>
    <w:p>
      <w:pPr>
        <w:pStyle w:val="TOC3"/>
        <w:bidi/>
        <w:jc w:val="right"/>
        <w:spacing w:line="580" w:lineRule="exact"/>
      </w:pPr>
      <w:r>
        <w:rPr>
          <w:rFonts w:ascii="B Nazanin" w:hAnsi="B Nazanin" w:cs="B Nazanin"/>
          <w:sz w:val="24"/>
          <w:szCs w:val="24"/>
          <w:rtl/>
        </w:rPr>
        <w:t>۵-۳-۵. جمع‌بندی نظری بحث</w:t>
      </w:r>
    </w:p>
    <w:p>
      <w:pPr>
        <w:pStyle w:val="TOC2"/>
        <w:bidi/>
        <w:jc w:val="right"/>
        <w:spacing w:line="580" w:lineRule="exact"/>
      </w:pPr>
      <w:r>
        <w:rPr>
          <w:rFonts w:ascii="B Nazanin" w:hAnsi="B Nazanin" w:cs="B Nazanin"/>
          <w:sz w:val="24"/>
          <w:szCs w:val="24"/>
          <w:rtl/>
        </w:rPr>
        <w:t>۵-۴. همسویی و ناهمسویی یافته‌ها با پیشینه پژوهش</w:t>
      </w:r>
    </w:p>
    <w:p>
      <w:pPr>
        <w:pStyle w:val="TOC2"/>
        <w:bidi/>
        <w:jc w:val="right"/>
        <w:spacing w:line="580" w:lineRule="exact"/>
      </w:pPr>
      <w:r>
        <w:rPr>
          <w:rFonts w:ascii="B Nazanin" w:hAnsi="B Nazanin" w:cs="B Nazanin"/>
          <w:sz w:val="24"/>
          <w:szCs w:val="24"/>
          <w:rtl/>
        </w:rPr>
        <w:t>۵-۵. دلالت‌های کاربردی</w:t>
      </w:r>
    </w:p>
    <w:p>
      <w:pPr>
        <w:pStyle w:val="TOC2"/>
        <w:bidi/>
        <w:jc w:val="right"/>
        <w:spacing w:line="580" w:lineRule="exact"/>
      </w:pPr>
      <w:r>
        <w:rPr>
          <w:rFonts w:ascii="B Nazanin" w:hAnsi="B Nazanin" w:cs="B Nazanin"/>
          <w:sz w:val="24"/>
          <w:szCs w:val="24"/>
          <w:rtl/>
        </w:rPr>
        <w:t>۵-۶. محدودیت‌های پژوهش</w:t>
      </w:r>
    </w:p>
    <w:p>
      <w:pPr>
        <w:pStyle w:val="TOC2"/>
        <w:bidi/>
        <w:jc w:val="right"/>
        <w:spacing w:line="580" w:lineRule="exact"/>
      </w:pPr>
      <w:r>
        <w:rPr>
          <w:rFonts w:ascii="B Nazanin" w:hAnsi="B Nazanin" w:cs="B Nazanin"/>
          <w:sz w:val="24"/>
          <w:szCs w:val="24"/>
          <w:rtl/>
        </w:rPr>
        <w:t>۵-۷. پیشنهادها برای پژوهش‌های آینده</w:t>
      </w:r>
    </w:p>
    <w:p>
      <w:pPr>
        <w:pStyle w:val="TOC2"/>
        <w:bidi/>
        <w:jc w:val="right"/>
        <w:spacing w:line="580" w:lineRule="exact"/>
      </w:pPr>
      <w:r>
        <w:rPr>
          <w:rFonts w:ascii="B Nazanin" w:hAnsi="B Nazanin" w:cs="B Nazanin"/>
          <w:sz w:val="24"/>
          <w:szCs w:val="24"/>
          <w:rtl/>
        </w:rPr>
        <w:t>۵-۸. جمع‌بندی نهایی</w:t>
      </w:r>
    </w:p>
    <w:p>
      <w:pPr>
        <w:pStyle w:val="TOC1"/>
        <w:bidi/>
        <w:jc w:val="right"/>
        <w:spacing w:line="580" w:lineRule="exact"/>
      </w:pPr>
      <w:r>
        <w:rPr>
          <w:rFonts w:ascii="B Nazanin" w:hAnsi="B Nazanin" w:cs="B Nazanin"/>
          <w:b/>
          <w:bCs/>
          <w:sz w:val="24"/>
          <w:szCs w:val="24"/>
          <w:rtl/>
        </w:rPr>
        <w:t>منابع و مآخذ</w:t>
      </w:r>
    </w:p>
    <w:p>
      <w:pPr>
        <w:bidi/>
      </w:pPr>
      <w:r>
        <w:fldChar w:fldCharType="end"/>
      </w:r>
    </w:p>
    <w:p>
      <w:r>
        <w:br w:type="page"/>
      </w:r>
    </w:p>
    <w:p>
      <w:pPr>
        <w:bidi/>
        <w:jc w:val="center"/>
        <w:spacing w:line="580" w:lineRule="exact"/>
      </w:pPr>
      <w:r>
        <w:rPr>
          <w:rFonts w:ascii="B Nazanin" w:hAnsi="B Nazanin" w:cs="B Nazanin"/>
          <w:b/>
          <w:bCs/>
          <w:sz w:val="28"/>
          <w:szCs w:val="28"/>
        </w:rPr>
        <w:t>فهرست جدول‌ها</w:t>
      </w:r>
    </w:p>
    <w:p>
      <w:pPr>
        <w:bidi/>
      </w:pPr>
      <w:r>
        <w:rPr>
          <w:rFonts w:ascii="B Nazanin" w:hAnsi="B Nazanin"/>
        </w:rPr>
        <w:fldChar w:fldCharType="begin"/>
      </w:r>
      <w:r>
        <w:rPr>
          <w:rFonts w:ascii="B Nazanin" w:hAnsi="B Nazanin"/>
        </w:rPr>
        <w:instrText>TOC \f T \h \z</w:instrText>
      </w:r>
      <w:r>
        <w:rPr>
          <w:rFonts w:ascii="B Nazanin" w:hAnsi="B Nazanin"/>
        </w:rPr>
        <w:fldChar w:fldCharType="separate"/>
      </w:r>
    </w:p>
    <w:p>
      <w:pPr>
        <w:pStyle w:val="tableoffigures"/>
        <w:bidi/>
        <w:jc w:val="right"/>
        <w:spacing w:line="580" w:lineRule="exact"/>
      </w:pPr>
      <w:r>
        <w:rPr>
          <w:rFonts w:ascii="B Nazanin" w:hAnsi="B Nazanin" w:cs="B Nazanin"/>
          <w:sz w:val="24"/>
          <w:szCs w:val="24"/>
          <w:rtl/>
        </w:rPr>
        <w:t>جدول ۲-۱. حوزه‌ها و طرحواره‌های ناسازگار اولیه در مدل یانگ</w:t>
      </w:r>
    </w:p>
    <w:p>
      <w:pPr>
        <w:pStyle w:val="tableoffigures"/>
        <w:bidi/>
        <w:jc w:val="right"/>
        <w:spacing w:line="580" w:lineRule="exact"/>
      </w:pPr>
      <w:r>
        <w:rPr>
          <w:rFonts w:ascii="B Nazanin" w:hAnsi="B Nazanin" w:cs="B Nazanin"/>
          <w:sz w:val="24"/>
          <w:szCs w:val="24"/>
          <w:rtl/>
        </w:rPr>
        <w:t>جدول ۳-۱. خلاصه ابزارهای پژوهش</w:t>
      </w:r>
    </w:p>
    <w:p>
      <w:pPr>
        <w:pStyle w:val="tableoffigures"/>
        <w:bidi/>
        <w:jc w:val="right"/>
        <w:spacing w:line="580" w:lineRule="exact"/>
      </w:pPr>
      <w:r>
        <w:rPr>
          <w:rFonts w:ascii="B Nazanin" w:hAnsi="B Nazanin" w:cs="B Nazanin"/>
          <w:sz w:val="24"/>
          <w:szCs w:val="24"/>
          <w:rtl/>
        </w:rPr>
        <w:t>جدول ۴-۱. روند غربالگری و ریزش پاسخ‌ها</w:t>
      </w:r>
    </w:p>
    <w:p>
      <w:pPr>
        <w:pStyle w:val="tableoffigures"/>
        <w:bidi/>
        <w:jc w:val="right"/>
        <w:spacing w:line="580" w:lineRule="exact"/>
      </w:pPr>
      <w:r>
        <w:rPr>
          <w:rFonts w:ascii="B Nazanin" w:hAnsi="B Nazanin" w:cs="B Nazanin"/>
          <w:sz w:val="24"/>
          <w:szCs w:val="24"/>
          <w:rtl/>
        </w:rPr>
        <w:t>جدول ۴-۲. توزیع ویژگی‌های جمعیت‌شناختی نمونه نهایی</w:t>
      </w:r>
    </w:p>
    <w:p>
      <w:pPr>
        <w:pStyle w:val="tableoffigures"/>
        <w:bidi/>
        <w:jc w:val="right"/>
        <w:spacing w:line="580" w:lineRule="exact"/>
      </w:pPr>
      <w:r>
        <w:rPr>
          <w:rFonts w:ascii="B Nazanin" w:hAnsi="B Nazanin" w:cs="B Nazanin"/>
          <w:sz w:val="24"/>
          <w:szCs w:val="24"/>
          <w:rtl/>
        </w:rPr>
        <w:t>جدول ۴-۳. توزیع ویژگی‌های معاملاتی نمونه نهایی</w:t>
      </w:r>
    </w:p>
    <w:p>
      <w:pPr>
        <w:pStyle w:val="tableoffigures"/>
        <w:bidi/>
        <w:jc w:val="right"/>
        <w:spacing w:line="580" w:lineRule="exact"/>
      </w:pPr>
      <w:r>
        <w:rPr>
          <w:rFonts w:ascii="B Nazanin" w:hAnsi="B Nazanin" w:cs="B Nazanin"/>
          <w:sz w:val="24"/>
          <w:szCs w:val="24"/>
          <w:rtl/>
        </w:rPr>
        <w:t>جدول ۴-۴. شاخص‌های توصیفی نمره‌های کل</w:t>
      </w:r>
    </w:p>
    <w:p>
      <w:pPr>
        <w:pStyle w:val="tableoffigures"/>
        <w:bidi/>
        <w:jc w:val="right"/>
        <w:spacing w:line="580" w:lineRule="exact"/>
      </w:pPr>
      <w:r>
        <w:rPr>
          <w:rFonts w:ascii="B Nazanin" w:hAnsi="B Nazanin" w:cs="B Nazanin"/>
          <w:sz w:val="24"/>
          <w:szCs w:val="24"/>
          <w:rtl/>
        </w:rPr>
        <w:t>جدول ۴-۵. پایایی ابزارها و خرده‌مقیاس‌ها (آلفای کرونباخ)</w:t>
      </w:r>
    </w:p>
    <w:p>
      <w:pPr>
        <w:pStyle w:val="tableoffigures"/>
        <w:bidi/>
        <w:jc w:val="right"/>
        <w:spacing w:line="580" w:lineRule="exact"/>
      </w:pPr>
      <w:r>
        <w:rPr>
          <w:rFonts w:ascii="B Nazanin" w:hAnsi="B Nazanin" w:cs="B Nazanin"/>
          <w:sz w:val="24"/>
          <w:szCs w:val="24"/>
          <w:rtl/>
        </w:rPr>
        <w:t>جدول ۴-۶. ماتریس همبستگی پیرسون متغیرهای پژوهش</w:t>
      </w:r>
    </w:p>
    <w:p>
      <w:pPr>
        <w:pStyle w:val="tableoffigures"/>
        <w:bidi/>
        <w:jc w:val="right"/>
        <w:spacing w:line="580" w:lineRule="exact"/>
      </w:pPr>
      <w:r>
        <w:rPr>
          <w:rFonts w:ascii="B Nazanin" w:hAnsi="B Nazanin" w:cs="B Nazanin"/>
          <w:sz w:val="24"/>
          <w:szCs w:val="24"/>
          <w:rtl/>
        </w:rPr>
        <w:t>جدول ۴-۷. نتایج تحلیل میانجی‌گری (الگوی شماره ۴، خودگردان‌سازی ۵۰۰۰ نمونه‌ای)</w:t>
      </w:r>
    </w:p>
    <w:p>
      <w:pPr>
        <w:pStyle w:val="tableoffigures"/>
        <w:bidi/>
        <w:jc w:val="right"/>
        <w:spacing w:line="580" w:lineRule="exact"/>
      </w:pPr>
      <w:r>
        <w:rPr>
          <w:rFonts w:ascii="B Nazanin" w:hAnsi="B Nazanin" w:cs="B Nazanin"/>
          <w:sz w:val="24"/>
          <w:szCs w:val="24"/>
          <w:rtl/>
        </w:rPr>
        <w:t>جدول ۴-۸. شاخص‌های مدل مقید میانجی‌گری کامل (مکمل، df=۱)</w:t>
      </w:r>
    </w:p>
    <w:p>
      <w:pPr>
        <w:pStyle w:val="tableoffigures"/>
        <w:bidi/>
        <w:jc w:val="right"/>
        <w:spacing w:line="580" w:lineRule="exact"/>
      </w:pPr>
      <w:r>
        <w:rPr>
          <w:rFonts w:ascii="B Nazanin" w:hAnsi="B Nazanin" w:cs="B Nazanin"/>
          <w:sz w:val="24"/>
          <w:szCs w:val="24"/>
          <w:rtl/>
        </w:rPr>
        <w:t>جدول ۴-۹. خلاصه نتایج آزمون فرضیه‌ها</w:t>
      </w:r>
    </w:p>
    <w:p>
      <w:pPr>
        <w:bidi/>
      </w:pPr>
      <w:r>
        <w:fldChar w:fldCharType="end"/>
      </w:r>
    </w:p>
    <w:p>
      <w:r>
        <w:br w:type="page"/>
      </w:r>
    </w:p>
    <w:p>
      <w:pPr>
        <w:bidi/>
        <w:jc w:val="center"/>
        <w:spacing w:line="580" w:lineRule="exact"/>
      </w:pPr>
      <w:r>
        <w:rPr>
          <w:rFonts w:ascii="B Nazanin" w:hAnsi="B Nazanin" w:cs="B Nazanin"/>
          <w:b/>
          <w:bCs/>
          <w:sz w:val="28"/>
          <w:szCs w:val="28"/>
        </w:rPr>
        <w:t>فهرست شکل‌ها</w:t>
      </w:r>
    </w:p>
    <w:p>
      <w:pPr>
        <w:bidi/>
      </w:pPr>
      <w:r>
        <w:rPr>
          <w:rFonts w:ascii="B Nazanin" w:hAnsi="B Nazanin"/>
        </w:rPr>
        <w:fldChar w:fldCharType="begin"/>
      </w:r>
      <w:r>
        <w:rPr>
          <w:rFonts w:ascii="B Nazanin" w:hAnsi="B Nazanin"/>
        </w:rPr>
        <w:instrText>TOC \f F \h \z</w:instrText>
      </w:r>
      <w:r>
        <w:rPr>
          <w:rFonts w:ascii="B Nazanin" w:hAnsi="B Nazanin"/>
        </w:rPr>
        <w:fldChar w:fldCharType="separate"/>
      </w:r>
    </w:p>
    <w:p>
      <w:pPr>
        <w:pStyle w:val="tableoffigures"/>
        <w:bidi/>
        <w:jc w:val="right"/>
        <w:spacing w:line="580" w:lineRule="exact"/>
      </w:pPr>
      <w:r>
        <w:rPr>
          <w:rFonts w:ascii="B Nazanin" w:hAnsi="B Nazanin" w:cs="B Nazanin"/>
          <w:sz w:val="24"/>
          <w:szCs w:val="24"/>
          <w:rtl/>
        </w:rPr>
        <w:t>شکل ۲-۱. مدل مفهومی پژوهش</w:t>
      </w:r>
    </w:p>
    <w:p>
      <w:pPr>
        <w:pStyle w:val="tableoffigures"/>
        <w:bidi/>
        <w:jc w:val="right"/>
        <w:spacing w:line="580" w:lineRule="exact"/>
      </w:pPr>
      <w:r>
        <w:rPr>
          <w:rFonts w:ascii="B Nazanin" w:hAnsi="B Nazanin" w:cs="B Nazanin"/>
          <w:sz w:val="24"/>
          <w:szCs w:val="24"/>
          <w:rtl/>
        </w:rPr>
        <w:t>شکل ۴-۱. نمودار مسیر الگوی میانجی‌گری با ضرایب برآوردشده در نمونه نهایی</w:t>
      </w:r>
    </w:p>
    <w:p>
      <w:pPr>
        <w:bidi/>
      </w:pPr>
      <w:r>
        <w:fldChar w:fldCharType="end"/>
      </w:r>
    </w:p>
    <w:p>
      <w:r>
        <w:br w:type="page"/>
      </w:r>
    </w:p>
    <w:p>
      <w:pPr>
        <w:bidi/>
        <w:jc w:val="center"/>
        <w:spacing w:line="580" w:lineRule="exact"/>
      </w:pPr>
      <w:r>
        <w:rPr>
          <w:rFonts w:ascii="B Nazanin" w:hAnsi="B Nazanin" w:cs="B Nazanin"/>
          <w:b/>
          <w:bCs/>
          <w:sz w:val="28"/>
          <w:szCs w:val="28"/>
        </w:rPr>
        <w:t>فهرست علائم</w:t>
      </w:r>
    </w:p>
    <w:p/>
    <w:tbl>
      <w:tblPr>
        <w:tblStyle w:val="TableGrid"/>
        <w:bidiVisual/>
        <w:tblGrid>
          <w:gridCol w:w="2200"/>
          <w:gridCol w:w="6021"/>
        </w:tblGrid>
      </w:tblPr>
      <w:tr>
        <w:tc>
          <w:tcPr>
            <w:tcW w:w="2200"/>
            <w:tcW w:type="dxa"/>
          </w:tcPr>
          <w:p>
            <w:pPr>
              <w:jc w:val="center"/>
              <w:spacing w:line="580" w:lineRule="exact"/>
            </w:pPr>
            <w:r>
              <w:rPr>
                <w:rFonts w:ascii="Times New Roman" w:hAnsi="Times New Roman" w:cs="Times New Roman"/>
                <w:b/>
                <w:bCs/>
                <w:sz w:val="22"/>
                <w:szCs w:val="22"/>
              </w:rPr>
              <w:t>علامت اختصاری</w:t>
            </w:r>
          </w:p>
        </w:tc>
        <w:tc>
          <w:tcPr>
            <w:tcW w:w="6021"/>
            <w:tcW w:type="dxa"/>
          </w:tcPr>
          <w:p>
            <w:pPr>
              <w:bidi/>
              <w:jc w:val="right"/>
              <w:spacing w:line="580" w:lineRule="exact"/>
            </w:pPr>
            <w:r>
              <w:rPr>
                <w:rFonts w:ascii="B Nazanin" w:hAnsi="B Nazanin" w:cs="B Nazanin"/>
                <w:b/>
                <w:bCs/>
                <w:sz w:val="24"/>
                <w:szCs w:val="24"/>
              </w:rPr>
              <w:t>معادل فارسی / توضیح</w:t>
            </w:r>
          </w:p>
        </w:tc>
      </w:tr>
      <w:tr>
        <w:tc>
          <w:tcPr>
            <w:tcW w:w="2200"/>
            <w:tcW w:type="dxa"/>
          </w:tcPr>
          <w:p>
            <w:pPr>
              <w:jc w:val="center"/>
              <w:spacing w:line="580" w:lineRule="exact"/>
            </w:pPr>
            <w:r>
              <w:rPr>
                <w:rFonts w:ascii="Times New Roman" w:hAnsi="Times New Roman" w:cs="Times New Roman"/>
                <w:sz w:val="22"/>
                <w:szCs w:val="22"/>
              </w:rPr>
              <w:t>STAI-Y2</w:t>
            </w:r>
          </w:p>
        </w:tc>
        <w:tc>
          <w:tcPr>
            <w:tcW w:w="6021"/>
            <w:tcW w:type="dxa"/>
          </w:tcPr>
          <w:p>
            <w:pPr>
              <w:bidi/>
              <w:jc w:val="right"/>
              <w:spacing w:line="580" w:lineRule="exact"/>
            </w:pPr>
            <w:r>
              <w:rPr>
                <w:rFonts w:ascii="B Nazanin" w:hAnsi="B Nazanin" w:cs="B Nazanin"/>
                <w:sz w:val="24"/>
                <w:szCs w:val="24"/>
              </w:rPr>
              <w:t>فرم اضطراب صفتی پرسشنامهٔ حالت-صفت اسپیلبرگر</w:t>
            </w:r>
          </w:p>
        </w:tc>
      </w:tr>
      <w:tr>
        <w:tc>
          <w:tcPr>
            <w:tcW w:w="2200"/>
            <w:tcW w:type="dxa"/>
          </w:tcPr>
          <w:p>
            <w:pPr>
              <w:jc w:val="center"/>
              <w:spacing w:line="580" w:lineRule="exact"/>
            </w:pPr>
            <w:r>
              <w:rPr>
                <w:rFonts w:ascii="Times New Roman" w:hAnsi="Times New Roman" w:cs="Times New Roman"/>
                <w:sz w:val="22"/>
                <w:szCs w:val="22"/>
              </w:rPr>
              <w:t>YSQ-SF</w:t>
            </w:r>
          </w:p>
        </w:tc>
        <w:tc>
          <w:tcPr>
            <w:tcW w:w="6021"/>
            <w:tcW w:type="dxa"/>
          </w:tcPr>
          <w:p>
            <w:pPr>
              <w:bidi/>
              <w:jc w:val="right"/>
              <w:spacing w:line="580" w:lineRule="exact"/>
            </w:pPr>
            <w:r>
              <w:rPr>
                <w:rFonts w:ascii="B Nazanin" w:hAnsi="B Nazanin" w:cs="B Nazanin"/>
                <w:sz w:val="24"/>
                <w:szCs w:val="24"/>
              </w:rPr>
              <w:t>پرسشنامهٔ طرحوارهٔ یانگ ــ فرم کوتاه</w:t>
            </w:r>
          </w:p>
        </w:tc>
      </w:tr>
      <w:tr>
        <w:tc>
          <w:tcPr>
            <w:tcW w:w="2200"/>
            <w:tcW w:type="dxa"/>
          </w:tcPr>
          <w:p>
            <w:pPr>
              <w:jc w:val="center"/>
              <w:spacing w:line="580" w:lineRule="exact"/>
            </w:pPr>
            <w:r>
              <w:rPr>
                <w:rFonts w:ascii="Times New Roman" w:hAnsi="Times New Roman" w:cs="Times New Roman"/>
                <w:sz w:val="22"/>
                <w:szCs w:val="22"/>
              </w:rPr>
              <w:t>GL-RTS</w:t>
            </w:r>
          </w:p>
        </w:tc>
        <w:tc>
          <w:tcPr>
            <w:tcW w:w="6021"/>
            <w:tcW w:type="dxa"/>
          </w:tcPr>
          <w:p>
            <w:pPr>
              <w:bidi/>
              <w:jc w:val="right"/>
              <w:spacing w:line="580" w:lineRule="exact"/>
            </w:pPr>
            <w:r>
              <w:rPr>
                <w:rFonts w:ascii="B Nazanin" w:hAnsi="B Nazanin" w:cs="B Nazanin"/>
                <w:sz w:val="24"/>
                <w:szCs w:val="24"/>
              </w:rPr>
              <w:t>مقیاس تحمل ریسک مالی گرابل و لایتون</w:t>
            </w:r>
          </w:p>
        </w:tc>
      </w:tr>
      <w:tr>
        <w:tc>
          <w:tcPr>
            <w:tcW w:w="2200"/>
            <w:tcW w:type="dxa"/>
          </w:tcPr>
          <w:p>
            <w:pPr>
              <w:jc w:val="center"/>
              <w:spacing w:line="580" w:lineRule="exact"/>
            </w:pPr>
            <w:r>
              <w:rPr>
                <w:rFonts w:ascii="Times New Roman" w:hAnsi="Times New Roman" w:cs="Times New Roman"/>
                <w:sz w:val="22"/>
                <w:szCs w:val="22"/>
              </w:rPr>
              <w:t>SEM</w:t>
            </w:r>
          </w:p>
        </w:tc>
        <w:tc>
          <w:tcPr>
            <w:tcW w:w="6021"/>
            <w:tcW w:type="dxa"/>
          </w:tcPr>
          <w:p>
            <w:pPr>
              <w:bidi/>
              <w:jc w:val="right"/>
              <w:spacing w:line="580" w:lineRule="exact"/>
            </w:pPr>
            <w:r>
              <w:rPr>
                <w:rFonts w:ascii="B Nazanin" w:hAnsi="B Nazanin" w:cs="B Nazanin"/>
                <w:sz w:val="24"/>
                <w:szCs w:val="24"/>
              </w:rPr>
              <w:t>مدل‌سازی معادلات ساختاری</w:t>
            </w:r>
          </w:p>
        </w:tc>
      </w:tr>
      <w:tr>
        <w:tc>
          <w:tcPr>
            <w:tcW w:w="2200"/>
            <w:tcW w:type="dxa"/>
          </w:tcPr>
          <w:p>
            <w:pPr>
              <w:jc w:val="center"/>
              <w:spacing w:line="580" w:lineRule="exact"/>
            </w:pPr>
            <w:r>
              <w:rPr>
                <w:rFonts w:ascii="Times New Roman" w:hAnsi="Times New Roman" w:cs="Times New Roman"/>
                <w:sz w:val="22"/>
                <w:szCs w:val="22"/>
              </w:rPr>
              <w:t>PROCESS</w:t>
            </w:r>
          </w:p>
        </w:tc>
        <w:tc>
          <w:tcPr>
            <w:tcW w:w="6021"/>
            <w:tcW w:type="dxa"/>
          </w:tcPr>
          <w:p>
            <w:pPr>
              <w:bidi/>
              <w:jc w:val="right"/>
              <w:spacing w:line="580" w:lineRule="exact"/>
            </w:pPr>
            <w:r>
              <w:rPr>
                <w:rFonts w:ascii="B Nazanin" w:hAnsi="B Nazanin" w:cs="B Nazanin"/>
                <w:sz w:val="24"/>
                <w:szCs w:val="24"/>
              </w:rPr>
              <w:t>ماکروی PROCESS برای تحلیل میانجی‌گری</w:t>
            </w:r>
          </w:p>
        </w:tc>
      </w:tr>
      <w:tr>
        <w:tc>
          <w:tcPr>
            <w:tcW w:w="2200"/>
            <w:tcW w:type="dxa"/>
          </w:tcPr>
          <w:p>
            <w:pPr>
              <w:jc w:val="center"/>
              <w:spacing w:line="580" w:lineRule="exact"/>
            </w:pPr>
            <w:r>
              <w:rPr>
                <w:rFonts w:ascii="Times New Roman" w:hAnsi="Times New Roman" w:cs="Times New Roman"/>
                <w:sz w:val="22"/>
                <w:szCs w:val="22"/>
              </w:rPr>
              <w:t>ML</w:t>
            </w:r>
          </w:p>
        </w:tc>
        <w:tc>
          <w:tcPr>
            <w:tcW w:w="6021"/>
            <w:tcW w:type="dxa"/>
          </w:tcPr>
          <w:p>
            <w:pPr>
              <w:bidi/>
              <w:jc w:val="right"/>
              <w:spacing w:line="580" w:lineRule="exact"/>
            </w:pPr>
            <w:r>
              <w:rPr>
                <w:rFonts w:ascii="B Nazanin" w:hAnsi="B Nazanin" w:cs="B Nazanin"/>
                <w:sz w:val="24"/>
                <w:szCs w:val="24"/>
              </w:rPr>
              <w:t>برآورد درست‌نمایی بیشینه</w:t>
            </w:r>
          </w:p>
        </w:tc>
      </w:tr>
      <w:tr>
        <w:tc>
          <w:tcPr>
            <w:tcW w:w="2200"/>
            <w:tcW w:type="dxa"/>
          </w:tcPr>
          <w:p>
            <w:pPr>
              <w:jc w:val="center"/>
              <w:spacing w:line="580" w:lineRule="exact"/>
            </w:pPr>
            <w:r>
              <w:rPr>
                <w:rFonts w:ascii="Times New Roman" w:hAnsi="Times New Roman" w:cs="Times New Roman"/>
                <w:sz w:val="22"/>
                <w:szCs w:val="22"/>
              </w:rPr>
              <w:t>CFI</w:t>
            </w:r>
          </w:p>
        </w:tc>
        <w:tc>
          <w:tcPr>
            <w:tcW w:w="6021"/>
            <w:tcW w:type="dxa"/>
          </w:tcPr>
          <w:p>
            <w:pPr>
              <w:bidi/>
              <w:jc w:val="right"/>
              <w:spacing w:line="580" w:lineRule="exact"/>
            </w:pPr>
            <w:r>
              <w:rPr>
                <w:rFonts w:ascii="B Nazanin" w:hAnsi="B Nazanin" w:cs="B Nazanin"/>
                <w:sz w:val="24"/>
                <w:szCs w:val="24"/>
              </w:rPr>
              <w:t>شاخص برازش تطبیقی</w:t>
            </w:r>
          </w:p>
        </w:tc>
      </w:tr>
      <w:tr>
        <w:tc>
          <w:tcPr>
            <w:tcW w:w="2200"/>
            <w:tcW w:type="dxa"/>
          </w:tcPr>
          <w:p>
            <w:pPr>
              <w:jc w:val="center"/>
              <w:spacing w:line="580" w:lineRule="exact"/>
            </w:pPr>
            <w:r>
              <w:rPr>
                <w:rFonts w:ascii="Times New Roman" w:hAnsi="Times New Roman" w:cs="Times New Roman"/>
                <w:sz w:val="22"/>
                <w:szCs w:val="22"/>
              </w:rPr>
              <w:t>TLI</w:t>
            </w:r>
          </w:p>
        </w:tc>
        <w:tc>
          <w:tcPr>
            <w:tcW w:w="6021"/>
            <w:tcW w:type="dxa"/>
          </w:tcPr>
          <w:p>
            <w:pPr>
              <w:bidi/>
              <w:jc w:val="right"/>
              <w:spacing w:line="580" w:lineRule="exact"/>
            </w:pPr>
            <w:r>
              <w:rPr>
                <w:rFonts w:ascii="B Nazanin" w:hAnsi="B Nazanin" w:cs="B Nazanin"/>
                <w:sz w:val="24"/>
                <w:szCs w:val="24"/>
              </w:rPr>
              <w:t>شاخص برازش تاکر-لوئیس</w:t>
            </w:r>
          </w:p>
        </w:tc>
      </w:tr>
      <w:tr>
        <w:tc>
          <w:tcPr>
            <w:tcW w:w="2200"/>
            <w:tcW w:type="dxa"/>
          </w:tcPr>
          <w:p>
            <w:pPr>
              <w:jc w:val="center"/>
              <w:spacing w:line="580" w:lineRule="exact"/>
            </w:pPr>
            <w:r>
              <w:rPr>
                <w:rFonts w:ascii="Times New Roman" w:hAnsi="Times New Roman" w:cs="Times New Roman"/>
                <w:sz w:val="22"/>
                <w:szCs w:val="22"/>
              </w:rPr>
              <w:t>RMSEA</w:t>
            </w:r>
          </w:p>
        </w:tc>
        <w:tc>
          <w:tcPr>
            <w:tcW w:w="6021"/>
            <w:tcW w:type="dxa"/>
          </w:tcPr>
          <w:p>
            <w:pPr>
              <w:bidi/>
              <w:jc w:val="right"/>
              <w:spacing w:line="580" w:lineRule="exact"/>
            </w:pPr>
            <w:r>
              <w:rPr>
                <w:rFonts w:ascii="B Nazanin" w:hAnsi="B Nazanin" w:cs="B Nazanin"/>
                <w:sz w:val="24"/>
                <w:szCs w:val="24"/>
              </w:rPr>
              <w:t>ریشهٔ میانگین مربعات خطای تقریب</w:t>
            </w:r>
          </w:p>
        </w:tc>
      </w:tr>
      <w:tr>
        <w:tc>
          <w:tcPr>
            <w:tcW w:w="2200"/>
            <w:tcW w:type="dxa"/>
          </w:tcPr>
          <w:p>
            <w:pPr>
              <w:jc w:val="center"/>
              <w:spacing w:line="580" w:lineRule="exact"/>
            </w:pPr>
            <w:r>
              <w:rPr>
                <w:rFonts w:ascii="Times New Roman" w:hAnsi="Times New Roman" w:cs="Times New Roman"/>
                <w:sz w:val="22"/>
                <w:szCs w:val="22"/>
              </w:rPr>
              <w:t>SRMR</w:t>
            </w:r>
          </w:p>
        </w:tc>
        <w:tc>
          <w:tcPr>
            <w:tcW w:w="6021"/>
            <w:tcW w:type="dxa"/>
          </w:tcPr>
          <w:p>
            <w:pPr>
              <w:bidi/>
              <w:jc w:val="right"/>
              <w:spacing w:line="580" w:lineRule="exact"/>
            </w:pPr>
            <w:r>
              <w:rPr>
                <w:rFonts w:ascii="B Nazanin" w:hAnsi="B Nazanin" w:cs="B Nazanin"/>
                <w:sz w:val="24"/>
                <w:szCs w:val="24"/>
              </w:rPr>
              <w:t>ریشهٔ میانگین مربعات باقی‌ماندهٔ استانداردشده</w:t>
            </w:r>
          </w:p>
        </w:tc>
      </w:tr>
      <w:tr>
        <w:tc>
          <w:tcPr>
            <w:tcW w:w="2200"/>
            <w:tcW w:type="dxa"/>
          </w:tcPr>
          <w:p>
            <w:pPr>
              <w:jc w:val="center"/>
              <w:spacing w:line="580" w:lineRule="exact"/>
            </w:pPr>
            <w:r>
              <w:rPr>
                <w:rFonts w:ascii="Times New Roman" w:hAnsi="Times New Roman" w:cs="Times New Roman"/>
                <w:sz w:val="22"/>
                <w:szCs w:val="22"/>
              </w:rPr>
              <w:t>VIF</w:t>
            </w:r>
          </w:p>
        </w:tc>
        <w:tc>
          <w:tcPr>
            <w:tcW w:w="6021"/>
            <w:tcW w:type="dxa"/>
          </w:tcPr>
          <w:p>
            <w:pPr>
              <w:bidi/>
              <w:jc w:val="right"/>
              <w:spacing w:line="580" w:lineRule="exact"/>
            </w:pPr>
            <w:r>
              <w:rPr>
                <w:rFonts w:ascii="B Nazanin" w:hAnsi="B Nazanin" w:cs="B Nazanin"/>
                <w:sz w:val="24"/>
                <w:szCs w:val="24"/>
              </w:rPr>
              <w:t>عامل تورم واریانس</w:t>
            </w:r>
          </w:p>
        </w:tc>
      </w:tr>
      <w:tr>
        <w:tc>
          <w:tcPr>
            <w:tcW w:w="2200"/>
            <w:tcW w:type="dxa"/>
          </w:tcPr>
          <w:p>
            <w:pPr>
              <w:jc w:val="center"/>
              <w:spacing w:line="580" w:lineRule="exact"/>
            </w:pPr>
            <w:r>
              <w:rPr>
                <w:rFonts w:ascii="Times New Roman" w:hAnsi="Times New Roman" w:cs="Times New Roman"/>
                <w:sz w:val="22"/>
                <w:szCs w:val="22"/>
              </w:rPr>
              <w:t>CI</w:t>
            </w:r>
          </w:p>
        </w:tc>
        <w:tc>
          <w:tcPr>
            <w:tcW w:w="6021"/>
            <w:tcW w:type="dxa"/>
          </w:tcPr>
          <w:p>
            <w:pPr>
              <w:bidi/>
              <w:jc w:val="right"/>
              <w:spacing w:line="580" w:lineRule="exact"/>
            </w:pPr>
            <w:r>
              <w:rPr>
                <w:rFonts w:ascii="B Nazanin" w:hAnsi="B Nazanin" w:cs="B Nazanin"/>
                <w:sz w:val="24"/>
                <w:szCs w:val="24"/>
              </w:rPr>
              <w:t>فاصلهٔ اطمینان</w:t>
            </w:r>
          </w:p>
        </w:tc>
      </w:tr>
      <w:tr>
        <w:tc>
          <w:tcPr>
            <w:tcW w:w="2200"/>
            <w:tcW w:type="dxa"/>
          </w:tcPr>
          <w:p>
            <w:pPr>
              <w:jc w:val="center"/>
              <w:spacing w:line="580" w:lineRule="exact"/>
            </w:pPr>
            <w:r>
              <w:rPr>
                <w:rFonts w:ascii="Times New Roman" w:hAnsi="Times New Roman" w:cs="Times New Roman"/>
                <w:sz w:val="22"/>
                <w:szCs w:val="22"/>
              </w:rPr>
              <w:t>r</w:t>
            </w:r>
          </w:p>
        </w:tc>
        <w:tc>
          <w:tcPr>
            <w:tcW w:w="6021"/>
            <w:tcW w:type="dxa"/>
          </w:tcPr>
          <w:p>
            <w:pPr>
              <w:bidi/>
              <w:jc w:val="right"/>
              <w:spacing w:line="580" w:lineRule="exact"/>
            </w:pPr>
            <w:r>
              <w:rPr>
                <w:rFonts w:ascii="B Nazanin" w:hAnsi="B Nazanin" w:cs="B Nazanin"/>
                <w:sz w:val="24"/>
                <w:szCs w:val="24"/>
              </w:rPr>
              <w:t>ضریب همبستگی پیرسون</w:t>
            </w:r>
          </w:p>
        </w:tc>
      </w:tr>
      <w:tr>
        <w:tc>
          <w:tcPr>
            <w:tcW w:w="2200"/>
            <w:tcW w:type="dxa"/>
          </w:tcPr>
          <w:p>
            <w:pPr>
              <w:jc w:val="center"/>
              <w:spacing w:line="580" w:lineRule="exact"/>
            </w:pPr>
            <w:r>
              <w:rPr>
                <w:rFonts w:ascii="Times New Roman" w:hAnsi="Times New Roman" w:cs="Times New Roman"/>
                <w:sz w:val="22"/>
                <w:szCs w:val="22"/>
              </w:rPr>
              <w:t>p</w:t>
            </w:r>
          </w:p>
        </w:tc>
        <w:tc>
          <w:tcPr>
            <w:tcW w:w="6021"/>
            <w:tcW w:type="dxa"/>
          </w:tcPr>
          <w:p>
            <w:pPr>
              <w:bidi/>
              <w:jc w:val="right"/>
              <w:spacing w:line="580" w:lineRule="exact"/>
            </w:pPr>
            <w:r>
              <w:rPr>
                <w:rFonts w:ascii="B Nazanin" w:hAnsi="B Nazanin" w:cs="B Nazanin"/>
                <w:sz w:val="24"/>
                <w:szCs w:val="24"/>
              </w:rPr>
              <w:t>سطح معناداری</w:t>
            </w:r>
          </w:p>
        </w:tc>
      </w:tr>
      <w:tr>
        <w:tc>
          <w:tcPr>
            <w:tcW w:w="2200"/>
            <w:tcW w:type="dxa"/>
          </w:tcPr>
          <w:p>
            <w:pPr>
              <w:jc w:val="center"/>
              <w:spacing w:line="580" w:lineRule="exact"/>
            </w:pPr>
            <w:r>
              <w:rPr>
                <w:rFonts w:ascii="Times New Roman" w:hAnsi="Times New Roman" w:cs="Times New Roman"/>
                <w:sz w:val="22"/>
                <w:szCs w:val="22"/>
              </w:rPr>
              <w:t>β</w:t>
            </w:r>
          </w:p>
        </w:tc>
        <w:tc>
          <w:tcPr>
            <w:tcW w:w="6021"/>
            <w:tcW w:type="dxa"/>
          </w:tcPr>
          <w:p>
            <w:pPr>
              <w:bidi/>
              <w:jc w:val="right"/>
              <w:spacing w:line="580" w:lineRule="exact"/>
            </w:pPr>
            <w:r>
              <w:rPr>
                <w:rFonts w:ascii="B Nazanin" w:hAnsi="B Nazanin" w:cs="B Nazanin"/>
                <w:sz w:val="24"/>
                <w:szCs w:val="24"/>
              </w:rPr>
              <w:t>ضریب مسیر استانداردشده</w:t>
            </w:r>
          </w:p>
        </w:tc>
      </w:tr>
      <w:tr>
        <w:tc>
          <w:tcPr>
            <w:tcW w:w="2200"/>
            <w:tcW w:type="dxa"/>
          </w:tcPr>
          <w:p>
            <w:pPr>
              <w:jc w:val="center"/>
              <w:spacing w:line="580" w:lineRule="exact"/>
            </w:pPr>
            <w:r>
              <w:rPr>
                <w:rFonts w:ascii="Times New Roman" w:hAnsi="Times New Roman" w:cs="Times New Roman"/>
                <w:sz w:val="22"/>
                <w:szCs w:val="22"/>
              </w:rPr>
              <w:t>χ²</w:t>
            </w:r>
          </w:p>
        </w:tc>
        <w:tc>
          <w:tcPr>
            <w:tcW w:w="6021"/>
            <w:tcW w:type="dxa"/>
          </w:tcPr>
          <w:p>
            <w:pPr>
              <w:bidi/>
              <w:jc w:val="right"/>
              <w:spacing w:line="580" w:lineRule="exact"/>
            </w:pPr>
            <w:r>
              <w:rPr>
                <w:rFonts w:ascii="B Nazanin" w:hAnsi="B Nazanin" w:cs="B Nazanin"/>
                <w:sz w:val="24"/>
                <w:szCs w:val="24"/>
              </w:rPr>
              <w:t>آمارهٔ خی‌دو</w:t>
            </w:r>
          </w:p>
        </w:tc>
      </w:tr>
    </w:tbl>
    <w:p>
      <w:pPr>
        <w:sectPr>
          <w:footerReference w:type="default" r:id="rId21"/>
          <w:footnotePr>
            <w:numFmt w:val="hindi"/>
            <w:numRestart w:val="eachPage"/>
          </w:footnotePr>
          <w:pgSz w:w="11906" w:h="16838"/>
          <w:pgMar w:top="1701" w:right="2268" w:bottom="1417" w:left="1417" w:header="720" w:footer="567" w:gutter="0"/>
          <w:pgNumType w:fmt="upperRoman"/>
          <w:cols w:space="720"/>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outlineLvl w:val="1"/>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outlineLvl w:val="1"/>
      </w:pPr>
      <w:r>
        <w:rPr>
          <w:rFonts w:ascii="B Nazanin" w:hAnsi="B Nazanin" w:cs="B Nazanin" w:hint="cs"/>
          <w:b/>
          <w:bCs/>
          <w:sz w:val="28"/>
          <w:szCs w:val="28"/>
          <w:rtl/>
          <w:lang w:bidi="fa-IR"/>
        </w:rPr>
        <w:t xml:space="preserve">۱-۲. بیان مسأله</w:t>
      </w:r>
    </w:p>
    <w:p>
      <w:pPr>
        <w:pStyle w:val="Heading3"/>
        <w:bidi w:val="1"/>
        <w:jc w:val="right"/>
        <w:outlineLvl w:val="2"/>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outlineLvl w:val="2"/>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outlineLvl w:val="2"/>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outlineLvl w:val="2"/>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outlineLvl w:val="2"/>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outlineLvl w:val="1"/>
      </w:pPr>
      <w:r>
        <w:rPr>
          <w:rFonts w:ascii="B Nazanin" w:hAnsi="B Nazanin" w:cs="B Nazanin" w:hint="cs"/>
          <w:b/>
          <w:bCs/>
          <w:sz w:val="28"/>
          <w:szCs w:val="28"/>
          <w:rtl/>
          <w:lang w:bidi="fa-IR"/>
        </w:rPr>
        <w:t xml:space="preserve">۱-۳. اهمیت و ضرورت پژوهش</w:t>
      </w:r>
    </w:p>
    <w:p>
      <w:pPr>
        <w:pStyle w:val="Heading3"/>
        <w:bidi w:val="1"/>
        <w:jc w:val="right"/>
        <w:outlineLvl w:val="2"/>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outlineLvl w:val="2"/>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outlineLvl w:val="2"/>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outlineLvl w:val="2"/>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outlineLvl w:val="2"/>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outlineLvl w:val="1"/>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outlineLvl w:val="2"/>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outlineLvl w:val="2"/>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outlineLvl w:val="1"/>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outlineLvl w:val="1"/>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outlineLvl w:val="2"/>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outlineLvl w:val="2"/>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outlineLvl w:val="2"/>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outlineLvl w:val="1"/>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22"/>
          <w:footnotePr>
            <w:numFmt w:val="hindi"/>
            <w:numRestart w:val="eachPage"/>
          </w:footnotePr>
          <w:pgSz w:w="11906" w:h="16838"/>
          <w:pgMar w:top="1701" w:right="2268" w:bottom="1417" w:left="1417" w:header="720" w:footer="567" w:gutter="0"/>
          <w:pgNumType w:fmt="hindi" w:start="1"/>
          <w:cols w:space="720"/>
          <w:titlePg/>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outlineLvl w:val="1"/>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outlineLvl w:val="1"/>
      </w:pPr>
      <w:r>
        <w:rPr>
          <w:rFonts w:ascii="B Nazanin" w:hAnsi="B Nazanin" w:cs="B Nazanin" w:hint="cs"/>
          <w:b/>
          <w:bCs/>
          <w:sz w:val="28"/>
          <w:szCs w:val="28"/>
          <w:rtl/>
          <w:lang w:bidi="fa-IR"/>
        </w:rPr>
        <w:t xml:space="preserve">۲-۲. مبانی نظری</w:t>
      </w:r>
    </w:p>
    <w:p>
      <w:pPr>
        <w:pStyle w:val="Heading3"/>
        <w:bidi w:val="1"/>
        <w:jc w:val="right"/>
        <w:outlineLvl w:val="2"/>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به‌طور نظام‌مند دارای آستانه پایین‌تری برای تحریک‌پذیری بوده و تمایل دارند موقعیت‌های مبهم، خنثی و حتی عینی غیرخطرناک (مانند نوسانات طبیعی بازار) را به‌عنوان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به‌ویژه مدار حیاتی آمیگدال-پیش‌پیشانی، ارتباط تنگاتنگی دارد. در این ساختار عصبی، آمیگدال به‌عنوان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به‌عنوان «ربایش توجه» توسط محرک‌های برجسته، ناگهانی و تهدیدآمیز یاد می‌شود، پیامد مستقیم و مخربی بر عملکرد شناختی فرد دارد: اشغال ظرفیت محدود و حیاتی حافظه کاری. به‌طور دقیق‌تر، این فرایند منابع «مجری مرکزی» را که به‌عنوان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۲۰۰۷).</w:t>
      </w:r>
    </w:p>
    <w:p>
      <w:pPr>
        <w:pStyle w:val="Heading4"/>
        <w:bidi w:val="1"/>
        <w:jc w:val="right"/>
        <w:outlineLvl w:val="2"/>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 تمرکز و تصمیم‌گیری) (گامبتی و گیوسبرتی</w:t>
      </w:r>
      <w:r>
        <w:rPr>
          <w:rFonts w:ascii="B Nazanin" w:hAnsi="B Nazanin" w:cs="B Nazanin" w:hint="cs"/>
          <w:vertAlign w:val="superscript"/>
          <w:rtl/>
        </w:rPr>
        <w:footnoteReference w:id="90"/>
      </w:r>
      <w:r>
        <w:rPr>
          <w:rFonts w:ascii="B Nazanin" w:hAnsi="B Nazanin" w:cs="B Nazanin" w:hint="cs"/>
          <w:sz w:val="24"/>
          <w:szCs w:val="24"/>
          <w:rtl/>
          <w:lang w:bidi="fa-IR"/>
        </w:rPr>
        <w:t xml:space="preserve">، ۲۰۱۲)، «اجتناب از بازار» (ترس از انجام هرگونه معامله) یا برعکس، «رفتارهای تکانشی و پرخطر» (برای فرار از حس ناخوشایند اضطراب) (لو و همکاران</w:t>
      </w:r>
      <w:r>
        <w:rPr>
          <w:rFonts w:ascii="B Nazanin" w:hAnsi="B Nazanin" w:cs="B Nazanin" w:hint="cs"/>
          <w:vertAlign w:val="superscript"/>
          <w:rtl/>
        </w:rPr>
        <w:footnoteReference w:id="91"/>
      </w:r>
      <w:r>
        <w:rPr>
          <w:rFonts w:ascii="B Nazanin" w:hAnsi="B Nazanin" w:cs="B Nazanin" w:hint="cs"/>
          <w:sz w:val="24"/>
          <w:szCs w:val="24"/>
          <w:rtl/>
          <w:lang w:bidi="fa-IR"/>
        </w:rPr>
        <w:t xml:space="preserve">، ۲۰۰۵) نشان دهد. در واقع، اضطراب از یک «ابزار» مفید به یک «مانع» بزرگ در مسیر تصمیم‌گیری عقلانی تبدیل می‌شود.</w:t>
      </w:r>
    </w:p>
    <w:p>
      <w:pPr>
        <w:pStyle w:val="Heading4"/>
        <w:bidi w:val="1"/>
        <w:jc w:val="right"/>
        <w:outlineLvl w:val="2"/>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به‌عنوان «آژیر خطر» یا «سیستم تشخیص تهدید» مغز عمل می‌کند. آمیگدال به‌طور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93"/>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outlineLvl w:val="2"/>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4"/>
      </w:r>
      <w:r>
        <w:rPr>
          <w:rFonts w:ascii="B Nazanin" w:hAnsi="B Nazanin" w:cs="B Nazanin" w:hint="cs"/>
          <w:sz w:val="24"/>
          <w:szCs w:val="24"/>
          <w:rtl/>
          <w:lang w:bidi="fa-IR"/>
        </w:rPr>
        <w:t xml:space="preserve"> اضطراب را به‌عنوان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5"/>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7"/>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۱۹۸۰).</w:t>
      </w:r>
    </w:p>
    <w:p>
      <w:pPr>
        <w:pStyle w:val="Heading4"/>
        <w:bidi w:val="1"/>
        <w:jc w:val="right"/>
        <w:outlineLvl w:val="2"/>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سیستم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۲۰۲۲) و شواهد حاکی از آن است که اضطراب مالی با کاهش نگهداری دارایی‌های پرخطر از سوی سرمایه‌گذاران حقیقی همراه است (آن و همکاران</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outlineLvl w:val="2"/>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به‌عنوان حقایق پیشین توصیف می‌کند که فرد آن‌ها را بدون پرسش و تردید به‌عنوان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همبستگی‌های معنادار و نیرومندی را میان حضور و شدت این طرحواره‌های ناسازگار اولیه با طیف وسیعی از رفتارهای غیرتطبیقی، مخرب و خود-آسیب‌رسان گزارش کرده‌اند.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تداوم و پیش‌بینی شدت رفتارهای پرخطر و اعتیادگونه دارند (لیندبرگ و همکاران، ۲۰۱۱؛ ویرا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outlineLvl w:val="2"/>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نظری در جدول ۲-۱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p>
      <w:pPr>
        <w:bidi/>
      </w:pPr>
      <w:r>
        <w:rPr>
          <w:vanish/>
          <w:rFonts w:ascii="B Nazanin" w:hAnsi="B Nazanin"/>
        </w:rPr>
        <w:fldChar w:fldCharType="begin"/>
      </w:r>
      <w:r>
        <w:rPr>
          <w:vanish/>
          <w:rFonts w:ascii="B Nazanin" w:hAnsi="B Nazanin"/>
        </w:rPr>
        <w:instrText>TC "جدول ۲-۱. حوزه‌ها و طرحواره‌های ناسازگار اولیه در مدل یانگ" \f T \l 1</w:instrText>
      </w:r>
      <w:r>
        <w:rPr>
          <w:vanish/>
          <w:rFonts w:ascii="B Nazanin" w:hAnsi="B Nazanin"/>
        </w:rPr>
        <w:fldChar w:fldCharType="end"/>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یادآوری می‌شود که جدول ۲-۱ سطح نظری مدل (هجده طرحواره) را نشان می‌دهد و مبنای سنجش در پژوهش حاضر، فرم کوتاه با ۱۵ خرده‌مقیاس است که در ادامه همین بخش معرفی می‌شود.</w:t>
      </w:r>
    </w:p>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فرم کوتاه (یانگ، ۱۹۹۸) دارای ۷۵ گویه و ۱۵ خرده‌مقیاس است و به ازای هر طرحواره ۵ گویه را در بر می‌گیرد؛ به‌بیان دیگر، مدل نظری یانگ هجده‌طرحواره‌ای است، اما ابزار مورد استفاده در پژوهش حاضر ۱۵ طرحواره را می‌سنجد و سه طرحواره تأییدطلبی/جلب توجه، منفی‌گرایی/بدبینی و تنبیه‌گری مدل نظری را پوشش نمی‌دهد.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در یک نمونه غیربالینی بررسی و گزارش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outlineLvl w:val="2"/>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 پیروی جمعی افزون بر خطاهای فردی، با ایجاد بازخوردهای مثبت کاذب در سطح کلان، زمینه‌ساز شکل‌گیری حباب‌های قیمتی و نوسانات غیرعادی بازار می‌گردد.</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کنار این شواهد، سه محدودیت تحلیلی درخور توجه است. نخست، بیشتر این یافته‌ها از بازارهای توسعه‌یافته به دست آمده‌اند و سنجش مستقیم این ابعاد در نمونه‌های معامله‌گر ایرانی اندک است. دوم، شاخص‌های رفتاری رایج — مانند حجم معاملات یا تمرکز سبد — پیامد را می‌سنجند، نه انگیزه را؛ از این رو استنتاج سوگیری از روی پیامد، همواره با ابهام تفسیری همراه است. سوم، این ابعاد عمدتاً به‌طور مجزا بررسی شده‌اند و الگوی هم‌نشینی آن‌ها در قالب یک سازه واحد کمتر آزمون شده است. همین محدودیت‌ها، استفاده از یک شاخص روان‌سنجانه یکپارچه (تحمل ریسک مالی) را در پژوهش حاضر توجیه می‌کند و ضرورت آزمون سازوکارهای زیربنایی — مانند مدل میانجی‌گری بخش بعد — را برجسته می‌سازد.</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به‌طور خاص، نظریه بنیادین و قدرتمند «فرضیه بازار کارا» قرار داشت. این فرضیه که به‌عنوان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به‌طور کامل و بدون هیچ‌گونه سوگیری یا تأخیر شناختی، توسط همه فعالان بازار دریافت و در قیمت دارایی‌ها منعکس می‌شود. و سوم، به‌عنوان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 این تمایل به همراهی با جمع، با رفتار گله‌ای پیوند نزدیکی دارد.</w:t>
      </w:r>
    </w:p>
    <w:p>
      <w:pPr>
        <w:pStyle w:val="Heading4"/>
        <w:bidi w:val="1"/>
        <w:jc w:val="right"/>
        <w:outlineLvl w:val="2"/>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 با این حال، یک تفکیک مفهومی ضروری است: تحمل ریسک یک نگرش روان‌شناختی است و رفتار پرخطر یک عمل عینی؛ در پژوهش حاضر، نمره تحمل ریسک مالی به‌عنوان شاخص عملیاتی متغیر وابسته به کار می‌رود و رفتارهای معاملاتی عینی، مانند معامله‌گری بیش از حد یا اثر گرایش، در سطح نظری و پیشینه تبیین می‌شوند، نه در سطح سنجش مستقیم.</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outlineLvl w:val="2"/>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استعداد-استرس»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مسأله اصلی، اساسی و نوآورانه این تحقیق، فراتر از توصیف روابط ساده، تبیین دقیق و آزمون تجربی نقش میانجی‌گر طرحواره‌های ناسازگار اولیه در مسیر اثر مفروض از اضطراب صفتی به رفتارهای مالی پرخطر است.</w:t>
      </w:r>
    </w:p>
    <w:p>
      <w:pPr>
        <w:pStyle w:val="Heading4"/>
        <w:bidi w:val="1"/>
        <w:jc w:val="right"/>
        <w:outlineLvl w:val="2"/>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تحلیل مسیر و مدل‌سازی میانجی‌گری،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outlineLvl w:val="1"/>
      </w:pPr>
      <w:r>
        <w:rPr>
          <w:rFonts w:ascii="B Nazanin" w:hAnsi="B Nazanin" w:cs="B Nazanin" w:hint="cs"/>
          <w:b/>
          <w:bCs/>
          <w:sz w:val="28"/>
          <w:szCs w:val="28"/>
          <w:rtl/>
          <w:lang w:bidi="fa-IR"/>
        </w:rPr>
        <w:t xml:space="preserve">۲-۳. پیشینه پژوهشی</w:t>
      </w:r>
    </w:p>
    <w:p>
      <w:pPr>
        <w:pStyle w:val="Heading3"/>
        <w:bidi w:val="1"/>
        <w:jc w:val="right"/>
        <w:outlineLvl w:val="2"/>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 (۱۳۹۹) در پژوهشی با عنوان «بررسی نقش منابع اطلاعاتی بر رابطه میان ویژگی‌های شخصیتی و رفتار معاملاتی سرمایه‌گذاران حقیقی در بورس اوراق بهادار تهران»، به‌طور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به‌ویژه روان‌رنجورخویی، با الگوهای رفتار معاملاتی افراد رابطه معنادار دارد. این پژوهش از این جهت برای تحقیق حاضر اهمیت دارد که یک شاهد تجربی ارزشمند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 (۱۳۹۸) 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به‌عنوان یک پدیده روان‌شناختی در بازار سرمایه ایران بود. پژوهش آن‌ها از نوع توصیفی-پیمایشی بود و داده‌ها از طریق پرسشنامه و با استفاده از مدل‌سازی معادلات ساختاری تحلیل شدند. یافته‌های کلیدی این مطالعه نشان داد که ویژگی‌های فردی و سطح ریسک‌پذیری سرمایه‌گذاران، به‌طور معناداری بر احتمال بروز رفتار گله‌ای تأثیر می‌گذارند. این یافته برای پژوهش حاضر بسیار ارزشمند است، زیرا به صورت تجربی نشان می‌دهد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 (۱۳۹۸) 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 (۱۳۹۷) 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به‌طور معناداری ضعیف‌تر بود. به عبارت دیگر، دانش مالی به‌عنوان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 (۱۳۹۶) 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به‌طور مشخص، طرحواره‌های حوزه «بریدگی و طرد» (مانند نقص/شرم و انزوای اجتماعی) و حوزه «آسیب‌دیدگی در خودمختاری و عملکرد» (مانند وابستگی/بی‌کفایتی)، قوی‌ترین همبستگی را با اضطراب اجتماعی داشتند. اگرچه این پژوهش به‌طور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کدیور و فرزاد (۱۳۹۲) 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به‌طور خاص، پیش‌بینی‌کننده‌های قدرتمندی برای گرایش به اعتیاد هستند: اول، حوزه «محدودیت‌های مختل» (به‌ویژه طرحواره خویشتن‌داری ناکافی)، و دوم، حوزه «بریدگی و طرد» (به‌ویژه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با نشان دادن پیوند میان طرحواره‌ها و یک رفتار تکانشی و اعتیادگونه در یک نمونه ایرانی، با این منطق همسوست که همین سازوکار شناختی می‌تواند زیربنای رفتارهای مالی پرخطر نیز باشد.</w:t>
      </w:r>
    </w:p>
    <w:p>
      <w:pPr>
        <w:pStyle w:val="Heading3"/>
        <w:bidi w:val="1"/>
        <w:jc w:val="right"/>
        <w:outlineLvl w:val="2"/>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با رفتار معامله‌گر پیوند دارد.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به‌عنوان یک سپر محافظ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در سطح معناداری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شاهدی مهم برای مکانیسم مفروض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بررسی تجربی اثر مداخلات شناختی بر تحمل ریسک مالی برای پژوهش حاضر اهمیت دارد؛ هرچند تعمیم یافته‌های آن به جامعه معامله‌گران ایرانی نیازمند احتیاط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با گرایش به رفتارهای پرخطر پیوند دارند.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به‌عنوان یک حالت هیجانی و هم به‌عنوان یک ویژگی شخصیتی) با تحمل ریسک مالی و سوگیری‌های شناختی رایج بود. یافته‌های کلیدی این پژوهش نشان داد که اضطراب، به‌عنوان یک ویژگی شخصیتی، با کاهش تحمل ریسک مالی و همچنین افزایش احتمال بروز سوگیری اثر گرایش مرتبط است. این مطالعه، یک شاهد تجربی مستقیم و به‌روز است که با دو مسیر مهم در مدل مفهومی پژوهش همسوست: اول، ارتباط مستقیم بین متغیر پیش‌بین (اضطراب) و متغیر ملاک (تحمل ریسک)، و دوم، پیوند اضطراب با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 (۲۰۲۱) در پژوهشی روی سرمایه‌گذاران چینی، به‌طور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با تصمیم‌گیری مالی پیوند دارد،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آسیب‌دیدگی در خودمختاری و عملکرد) در پیوند میان تجارب ناگوار و رفتارهای تکانشگرانه و پرخطر نقش معناداری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 در مطالعه‌ای با عنوان «ویژگی‌های شخصیتی و تحلیل پروفایل سرمایه‌گذار: یک مطالعه مالی رفتاری»، به‌طور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مستقیم برای مسیر اصلی پژوهش حاضر است، زیرا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مدل‌سازی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قوی برای مسیر اول مدل میانجی‌گری پژوهش (اضطراب ← طرحواره) است و نشان می‌دهد که تمایلات اضطرابی با شکل‌گیری و تداوم باورهای شناختی منفی پیوند دارند.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به‌طور معناداری بالاتری در بسیاری از طرحواره‌ها، به‌ویژه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(۲۰۰۹) در پژوهشی، «ارتباط میان طرحواره‌های ناسازگار اولیه و ویژگی‌های خلقی و منشی» را در نمونه‌ای از افراد افسرده و بهبودیافته از افسردگی بررسی کردند. یافته کلیدی این مطالعه، همبستگی معنادار میان شدت طرحواره‌های ناسازگار اولیه و ویژگی‌های خلقی بود. این یافته، یک شاهد تجربی دیگر است که نشان می‌دهد ویژگی‌های خلقی پایدار با باورهای شناختی منفی پیوند تنگاتنگی دارند و با مسیر اول مدل پژوهش حاضر (اضطراب ← طرحواره) سازگار است.</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به‌ویژه در دوره‌هایی که بازار با استرس و نوسانات بالا مواجه است، به‌طور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13"/>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به‌طور متوسط کمترین بازده را کسب می‌کنند. این پژوهش، تعریف بعد «معامله‌گری بیش از حد» را به‌عنوان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(به‌ویژه زیان‌گریزی) و همچنین «اجتناب از حسرت» دارد. این مقاله، تعریف یکی از مهم‌ترین ابعاد متغیر ملاک پژوهش را پایه‌گذاری کرد.</w:t>
      </w:r>
    </w:p>
    <w:p>
      <w:pPr>
        <w:pStyle w:val="Heading3"/>
        <w:bidi w:val="1"/>
        <w:jc w:val="right"/>
        <w:outlineLvl w:val="2"/>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گله‌ای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outlineLvl w:val="1"/>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pPr>
      <w:r>
        <w:rPr>
          <w:vanish/>
          <w:rFonts w:ascii="B Nazanin" w:hAnsi="B Nazanin"/>
        </w:rPr>
        <w:fldChar w:fldCharType="begin"/>
      </w:r>
      <w:r>
        <w:rPr>
          <w:vanish/>
          <w:rFonts w:ascii="B Nazanin" w:hAnsi="B Nazanin"/>
        </w:rPr>
        <w:instrText>TC "شکل ۲-۱. مدل مفهومی پژوهش" \f F \l 1</w:instrText>
      </w:r>
      <w:r>
        <w:rPr>
          <w:vanish/>
          <w:rFonts w:ascii="B Nazanin" w:hAnsi="B Nazanin"/>
        </w:rPr>
        <w:fldChar w:fldCharType="end"/>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به‌بیان دیگر، در این مدل اثر اضطراب صفتی از دو مسیر به رفتارهای مالی پرخطر می‌رسد: مسیر مستقیم، و مسیر غیرمستقیمی که از طرحواره‌های ناسازگار اولیه</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می‌گذرد.</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480" w:after="180"/>
        <w:jc w:val="center"/>
        <w:outlineLvl w:val="0"/>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outlineLvl w:val="1"/>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w:t>
      </w:r>
    </w:p>
    <w:p>
      <w:pPr>
        <w:pStyle w:val="Heading2"/>
        <w:bidi w:val="1"/>
        <w:jc w:val="right"/>
        <w:outlineLvl w:val="1"/>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outlineLvl w:val="1"/>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outlineLvl w:val="2"/>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outlineLvl w:val="2"/>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2"/>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خواهد شد.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می‌شود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outlineLvl w:val="2"/>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4"/>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outlineLvl w:val="2"/>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outlineLvl w:val="1"/>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outlineLvl w:val="2"/>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5"/>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 کلید نمره‌گذاری اعمال‌شده بر این فرم، بر اساس تطبیق گزینه‌های فرم اجراشده و تصمیم پژوهشگر ثبت شده است و منبع اولیه نسخه فارسی (بشارت و همکاران، ۱۳۹۵)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نمره کل فرم کوتاه (مجموع نمرات ۷۵ گویه) شاخص متغیر میانجی در مدل اصلی پژوهش است؛ تحلیل خرده‌مقیاس‌ها و حوزه‌ها، در صورت دسترسی به کلید معتبر، جداگانه و صرفاً به‌عنوان تحلیل تکمیلی انجام می‌شود. در صورت پیاده‌سازی نسخه آنلاین مطابق همین جهت نمره‌گذاری (۱ = کاملاً در مورد من غلط است تا ۶ = کاملاً مرا توصیف می‌کند)، نیازی به وارونه‌سازی نمرات در مرحله کدگذاری وجود نخواهد داشت؛ تأیید نهایی جهت گزینه‌ها با نسخه یوسفی (۱۳۹۶) پیش از انتشار بر عهده پژوهشگر است.</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outlineLvl w:val="2"/>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3"/>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(مبنای پروپوزال)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 به‌عبارت دیگر، «رفتارهای مالی پرخطر» عنوان مصوب متغیر وابسته است، اما ابزار سنجش آن در این پژوهش، تحمل ریسک مالی است و جلوه‌های رفتاری توصیف‌شده در فصل دوم (مانند معامله‌گری بیش از حد یا اثر گرایش) را مستقیماً اندازه نمی‌گیرد.</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 کلید نمره‌گذاری اعمال‌شده بر این مقیاس، بر اساس تطبیق گزینه‌های فرم اجراشده و تصمیم پژوهشگر ثبت شده است و منبع اولیه نسخه فارسی (طالبی و همکاران، ۱۳۹۸) مستقلاً راستی‌آزمایی نشده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p>
      <w:pPr>
        <w:bidi/>
      </w:pPr>
      <w:r>
        <w:rPr>
          <w:vanish/>
          <w:rFonts w:ascii="B Nazanin" w:hAnsi="B Nazanin"/>
        </w:rPr>
        <w:fldChar w:fldCharType="begin"/>
      </w:r>
      <w:r>
        <w:rPr>
          <w:vanish/>
          <w:rFonts w:ascii="B Nazanin" w:hAnsi="B Nazanin"/>
        </w:rPr>
        <w:instrText>TC "جدول ۳-۱. خلاصه ابزارهای پژوهش" \f T \l 1</w:instrText>
      </w:r>
      <w:r>
        <w:rPr>
          <w:vanish/>
          <w:rFonts w:ascii="B Nazanin" w:hAnsi="B Nazanin"/>
        </w:rPr>
        <w:fldChar w:fldCharType="end"/>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 (مبنای پروپوزال)</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outlineLvl w:val="1"/>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برای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می‌شوند تا از ثبت داده ناقص جلوگیری شود، نوار پیشرفت برای شرکت‌کنندگان فعال می‌شود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می‌شود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outlineLvl w:val="1"/>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(مبنای پروپوزال)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علاوه بر نرمال‌بودن تک‌متغیره، نرمال‌بودن چندمتغیره</w:t>
      </w:r>
      <w:r>
        <w:rPr>
          <w:rFonts w:ascii="B Nazanin" w:hAnsi="B Nazanin" w:cs="B Nazanin" w:hint="cs"/>
          <w:vertAlign w:val="superscript"/>
          <w:rtl/>
        </w:rPr>
        <w:footnoteReference w:id="45"/>
      </w:r>
      <w:r>
        <w:rPr>
          <w:rFonts w:ascii="B Nazanin" w:hAnsi="B Nazanin" w:cs="B Nazanin" w:hint="cs"/>
          <w:sz w:val="24"/>
          <w:szCs w:val="24"/>
          <w:rtl/>
          <w:lang w:bidi="fa-IR"/>
        </w:rPr>
        <w:t xml:space="preserve"> نیز به‌عنوان پیش‌فرض کلیدی تحلیل چندمتغیری برنامه‌ریزی‌شده بررسی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در همین راستا، در صورت اجرای تحلیل چندمتغیری، داده‌های پرت چندمتغیره با فاصله ماهالانوبیس</w:t>
      </w:r>
      <w:r>
        <w:rPr>
          <w:rFonts w:ascii="B Nazanin" w:hAnsi="B Nazanin" w:cs="B Nazanin" w:hint="cs"/>
          <w:vertAlign w:val="superscript"/>
          <w:rtl/>
        </w:rPr>
        <w:footnoteReference w:id="46"/>
      </w:r>
      <w:r>
        <w:rPr>
          <w:rFonts w:ascii="B Nazanin" w:hAnsi="B Nazanin" w:cs="B Nazanin" w:hint="cs"/>
          <w:sz w:val="24"/>
          <w:szCs w:val="24"/>
          <w:rtl/>
          <w:lang w:bidi="fa-IR"/>
        </w:rPr>
        <w:t xml:space="preserve"> به‌عنوان معیار استاندارد شناسایی خواهند شد و مقادیر آن با سطح معناداری ۰٫۰۰۱ ارزیابی خواهد شد (کلاین، ۲۰۱۶)؛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در مدل اصلی پژوهش، با توجه به حجم نمونه، ماهیت میانجی‌گری ساده و ضرورت پرهیز از افزایش بیش از حد پارامترها، نمره کل طرحواره‌های ناسازگار اولیه به‌عنوان شاخص متغیر میانجی وارد مدل خواهد شد. تحلیل نمرات حوزه‌های پنج‌گانه تنها در صورت دسترسی به کلید معتبر نمره‌گذاری و کفایت داده‌ها می‌تواند به‌عنوان تحلیل تکمیلی و اکتشافی بررسی شود؛ اما مبنای آزمون فرضیه اصلی، نمره کل میانجی خواهد بود. در مدل اصلی، نمره‌های محاسبه‌شده بر اساس راهنمای معتبر ابزارها به‌عنوان متغیرهای مشاهده‌شده وارد تحلیل مسیر خواهند شد؛ ازاین‌رو مدل اصلی از نوع تحلیل مسیر با متغیرهای مشاهده‌شده است و مدل اندازه‌گیری جداگانه‌ای در آن تعریف نمی‌شود. اگر مدل سه‌متغیره شامل تمام مسیرهای مستقیم و غیرمستقیم آزاد باشد، مدل اشباع خواهد بود (درجه آزادی صفر)؛ ازاین‌رو شاخص‌های برازش آن مبنای تأیید ساختار نظری قرار نمی‌گیرند (کلاین، ۲۰۱۶). ارزیابی فرضیه میانجی‌گری بر برآورد مسیرها و فاصله اطمینان اثر غیرمستقیم متکی خواهد بود.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در صورت اجرای مدل اصلی در</w:t>
      </w:r>
      <w:r>
        <w:rPr>
          <w:rFonts w:ascii="Times New Roman" w:hAnsi="Times New Roman" w:cs="Times New Roman"/>
          <w:sz w:val="22"/>
          <w:szCs w:val="22"/>
          <w:lang w:val="en-US"/>
        </w:rPr>
        <w:t xml:space="preserve"> Amos</w:t>
      </w:r>
      <w:r>
        <w:rPr>
          <w:rFonts w:ascii="B Nazanin" w:hAnsi="B Nazanin" w:cs="B Nazanin" w:hint="cs"/>
          <w:sz w:val="24"/>
          <w:szCs w:val="24"/>
          <w:rtl/>
          <w:lang w:bidi="fa-IR"/>
        </w:rPr>
        <w:t xml:space="preserve">، روش برآورد پارامترها، روش درست‌نمایی بیشینه</w:t>
      </w:r>
      <w:r>
        <w:rPr>
          <w:rFonts w:ascii="B Nazanin" w:hAnsi="B Nazanin" w:cs="B Nazanin" w:hint="cs"/>
          <w:vertAlign w:val="superscript"/>
          <w:rtl/>
        </w:rPr>
        <w:footnoteReference w:id="47"/>
      </w:r>
      <w:r>
        <w:rPr>
          <w:rFonts w:ascii="B Nazanin" w:hAnsi="B Nazanin" w:cs="B Nazanin" w:hint="cs"/>
          <w:sz w:val="24"/>
          <w:szCs w:val="24"/>
          <w:rtl/>
          <w:lang w:bidi="fa-IR"/>
        </w:rPr>
        <w:t xml:space="preserve"> خواهد بود. برازش مدل با شاخص‌های نسبت کای‌دو به درجه آزادی</w:t>
      </w:r>
      <w:r>
        <w:rPr>
          <w:rFonts w:ascii="Times New Roman" w:hAnsi="Times New Roman" w:cs="Times New Roman"/>
          <w:sz w:val="22"/>
          <w:szCs w:val="22"/>
          <w:lang w:val="en-US"/>
        </w:rPr>
        <w:t xml:space="preserve"> (χ²/df </w:t>
      </w:r>
      <w:r>
        <w:rPr>
          <w:rFonts w:ascii="B Nazanin" w:hAnsi="B Nazanin" w:cs="B Nazanin" w:hint="cs"/>
          <w:sz w:val="24"/>
          <w:szCs w:val="24"/>
          <w:rtl/>
          <w:lang w:bidi="fa-IR"/>
        </w:rPr>
        <w:t xml:space="preserve">کمتر از ۳)، شاخص برازش تطبیقی</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بزرگ‌تر از ۰٫۹۰)، شاخص تاکر-لویس</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بزرگ‌تر از ۰٫۹۰)، ریشه میانگین مربعات خطای برآورد</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کمتر از ۰٫۰۸) و ریشه میانگین مربعات باقیمانده استانداردشده</w:t>
      </w:r>
      <w:r>
        <w:rPr>
          <w:rFonts w:ascii="Times New Roman" w:hAnsi="Times New Roman" w:cs="Times New Roman"/>
          <w:sz w:val="22"/>
          <w:szCs w:val="22"/>
          <w:lang w:val="en-US"/>
        </w:rPr>
        <w:t xml:space="preserve"> (SRMR </w:t>
      </w:r>
      <w:r>
        <w:rPr>
          <w:rFonts w:ascii="B Nazanin" w:hAnsi="B Nazanin" w:cs="B Nazanin" w:hint="cs"/>
          <w:sz w:val="24"/>
          <w:szCs w:val="24"/>
          <w:rtl/>
          <w:lang w:bidi="fa-IR"/>
        </w:rPr>
        <w:t xml:space="preserve">کمتر از ۰٫۰۸) ارزیابی می‌شود (کلاین، ۲۰۱۶). این آستانه‌ها تنها برای مدل‌هایی با درجه آزادی مثبت و مشخصات از پیش تعیین‌شده کاربرد دارند.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و پس از مشاهده نتایج تحلیل تغییر نمی‌کند؛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outlineLvl w:val="1"/>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outlineLvl w:val="1"/>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 طرحواره‌های ناسازگار اولیه است. بر این اساس چهار فرضیه تدوین شد: سه فرضیه فرعی روابط دوتایی متغیرها را می‌آزمایند و فرضیه اصلی الگوی میانجی‌گری را. فرضیه اول (اصلی) بیان می‌کند که طرحواره‌های ناسازگار اولیه رابطه میان اضطراب صفتی و رفتارهای مالی پرخطر را میانجی‌گری می‌کند؛ فرضیه دوم از رابطه مثبت معنادار میان اضطراب صفتی و رفتارهای مالی پرخطر حکایت دارد؛ فرضیه سوم رابطه مثبت معنادار میان اضطراب صفتی و طرحواره‌های ناسازگار اولیه را پیش‌بینی می‌کند؛ و فرضیه چهارم نیز رابطه مثبت معنادار میان طرحواره‌های ناسازگار اولیه و رفتارهای مالی پرخطر را مطرح می‌سازد.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تعیین‌شده؛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شامل شکل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شماره ۴ هایز همراه با خودگردان‌سازی ۵۰۰۰ نمونه‌ای. به‌منظور بررسی همگرایی، الگوی مسیر با متغیرهای مشاهده‌شده و برآورد درست‌نمایی بیشینه نیز برازش داده شد.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تحلیل مسیر با متغیرهای مشاهده‌شده و بخش ۴-۱۰ جمع‌بندی نتایج را پوشش می‌دهند.</w:t>
      </w:r>
    </w:p>
    <w:p>
      <w:pPr>
        <w:pStyle w:val="Heading2"/>
        <w:bidi w:val="1"/>
        <w:jc w:val="right"/>
        <w:outlineLvl w:val="1"/>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پرسشنامه آنلاین در مجموع ۲۴۳ پاسخ خام دریافت کرد. غربالگری در شش مرحله سلسله‌مراتبی و به‌ترتیب اجرا شد، به این معنا که هر پاسخ‌دهنده تنها در نخستین مرحله‌ای که واجد شرط حذف بود شمرده شد. در مرحله اول، ۸ پاسخ به دلیل نبود رضایت آگاهانه معتبر کنار گذاشته شد. در مرحله دوم، ۱۰ پاسخ که دست‌کم یکی از سه شرط ورود (سن ۱۸ سال و بالاتر، معامله‌گر واقعی بودن با سرمایه شخصی، و دست‌کم ۶ ماه سابقه معامله‌گری واقعی) را نداشتند حذف شدند؛ با پایان یافتن فرم در همان مرحله، این پاسخ‌ها فاقد داده ابزارها بودند. در مرحله سوم، ۱۷ پاسخ که بیش از ۳۰ درصد گویه‌های ابزارها را بی‌پاسخ گذاشته بودند (رهاشدگی فرم، عمدتاً در میانه فرم بلند یانگ) حذف شدند. در مرحله چهارم، ۱۱ پاسخ با الگوی ثابت پاسخ‌گویی (واریانس صفر در سراسر گویه‌ها) کنار رفتند. در مرحله پنجم، ۹ پاسخ با زمان تکمیل نامتعارف کوتاه (کمتر از ۱۲۰ ثانیه برای ۱۰۸ گویه؛ بازه مشاهده‌شده ۴۶ تا ۱۰۹ ثانیه) حذف شدند. در مرحله ششم، ۳ پاسخ تکراری با بردار پاسخ یکسان شناسایی و نسخه‌های دوم به بعد آن‌ها کنار گذاشته شد. جدول ۴-۱ روند غربالگری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و ریزش پاسخ‌ها</w:t>
      </w:r>
    </w:p>
    <w:p>
      <w:pPr>
        <w:bidi/>
      </w:pPr>
      <w:r>
        <w:rPr>
          <w:vanish/>
          <w:rFonts w:ascii="B Nazanin" w:hAnsi="B Nazanin"/>
        </w:rPr>
        <w:fldChar w:fldCharType="begin"/>
      </w:r>
      <w:r>
        <w:rPr>
          <w:vanish/>
          <w:rFonts w:ascii="B Nazanin" w:hAnsi="B Nazanin"/>
        </w:rPr>
        <w:instrText>TC "جدول ۴-۱. روند غربالگری و ریزش پاسخ‌ها"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مرحله</w:t>
            </w:r>
          </w:p>
        </w:tc>
        <w:tc>
          <w:tcPr>
            <w:tcW w:type="dxa" w:w="2740"/>
            <w:tcBorders>
              <w:bottom w:val="single" w:sz="12" w:space="0" w:color="000000"/>
            </w:tcBorders>
          </w:tcPr>
          <w:p>
            <w:pPr>
              <w:bidi w:val="1"/>
              <w:jc w:val="center"/>
            </w:pPr>
            <w:r/>
            <w:r>
              <w:rPr>
                <w:rFonts w:ascii="Cambria" w:hAnsi="Cambria" w:cs="Cambria"/>
                <w:b/>
                <w:sz w:val="22"/>
              </w:rPr>
              <w:t>تعداد حذف‌شده</w:t>
            </w:r>
          </w:p>
        </w:tc>
        <w:tc>
          <w:tcPr>
            <w:tcW w:type="dxa" w:w="2740"/>
            <w:tcBorders>
              <w:bottom w:val="single" w:sz="12" w:space="0" w:color="000000"/>
            </w:tcBorders>
          </w:tcPr>
          <w:p>
            <w:pPr>
              <w:bidi w:val="1"/>
              <w:jc w:val="center"/>
            </w:pPr>
            <w:r/>
            <w:r>
              <w:rPr>
                <w:rFonts w:ascii="Cambria" w:hAnsi="Cambria" w:cs="Cambria"/>
                <w:b/>
                <w:sz w:val="22"/>
              </w:rPr>
              <w:t>باقی‌مانده</w:t>
            </w:r>
          </w:p>
        </w:tc>
      </w:tr>
      <w:tr>
        <w:tc>
          <w:tcPr>
            <w:tcW w:type="dxa" w:w="2740"/>
          </w:tcPr>
          <w:p>
            <w:pPr>
              <w:bidi w:val="1"/>
              <w:jc w:val="center"/>
            </w:pPr>
            <w:r/>
            <w:r>
              <w:rPr>
                <w:rFonts w:ascii="Cambria" w:hAnsi="Cambria" w:cs="Cambria"/>
                <w:b w:val="0"/>
                <w:sz w:val="22"/>
              </w:rPr>
              <w:t>خام اولیه</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۲۴۳</w:t>
            </w:r>
          </w:p>
        </w:tc>
      </w:tr>
      <w:tr>
        <w:tc>
          <w:tcPr>
            <w:tcW w:type="dxa" w:w="2740"/>
          </w:tcPr>
          <w:p>
            <w:pPr>
              <w:bidi w:val="1"/>
              <w:jc w:val="center"/>
            </w:pPr>
            <w:r/>
            <w:r>
              <w:rPr>
                <w:rFonts w:ascii="Cambria" w:hAnsi="Cambria" w:cs="Cambria"/>
                <w:b w:val="0"/>
                <w:sz w:val="22"/>
              </w:rPr>
              <w:t>رضایت آگاهانه (بدون رضایت)</w:t>
            </w:r>
          </w:p>
        </w:tc>
        <w:tc>
          <w:tcPr>
            <w:tcW w:type="dxa" w:w="2740"/>
          </w:tcPr>
          <w:p>
            <w:pPr>
              <w:bidi w:val="1"/>
              <w:jc w:val="center"/>
            </w:pPr>
            <w:r/>
            <w:r>
              <w:rPr>
                <w:rFonts w:ascii="Cambria" w:hAnsi="Cambria" w:cs="Cambria"/>
                <w:b w:val="0"/>
                <w:sz w:val="22"/>
              </w:rPr>
              <w:t>۸</w:t>
            </w:r>
          </w:p>
        </w:tc>
        <w:tc>
          <w:tcPr>
            <w:tcW w:type="dxa" w:w="2740"/>
          </w:tcPr>
          <w:p>
            <w:pPr>
              <w:bidi w:val="1"/>
              <w:jc w:val="center"/>
            </w:pPr>
            <w:r/>
            <w:r>
              <w:rPr>
                <w:rFonts w:ascii="Cambria" w:hAnsi="Cambria" w:cs="Cambria"/>
                <w:b w:val="0"/>
                <w:sz w:val="22"/>
              </w:rPr>
              <w:t>۲۳۵</w:t>
            </w:r>
          </w:p>
        </w:tc>
      </w:tr>
      <w:tr>
        <w:tc>
          <w:tcPr>
            <w:tcW w:type="dxa" w:w="2740"/>
          </w:tcPr>
          <w:p>
            <w:pPr>
              <w:bidi w:val="1"/>
              <w:jc w:val="center"/>
            </w:pPr>
            <w:r/>
            <w:r>
              <w:rPr>
                <w:rFonts w:ascii="Cambria" w:hAnsi="Cambria" w:cs="Cambria"/>
                <w:b w:val="0"/>
                <w:sz w:val="22"/>
              </w:rPr>
              <w:t>غربالگری ورود (سن/معامله‌گر واقعی/سابقه)</w:t>
            </w:r>
          </w:p>
        </w:tc>
        <w:tc>
          <w:tcPr>
            <w:tcW w:type="dxa" w:w="2740"/>
          </w:tcPr>
          <w:p>
            <w:pPr>
              <w:bidi w:val="1"/>
              <w:jc w:val="center"/>
            </w:pPr>
            <w:r/>
            <w:r>
              <w:rPr>
                <w:rFonts w:ascii="Cambria" w:hAnsi="Cambria" w:cs="Cambria"/>
                <w:b w:val="0"/>
                <w:sz w:val="22"/>
              </w:rPr>
              <w:t>۱۰</w:t>
            </w:r>
          </w:p>
        </w:tc>
        <w:tc>
          <w:tcPr>
            <w:tcW w:type="dxa" w:w="2740"/>
          </w:tcPr>
          <w:p>
            <w:pPr>
              <w:bidi w:val="1"/>
              <w:jc w:val="center"/>
            </w:pPr>
            <w:r/>
            <w:r>
              <w:rPr>
                <w:rFonts w:ascii="Cambria" w:hAnsi="Cambria" w:cs="Cambria"/>
                <w:b w:val="0"/>
                <w:sz w:val="22"/>
              </w:rPr>
              <w:t>۲۲۵</w:t>
            </w:r>
          </w:p>
        </w:tc>
      </w:tr>
      <w:tr>
        <w:tc>
          <w:tcPr>
            <w:tcW w:type="dxa" w:w="2740"/>
          </w:tcPr>
          <w:p>
            <w:pPr>
              <w:bidi w:val="1"/>
              <w:jc w:val="center"/>
            </w:pPr>
            <w:r/>
            <w:r>
              <w:rPr>
                <w:rFonts w:ascii="Cambria" w:hAnsi="Cambria" w:cs="Cambria"/>
                <w:b w:val="0"/>
                <w:sz w:val="22"/>
              </w:rPr>
              <w:t>ناقص‌بودن (بیش از ۳۰٪ بی‌پاسخ)</w:t>
            </w:r>
          </w:p>
        </w:tc>
        <w:tc>
          <w:tcPr>
            <w:tcW w:type="dxa" w:w="2740"/>
          </w:tcPr>
          <w:p>
            <w:pPr>
              <w:bidi w:val="1"/>
              <w:jc w:val="center"/>
            </w:pPr>
            <w:r/>
            <w:r>
              <w:rPr>
                <w:rFonts w:ascii="Cambria" w:hAnsi="Cambria" w:cs="Cambria"/>
                <w:b w:val="0"/>
                <w:sz w:val="22"/>
              </w:rPr>
              <w:t>۱۷</w:t>
            </w:r>
          </w:p>
        </w:tc>
        <w:tc>
          <w:tcPr>
            <w:tcW w:type="dxa" w:w="2740"/>
          </w:tcPr>
          <w:p>
            <w:pPr>
              <w:bidi w:val="1"/>
              <w:jc w:val="center"/>
            </w:pPr>
            <w:r/>
            <w:r>
              <w:rPr>
                <w:rFonts w:ascii="Cambria" w:hAnsi="Cambria" w:cs="Cambria"/>
                <w:b w:val="0"/>
                <w:sz w:val="22"/>
              </w:rPr>
              <w:t>۲۰۸</w:t>
            </w:r>
          </w:p>
        </w:tc>
      </w:tr>
      <w:tr>
        <w:tc>
          <w:tcPr>
            <w:tcW w:type="dxa" w:w="2740"/>
          </w:tcPr>
          <w:p>
            <w:pPr>
              <w:bidi w:val="1"/>
              <w:jc w:val="center"/>
            </w:pPr>
            <w:r/>
            <w:r>
              <w:rPr>
                <w:rFonts w:ascii="Cambria" w:hAnsi="Cambria" w:cs="Cambria"/>
                <w:b w:val="0"/>
                <w:sz w:val="22"/>
              </w:rPr>
              <w:t>الگوی ثابت پاسخ (واریانس صفر)</w:t>
            </w:r>
          </w:p>
        </w:tc>
        <w:tc>
          <w:tcPr>
            <w:tcW w:type="dxa" w:w="2740"/>
          </w:tcPr>
          <w:p>
            <w:pPr>
              <w:bidi w:val="1"/>
              <w:jc w:val="center"/>
            </w:pPr>
            <w:r/>
            <w:r>
              <w:rPr>
                <w:rFonts w:ascii="Cambria" w:hAnsi="Cambria" w:cs="Cambria"/>
                <w:b w:val="0"/>
                <w:sz w:val="22"/>
              </w:rPr>
              <w:t>۱۱</w:t>
            </w:r>
          </w:p>
        </w:tc>
        <w:tc>
          <w:tcPr>
            <w:tcW w:type="dxa" w:w="2740"/>
          </w:tcPr>
          <w:p>
            <w:pPr>
              <w:bidi w:val="1"/>
              <w:jc w:val="center"/>
            </w:pPr>
            <w:r/>
            <w:r>
              <w:rPr>
                <w:rFonts w:ascii="Cambria" w:hAnsi="Cambria" w:cs="Cambria"/>
                <w:b w:val="0"/>
                <w:sz w:val="22"/>
              </w:rPr>
              <w:t>۱۹۷</w:t>
            </w:r>
          </w:p>
        </w:tc>
      </w:tr>
      <w:tr>
        <w:tc>
          <w:tcPr>
            <w:tcW w:type="dxa" w:w="2740"/>
          </w:tcPr>
          <w:p>
            <w:pPr>
              <w:bidi w:val="1"/>
              <w:jc w:val="center"/>
            </w:pPr>
            <w:r/>
            <w:r>
              <w:rPr>
                <w:rFonts w:ascii="Cambria" w:hAnsi="Cambria" w:cs="Cambria"/>
                <w:b w:val="0"/>
                <w:sz w:val="22"/>
              </w:rPr>
              <w:t>زمان نامتعارف کوتاه (کمتر از ۱۲۰ ثانیه)</w:t>
            </w:r>
          </w:p>
        </w:tc>
        <w:tc>
          <w:tcPr>
            <w:tcW w:type="dxa" w:w="2740"/>
          </w:tcPr>
          <w:p>
            <w:pPr>
              <w:bidi w:val="1"/>
              <w:jc w:val="center"/>
            </w:pPr>
            <w:r/>
            <w:r>
              <w:rPr>
                <w:rFonts w:ascii="Cambria" w:hAnsi="Cambria" w:cs="Cambria"/>
                <w:b w:val="0"/>
                <w:sz w:val="22"/>
              </w:rPr>
              <w:t>۹</w:t>
            </w:r>
          </w:p>
        </w:tc>
        <w:tc>
          <w:tcPr>
            <w:tcW w:type="dxa" w:w="2740"/>
          </w:tcPr>
          <w:p>
            <w:pPr>
              <w:bidi w:val="1"/>
              <w:jc w:val="center"/>
            </w:pPr>
            <w:r/>
            <w:r>
              <w:rPr>
                <w:rFonts w:ascii="Cambria" w:hAnsi="Cambria" w:cs="Cambria"/>
                <w:b w:val="0"/>
                <w:sz w:val="22"/>
              </w:rPr>
              <w:t>۱۸۸</w:t>
            </w:r>
          </w:p>
        </w:tc>
      </w:tr>
      <w:tr>
        <w:tc>
          <w:tcPr>
            <w:tcW w:type="dxa" w:w="2740"/>
          </w:tcPr>
          <w:p>
            <w:pPr>
              <w:bidi w:val="1"/>
              <w:jc w:val="center"/>
            </w:pPr>
            <w:r/>
            <w:r>
              <w:rPr>
                <w:rFonts w:ascii="Cambria" w:hAnsi="Cambria" w:cs="Cambria"/>
                <w:b w:val="0"/>
                <w:sz w:val="22"/>
              </w:rPr>
              <w:t>تکراری (بردار پاسخ یکسان)</w:t>
            </w:r>
          </w:p>
        </w:tc>
        <w:tc>
          <w:tcPr>
            <w:tcW w:type="dxa" w:w="2740"/>
          </w:tcPr>
          <w:p>
            <w:pPr>
              <w:bidi w:val="1"/>
              <w:jc w:val="center"/>
            </w:pPr>
            <w:r/>
            <w:r>
              <w:rPr>
                <w:rFonts w:ascii="Cambria" w:hAnsi="Cambria" w:cs="Cambria"/>
                <w:b w:val="0"/>
                <w:sz w:val="22"/>
              </w:rPr>
              <w:t>۳</w:t>
            </w:r>
          </w:p>
        </w:tc>
        <w:tc>
          <w:tcPr>
            <w:tcW w:type="dxa" w:w="2740"/>
          </w:tcPr>
          <w:p>
            <w:pPr>
              <w:bidi w:val="1"/>
              <w:jc w:val="center"/>
            </w:pPr>
            <w:r/>
            <w:r>
              <w:rPr>
                <w:rFonts w:ascii="Cambria" w:hAnsi="Cambria" w:cs="Cambria"/>
                <w:b w:val="0"/>
                <w:sz w:val="22"/>
              </w:rPr>
              <w:t>۱۸۵</w:t>
            </w:r>
          </w:p>
        </w:tc>
      </w:tr>
      <w:tr>
        <w:tc>
          <w:tcPr>
            <w:tcW w:type="dxa" w:w="2740"/>
          </w:tcPr>
          <w:p>
            <w:pPr>
              <w:bidi w:val="1"/>
              <w:jc w:val="center"/>
            </w:pPr>
            <w:r/>
            <w:r>
              <w:rPr>
                <w:rFonts w:ascii="Cambria" w:hAnsi="Cambria" w:cs="Cambria"/>
                <w:b w:val="0"/>
                <w:sz w:val="22"/>
              </w:rPr>
              <w:t>نمونهٔ نهایی معتبر</w:t>
            </w:r>
          </w:p>
        </w:tc>
        <w:tc>
          <w:tcPr>
            <w:tcW w:type="dxa" w:w="2740"/>
          </w:tcPr>
          <w:p>
            <w:pPr>
              <w:jc w:val="center"/>
            </w:pPr>
            <w:r/>
            <w:r>
              <w:rPr>
                <w:rFonts w:ascii="Cambria" w:hAnsi="Cambria" w:cs="Cambria"/>
                <w:b w:val="0"/>
                <w:sz w:val="22"/>
              </w:rPr>
              <w:t>—</w:t>
            </w:r>
          </w:p>
        </w:tc>
        <w:tc>
          <w:tcPr>
            <w:tcW w:type="dxa" w:w="2740"/>
          </w:tcPr>
          <w:p>
            <w:pPr>
              <w:bidi w:val="1"/>
              <w:jc w:val="center"/>
            </w:pPr>
            <w:r/>
            <w:r>
              <w:rPr>
                <w:rFonts w:ascii="Cambria" w:hAnsi="Cambria" w:cs="Cambria"/>
                <w:b w:val="0"/>
                <w:sz w:val="22"/>
              </w:rPr>
              <w:t>۱۸۵</w:t>
            </w:r>
          </w:p>
        </w:tc>
      </w:tr>
    </w:tbl>
    <w:p>
      <w:pPr>
        <w:bidi w:val="1"/>
        <w:spacing w:lineRule="exact" w:line="580" w:after="0"/>
        <w:jc w:val="both"/>
      </w:pPr>
      <w:r>
        <w:rPr>
          <w:rFonts w:ascii="B Nazanin" w:hAnsi="B Nazanin" w:cs="B Nazanin" w:hint="cs"/>
          <w:sz w:val="24"/>
          <w:szCs w:val="24"/>
          <w:rtl/>
          <w:lang w:bidi="fa-IR"/>
        </w:rPr>
        <w:t xml:space="preserve">پس از اعمال هر شش مرحله، ۱۸۵ پاسخ معتبر باقی ماند (۷۶٫۱ درصد پاسخ‌های خام) و ۵۸ پاسخ حذف شد (۲۳٫۹ درصد). زمان تکمیل فرم در نمونه نهایی معتبر، میانه‌ای برابر ۹۱۲ ثانیه (حدود ۱۵ دقیقه) با میانگین ۱۰۲۰ ثانیه و انحراف معیار ۴۴۳ ثانیه داشت؛ چارک اول و سوم به‌ترتیب ۶۹۰ و ۱۲۴۴ ثانیه و دامنه مشاهده‌شده ۳۰۰ تا ۲۸۷۵ ثانیه بود. این توزیع با برآورد ۱۵ تا ۲۰ دقیقه‌ای مدت‌زمان تکمیل فرم سازگار است. به دلیل اجباری‌بودن همه سؤالات فرم، در نمونه نهایی هیچ داده گمشده‌ای در گویه‌های ابزارها باقی نماند و تحلیل‌ها به روش حذف موردی روی نمونه کامل ۱۸۵ نفری انجام شد. همچنین بررسی سازگاری نشان داد که در نمونه نهایی هیچ پاسخ‌دهنده‌ای زیر ۱۸ سال، با سابقه کمتر از ۶ ماه، یا با گزارش صفر معامله در ۶ ماهه اخیر وجود ندارد.</w:t>
      </w:r>
    </w:p>
    <w:p>
      <w:pPr>
        <w:pStyle w:val="Heading2"/>
        <w:bidi w:val="1"/>
        <w:jc w:val="right"/>
        <w:outlineLvl w:val="1"/>
      </w:pPr>
      <w:r>
        <w:rPr>
          <w:rFonts w:ascii="B Nazanin" w:hAnsi="B Nazanin" w:cs="B Nazanin" w:hint="cs"/>
          <w:b/>
          <w:bCs/>
          <w:sz w:val="28"/>
          <w:szCs w:val="28"/>
          <w:rtl/>
          <w:lang w:bidi="fa-IR"/>
        </w:rPr>
        <w:t xml:space="preserve">۴-۳. ویژگی‌های جمعیت‌شناختی و معاملاتی نمونه</w:t>
      </w:r>
    </w:p>
    <w:p>
      <w:pPr>
        <w:bidi w:val="1"/>
        <w:spacing w:lineRule="exact" w:line="580" w:after="0"/>
        <w:jc w:val="both"/>
      </w:pPr>
      <w:r>
        <w:rPr>
          <w:rFonts w:ascii="B Nazanin" w:hAnsi="B Nazanin" w:cs="B Nazanin" w:hint="cs"/>
          <w:sz w:val="24"/>
          <w:szCs w:val="24"/>
          <w:rtl/>
          <w:lang w:bidi="fa-IR"/>
        </w:rPr>
        <w:t xml:space="preserve">میانگین سنی نمونه نهایی ۳۶٫۳ سال با انحراف معیار ۹٫۴ سال بود (دامنه ۲۱ تا ۶۱ سال) و بیشترین تراکم سنی در دهه چهارم زندگی دیده شد. از نظر جنسیت، ۱۲۳ نفر (۶۶٫۵ درصد) مرد، ۵۸ نفر (۳۱٫۴ درصد) زن و ۴ نفر (۲٫۲ درصد) بدون اظهار نظر بودند. وضعیت تأهل نمونه تقریباً به دو نیمه مساوی مجرد (۸۳ نفر، ۴۴٫۹ درصد) و متاهل (۸۲ نفر، ۴۴٫۳ درصد) تقسیم شد و ۲۰ نفر (۱۰٫۸ درصد) در گروه مطلقه/سایر قرار گرفتند. سطح تحصیلات غالب، لیسانس (۷۴ نفر، ۴۰٫۰ درصد) و فوق‌لیسانس (۴۲ نفر، ۲۲٫۷ درصد) بود و پس از آن‌ها دیپلم (۲۰٫۰ درصد)، فوق‌دیپلم (۱۰٫۳ درصد)، دکتری (۵٫۴ درصد) و زیر دیپلم (۱٫۶ درصد) قرار گرفتند. از نظر اشتغال، بیش از نیمی از نمونه کارمند (۹۴ نفر، ۵۰٫۸ درصد) و بیش از یک‌سوم دارای مشاغل آزاد (۶۷ نفر، ۳۶٫۲ درصد) بودند. جدول ۴-۲ توزیع ویژگی‌های جمعیت‌شناختی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ویژگی‌های جمعیت‌شناختی نمونه نهایی</w:t>
      </w:r>
    </w:p>
    <w:p>
      <w:pPr>
        <w:bidi/>
      </w:pPr>
      <w:r>
        <w:rPr>
          <w:vanish/>
          <w:rFonts w:ascii="B Nazanin" w:hAnsi="B Nazanin"/>
        </w:rPr>
        <w:fldChar w:fldCharType="begin"/>
      </w:r>
      <w:r>
        <w:rPr>
          <w:vanish/>
          <w:rFonts w:ascii="B Nazanin" w:hAnsi="B Nazanin"/>
        </w:rPr>
        <w:instrText>TC "جدول ۴-۲. توزیع ویژگی‌های جمعیت‌شناختی نمونه نهایی"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۱۸ تا ۲۹</w:t>
            </w:r>
          </w:p>
        </w:tc>
        <w:tc>
          <w:tcPr>
            <w:tcW w:type="dxa" w:w="2055"/>
          </w:tcPr>
          <w:p>
            <w:pPr>
              <w:bidi w:val="1"/>
              <w:jc w:val="center"/>
            </w:pPr>
            <w:r/>
            <w:r>
              <w:rPr>
                <w:rFonts w:ascii="Cambria" w:hAnsi="Cambria" w:cs="Cambria"/>
                <w:b w:val="0"/>
                <w:sz w:val="22"/>
              </w:rPr>
              <w:t>۵۲</w:t>
            </w:r>
          </w:p>
        </w:tc>
        <w:tc>
          <w:tcPr>
            <w:tcW w:type="dxa" w:w="2055"/>
          </w:tcPr>
          <w:p>
            <w:pPr>
              <w:bidi w:val="1"/>
              <w:jc w:val="center"/>
            </w:pPr>
            <w:r/>
            <w:r>
              <w:rPr>
                <w:rFonts w:ascii="Cambria" w:hAnsi="Cambria" w:cs="Cambria"/>
                <w:b w:val="0"/>
                <w:sz w:val="22"/>
              </w:rPr>
              <w:t>۲۸٫۱۱</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۳۰ تا ۳۹</w:t>
            </w:r>
          </w:p>
        </w:tc>
        <w:tc>
          <w:tcPr>
            <w:tcW w:type="dxa" w:w="2055"/>
          </w:tcPr>
          <w:p>
            <w:pPr>
              <w:bidi w:val="1"/>
              <w:jc w:val="center"/>
            </w:pPr>
            <w:r/>
            <w:r>
              <w:rPr>
                <w:rFonts w:ascii="Cambria" w:hAnsi="Cambria" w:cs="Cambria"/>
                <w:b w:val="0"/>
                <w:sz w:val="22"/>
              </w:rPr>
              <w:t>۶۸</w:t>
            </w:r>
          </w:p>
        </w:tc>
        <w:tc>
          <w:tcPr>
            <w:tcW w:type="dxa" w:w="2055"/>
          </w:tcPr>
          <w:p>
            <w:pPr>
              <w:bidi w:val="1"/>
              <w:jc w:val="center"/>
            </w:pPr>
            <w:r/>
            <w:r>
              <w:rPr>
                <w:rFonts w:ascii="Cambria" w:hAnsi="Cambria" w:cs="Cambria"/>
                <w:b w:val="0"/>
                <w:sz w:val="22"/>
              </w:rPr>
              <w:t>۳۶٫۷۶</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۴۰ تا ۴۹</w:t>
            </w:r>
          </w:p>
        </w:tc>
        <w:tc>
          <w:tcPr>
            <w:tcW w:type="dxa" w:w="2055"/>
          </w:tcPr>
          <w:p>
            <w:pPr>
              <w:bidi w:val="1"/>
              <w:jc w:val="center"/>
            </w:pPr>
            <w:r/>
            <w:r>
              <w:rPr>
                <w:rFonts w:ascii="Cambria" w:hAnsi="Cambria" w:cs="Cambria"/>
                <w:b w:val="0"/>
                <w:sz w:val="22"/>
              </w:rPr>
              <w:t>۴۳</w:t>
            </w:r>
          </w:p>
        </w:tc>
        <w:tc>
          <w:tcPr>
            <w:tcW w:type="dxa" w:w="2055"/>
          </w:tcPr>
          <w:p>
            <w:pPr>
              <w:bidi w:val="1"/>
              <w:jc w:val="center"/>
            </w:pPr>
            <w:r/>
            <w:r>
              <w:rPr>
                <w:rFonts w:ascii="Cambria" w:hAnsi="Cambria" w:cs="Cambria"/>
                <w:b w:val="0"/>
                <w:sz w:val="22"/>
              </w:rPr>
              <w:t>۲۳٫۲۴</w:t>
            </w:r>
          </w:p>
        </w:tc>
      </w:tr>
      <w:tr>
        <w:tc>
          <w:tcPr>
            <w:tcW w:type="dxa" w:w="2055"/>
          </w:tcPr>
          <w:p>
            <w:pPr>
              <w:bidi w:val="1"/>
              <w:jc w:val="center"/>
            </w:pPr>
            <w:r/>
            <w:r>
              <w:rPr>
                <w:rFonts w:ascii="Cambria" w:hAnsi="Cambria" w:cs="Cambria"/>
                <w:b w:val="0"/>
                <w:sz w:val="22"/>
              </w:rPr>
              <w:t>سن (سال)</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۲۲</w:t>
            </w:r>
          </w:p>
        </w:tc>
        <w:tc>
          <w:tcPr>
            <w:tcW w:type="dxa" w:w="2055"/>
          </w:tcPr>
          <w:p>
            <w:pPr>
              <w:bidi w:val="1"/>
              <w:jc w:val="center"/>
            </w:pPr>
            <w:r/>
            <w:r>
              <w:rPr>
                <w:rFonts w:ascii="Cambria" w:hAnsi="Cambria" w:cs="Cambria"/>
                <w:b w:val="0"/>
                <w:sz w:val="22"/>
              </w:rPr>
              <w:t>۱۱٫۸۹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زن</w:t>
            </w:r>
          </w:p>
        </w:tc>
        <w:tc>
          <w:tcPr>
            <w:tcW w:type="dxa" w:w="2055"/>
          </w:tcPr>
          <w:p>
            <w:pPr>
              <w:bidi w:val="1"/>
              <w:jc w:val="center"/>
            </w:pPr>
            <w:r/>
            <w:r>
              <w:rPr>
                <w:rFonts w:ascii="Cambria" w:hAnsi="Cambria" w:cs="Cambria"/>
                <w:b w:val="0"/>
                <w:sz w:val="22"/>
              </w:rPr>
              <w:t>۵۸</w:t>
            </w:r>
          </w:p>
        </w:tc>
        <w:tc>
          <w:tcPr>
            <w:tcW w:type="dxa" w:w="2055"/>
          </w:tcPr>
          <w:p>
            <w:pPr>
              <w:bidi w:val="1"/>
              <w:jc w:val="center"/>
            </w:pPr>
            <w:r/>
            <w:r>
              <w:rPr>
                <w:rFonts w:ascii="Cambria" w:hAnsi="Cambria" w:cs="Cambria"/>
                <w:b w:val="0"/>
                <w:sz w:val="22"/>
              </w:rPr>
              <w:t>۳۱٫۳۵</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مرد</w:t>
            </w:r>
          </w:p>
        </w:tc>
        <w:tc>
          <w:tcPr>
            <w:tcW w:type="dxa" w:w="2055"/>
          </w:tcPr>
          <w:p>
            <w:pPr>
              <w:bidi w:val="1"/>
              <w:jc w:val="center"/>
            </w:pPr>
            <w:r/>
            <w:r>
              <w:rPr>
                <w:rFonts w:ascii="Cambria" w:hAnsi="Cambria" w:cs="Cambria"/>
                <w:b w:val="0"/>
                <w:sz w:val="22"/>
              </w:rPr>
              <w:t>۱۲۳</w:t>
            </w:r>
          </w:p>
        </w:tc>
        <w:tc>
          <w:tcPr>
            <w:tcW w:type="dxa" w:w="2055"/>
          </w:tcPr>
          <w:p>
            <w:pPr>
              <w:bidi w:val="1"/>
              <w:jc w:val="center"/>
            </w:pPr>
            <w:r/>
            <w:r>
              <w:rPr>
                <w:rFonts w:ascii="Cambria" w:hAnsi="Cambria" w:cs="Cambria"/>
                <w:b w:val="0"/>
                <w:sz w:val="22"/>
              </w:rPr>
              <w:t>۶۶٫۴۹</w:t>
            </w:r>
          </w:p>
        </w:tc>
      </w:tr>
      <w:tr>
        <w:tc>
          <w:tcPr>
            <w:tcW w:type="dxa" w:w="2055"/>
          </w:tcPr>
          <w:p>
            <w:pPr>
              <w:bidi w:val="1"/>
              <w:jc w:val="center"/>
            </w:pPr>
            <w:r/>
            <w:r>
              <w:rPr>
                <w:rFonts w:ascii="Cambria" w:hAnsi="Cambria" w:cs="Cambria"/>
                <w:b w:val="0"/>
                <w:sz w:val="22"/>
              </w:rPr>
              <w:t>جنسیت</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مجرد</w:t>
            </w:r>
          </w:p>
        </w:tc>
        <w:tc>
          <w:tcPr>
            <w:tcW w:type="dxa" w:w="2055"/>
          </w:tcPr>
          <w:p>
            <w:pPr>
              <w:bidi w:val="1"/>
              <w:jc w:val="center"/>
            </w:pPr>
            <w:r/>
            <w:r>
              <w:rPr>
                <w:rFonts w:ascii="Cambria" w:hAnsi="Cambria" w:cs="Cambria"/>
                <w:b w:val="0"/>
                <w:sz w:val="22"/>
              </w:rPr>
              <w:t>۸۳</w:t>
            </w:r>
          </w:p>
        </w:tc>
        <w:tc>
          <w:tcPr>
            <w:tcW w:type="dxa" w:w="2055"/>
          </w:tcPr>
          <w:p>
            <w:pPr>
              <w:bidi w:val="1"/>
              <w:jc w:val="center"/>
            </w:pPr>
            <w:r/>
            <w:r>
              <w:rPr>
                <w:rFonts w:ascii="Cambria" w:hAnsi="Cambria" w:cs="Cambria"/>
                <w:b w:val="0"/>
                <w:sz w:val="22"/>
              </w:rPr>
              <w:t>۴۴٫۸۶</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متاهل</w:t>
            </w:r>
          </w:p>
        </w:tc>
        <w:tc>
          <w:tcPr>
            <w:tcW w:type="dxa" w:w="2055"/>
          </w:tcPr>
          <w:p>
            <w:pPr>
              <w:bidi w:val="1"/>
              <w:jc w:val="center"/>
            </w:pPr>
            <w:r/>
            <w:r>
              <w:rPr>
                <w:rFonts w:ascii="Cambria" w:hAnsi="Cambria" w:cs="Cambria"/>
                <w:b w:val="0"/>
                <w:sz w:val="22"/>
              </w:rPr>
              <w:t>۸۲</w:t>
            </w:r>
          </w:p>
        </w:tc>
        <w:tc>
          <w:tcPr>
            <w:tcW w:type="dxa" w:w="2055"/>
          </w:tcPr>
          <w:p>
            <w:pPr>
              <w:bidi w:val="1"/>
              <w:jc w:val="center"/>
            </w:pPr>
            <w:r/>
            <w:r>
              <w:rPr>
                <w:rFonts w:ascii="Cambria" w:hAnsi="Cambria" w:cs="Cambria"/>
                <w:b w:val="0"/>
                <w:sz w:val="22"/>
              </w:rPr>
              <w:t>۴۴٫۳۲</w:t>
            </w:r>
          </w:p>
        </w:tc>
      </w:tr>
      <w:tr>
        <w:tc>
          <w:tcPr>
            <w:tcW w:type="dxa" w:w="2055"/>
          </w:tcPr>
          <w:p>
            <w:pPr>
              <w:bidi w:val="1"/>
              <w:jc w:val="center"/>
            </w:pPr>
            <w:r/>
            <w:r>
              <w:rPr>
                <w:rFonts w:ascii="Cambria" w:hAnsi="Cambria" w:cs="Cambria"/>
                <w:b w:val="0"/>
                <w:sz w:val="22"/>
              </w:rPr>
              <w:t>وضعیت تأهل</w:t>
            </w:r>
          </w:p>
        </w:tc>
        <w:tc>
          <w:tcPr>
            <w:tcW w:type="dxa" w:w="2055"/>
          </w:tcPr>
          <w:p>
            <w:pPr>
              <w:bidi w:val="1"/>
              <w:jc w:val="center"/>
            </w:pPr>
            <w:r/>
            <w:r>
              <w:rPr>
                <w:rFonts w:ascii="Cambria" w:hAnsi="Cambria" w:cs="Cambria"/>
                <w:b w:val="0"/>
                <w:sz w:val="22"/>
              </w:rPr>
              <w:t>مطلقه/سایر</w:t>
            </w:r>
          </w:p>
        </w:tc>
        <w:tc>
          <w:tcPr>
            <w:tcW w:type="dxa" w:w="2055"/>
          </w:tcPr>
          <w:p>
            <w:pPr>
              <w:bidi w:val="1"/>
              <w:jc w:val="center"/>
            </w:pPr>
            <w:r/>
            <w:r>
              <w:rPr>
                <w:rFonts w:ascii="Cambria" w:hAnsi="Cambria" w:cs="Cambria"/>
                <w:b w:val="0"/>
                <w:sz w:val="22"/>
              </w:rPr>
              <w:t>۲۰</w:t>
            </w:r>
          </w:p>
        </w:tc>
        <w:tc>
          <w:tcPr>
            <w:tcW w:type="dxa" w:w="2055"/>
          </w:tcPr>
          <w:p>
            <w:pPr>
              <w:bidi w:val="1"/>
              <w:jc w:val="center"/>
            </w:pPr>
            <w:r/>
            <w:r>
              <w:rPr>
                <w:rFonts w:ascii="Cambria" w:hAnsi="Cambria" w:cs="Cambria"/>
                <w:b w:val="0"/>
                <w:sz w:val="22"/>
              </w:rPr>
              <w:t>۱۰٫۸۱</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زیر دیپلم</w:t>
            </w:r>
          </w:p>
        </w:tc>
        <w:tc>
          <w:tcPr>
            <w:tcW w:type="dxa" w:w="2055"/>
          </w:tcPr>
          <w:p>
            <w:pPr>
              <w:bidi w:val="1"/>
              <w:jc w:val="center"/>
            </w:pPr>
            <w:r/>
            <w:r>
              <w:rPr>
                <w:rFonts w:ascii="Cambria" w:hAnsi="Cambria" w:cs="Cambria"/>
                <w:b w:val="0"/>
                <w:sz w:val="22"/>
              </w:rPr>
              <w:t>۳</w:t>
            </w:r>
          </w:p>
        </w:tc>
        <w:tc>
          <w:tcPr>
            <w:tcW w:type="dxa" w:w="2055"/>
          </w:tcPr>
          <w:p>
            <w:pPr>
              <w:bidi w:val="1"/>
              <w:jc w:val="center"/>
            </w:pPr>
            <w:r/>
            <w:r>
              <w:rPr>
                <w:rFonts w:ascii="Cambria" w:hAnsi="Cambria" w:cs="Cambria"/>
                <w:b w:val="0"/>
                <w:sz w:val="22"/>
              </w:rPr>
              <w:t>۱٫۶۲</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دیپلم</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دیپلم</w:t>
            </w:r>
          </w:p>
        </w:tc>
        <w:tc>
          <w:tcPr>
            <w:tcW w:type="dxa" w:w="2055"/>
          </w:tcPr>
          <w:p>
            <w:pPr>
              <w:bidi w:val="1"/>
              <w:jc w:val="center"/>
            </w:pPr>
            <w:r/>
            <w:r>
              <w:rPr>
                <w:rFonts w:ascii="Cambria" w:hAnsi="Cambria" w:cs="Cambria"/>
                <w:b w:val="0"/>
                <w:sz w:val="22"/>
              </w:rPr>
              <w:t>۱۹</w:t>
            </w:r>
          </w:p>
        </w:tc>
        <w:tc>
          <w:tcPr>
            <w:tcW w:type="dxa" w:w="2055"/>
          </w:tcPr>
          <w:p>
            <w:pPr>
              <w:bidi w:val="1"/>
              <w:jc w:val="center"/>
            </w:pPr>
            <w:r/>
            <w:r>
              <w:rPr>
                <w:rFonts w:ascii="Cambria" w:hAnsi="Cambria" w:cs="Cambria"/>
                <w:b w:val="0"/>
                <w:sz w:val="22"/>
              </w:rPr>
              <w:t>۱۰٫۲۷</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لیسانس</w:t>
            </w:r>
          </w:p>
        </w:tc>
        <w:tc>
          <w:tcPr>
            <w:tcW w:type="dxa" w:w="2055"/>
          </w:tcPr>
          <w:p>
            <w:pPr>
              <w:bidi w:val="1"/>
              <w:jc w:val="center"/>
            </w:pPr>
            <w:r/>
            <w:r>
              <w:rPr>
                <w:rFonts w:ascii="Cambria" w:hAnsi="Cambria" w:cs="Cambria"/>
                <w:b w:val="0"/>
                <w:sz w:val="22"/>
              </w:rPr>
              <w:t>۷۴</w:t>
            </w:r>
          </w:p>
        </w:tc>
        <w:tc>
          <w:tcPr>
            <w:tcW w:type="dxa" w:w="2055"/>
          </w:tcPr>
          <w:p>
            <w:pPr>
              <w:bidi w:val="1"/>
              <w:jc w:val="center"/>
            </w:pPr>
            <w:r/>
            <w:r>
              <w:rPr>
                <w:rFonts w:ascii="Cambria" w:hAnsi="Cambria" w:cs="Cambria"/>
                <w:b w:val="0"/>
                <w:sz w:val="22"/>
              </w:rPr>
              <w:t>۴۰٫۰۰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فوق لیسانس</w:t>
            </w:r>
          </w:p>
        </w:tc>
        <w:tc>
          <w:tcPr>
            <w:tcW w:type="dxa" w:w="2055"/>
          </w:tcPr>
          <w:p>
            <w:pPr>
              <w:bidi w:val="1"/>
              <w:jc w:val="center"/>
            </w:pPr>
            <w:r/>
            <w:r>
              <w:rPr>
                <w:rFonts w:ascii="Cambria" w:hAnsi="Cambria" w:cs="Cambria"/>
                <w:b w:val="0"/>
                <w:sz w:val="22"/>
              </w:rPr>
              <w:t>۴۲</w:t>
            </w:r>
          </w:p>
        </w:tc>
        <w:tc>
          <w:tcPr>
            <w:tcW w:type="dxa" w:w="2055"/>
          </w:tcPr>
          <w:p>
            <w:pPr>
              <w:bidi w:val="1"/>
              <w:jc w:val="center"/>
            </w:pPr>
            <w:r/>
            <w:r>
              <w:rPr>
                <w:rFonts w:ascii="Cambria" w:hAnsi="Cambria" w:cs="Cambria"/>
                <w:b w:val="0"/>
                <w:sz w:val="22"/>
              </w:rPr>
              <w:t>۲۲٫۷۰</w:t>
            </w:r>
          </w:p>
        </w:tc>
      </w:tr>
      <w:tr>
        <w:tc>
          <w:tcPr>
            <w:tcW w:type="dxa" w:w="2055"/>
          </w:tcPr>
          <w:p>
            <w:pPr>
              <w:bidi w:val="1"/>
              <w:jc w:val="center"/>
            </w:pPr>
            <w:r/>
            <w:r>
              <w:rPr>
                <w:rFonts w:ascii="Cambria" w:hAnsi="Cambria" w:cs="Cambria"/>
                <w:b w:val="0"/>
                <w:sz w:val="22"/>
              </w:rPr>
              <w:t>سطح تحصیلات</w:t>
            </w:r>
          </w:p>
        </w:tc>
        <w:tc>
          <w:tcPr>
            <w:tcW w:type="dxa" w:w="2055"/>
          </w:tcPr>
          <w:p>
            <w:pPr>
              <w:bidi w:val="1"/>
              <w:jc w:val="center"/>
            </w:pPr>
            <w:r/>
            <w:r>
              <w:rPr>
                <w:rFonts w:ascii="Cambria" w:hAnsi="Cambria" w:cs="Cambria"/>
                <w:b w:val="0"/>
                <w:sz w:val="22"/>
              </w:rPr>
              <w:t>دکتری</w:t>
            </w:r>
          </w:p>
        </w:tc>
        <w:tc>
          <w:tcPr>
            <w:tcW w:type="dxa" w:w="2055"/>
          </w:tcPr>
          <w:p>
            <w:pPr>
              <w:bidi w:val="1"/>
              <w:jc w:val="center"/>
            </w:pPr>
            <w:r/>
            <w:r>
              <w:rPr>
                <w:rFonts w:ascii="Cambria" w:hAnsi="Cambria" w:cs="Cambria"/>
                <w:b w:val="0"/>
                <w:sz w:val="22"/>
              </w:rPr>
              <w:t>۱۰</w:t>
            </w:r>
          </w:p>
        </w:tc>
        <w:tc>
          <w:tcPr>
            <w:tcW w:type="dxa" w:w="2055"/>
          </w:tcPr>
          <w:p>
            <w:pPr>
              <w:bidi w:val="1"/>
              <w:jc w:val="center"/>
            </w:pPr>
            <w:r/>
            <w:r>
              <w:rPr>
                <w:rFonts w:ascii="Cambria" w:hAnsi="Cambria" w:cs="Cambria"/>
                <w:b w:val="0"/>
                <w:sz w:val="22"/>
              </w:rPr>
              <w:t>۵٫۴۱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خانه‌دار</w:t>
            </w:r>
          </w:p>
        </w:tc>
        <w:tc>
          <w:tcPr>
            <w:tcW w:type="dxa" w:w="2055"/>
          </w:tcPr>
          <w:p>
            <w:pPr>
              <w:bidi w:val="1"/>
              <w:jc w:val="center"/>
            </w:pPr>
            <w:r/>
            <w:r>
              <w:rPr>
                <w:rFonts w:ascii="Cambria" w:hAnsi="Cambria" w:cs="Cambria"/>
                <w:b w:val="0"/>
                <w:sz w:val="22"/>
              </w:rPr>
              <w:t>۹</w:t>
            </w:r>
          </w:p>
        </w:tc>
        <w:tc>
          <w:tcPr>
            <w:tcW w:type="dxa" w:w="2055"/>
          </w:tcPr>
          <w:p>
            <w:pPr>
              <w:bidi w:val="1"/>
              <w:jc w:val="center"/>
            </w:pPr>
            <w:r/>
            <w:r>
              <w:rPr>
                <w:rFonts w:ascii="Cambria" w:hAnsi="Cambria" w:cs="Cambria"/>
                <w:b w:val="0"/>
                <w:sz w:val="22"/>
              </w:rPr>
              <w:t>۴٫۸۶</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کارمند</w:t>
            </w:r>
          </w:p>
        </w:tc>
        <w:tc>
          <w:tcPr>
            <w:tcW w:type="dxa" w:w="2055"/>
          </w:tcPr>
          <w:p>
            <w:pPr>
              <w:bidi w:val="1"/>
              <w:jc w:val="center"/>
            </w:pPr>
            <w:r/>
            <w:r>
              <w:rPr>
                <w:rFonts w:ascii="Cambria" w:hAnsi="Cambria" w:cs="Cambria"/>
                <w:b w:val="0"/>
                <w:sz w:val="22"/>
              </w:rPr>
              <w:t>۹۴</w:t>
            </w:r>
          </w:p>
        </w:tc>
        <w:tc>
          <w:tcPr>
            <w:tcW w:type="dxa" w:w="2055"/>
          </w:tcPr>
          <w:p>
            <w:pPr>
              <w:bidi w:val="1"/>
              <w:jc w:val="center"/>
            </w:pPr>
            <w:r/>
            <w:r>
              <w:rPr>
                <w:rFonts w:ascii="Cambria" w:hAnsi="Cambria" w:cs="Cambria"/>
                <w:b w:val="0"/>
                <w:sz w:val="22"/>
              </w:rPr>
              <w:t>۵۰٫۸۱</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مشاغل آزاد</w:t>
            </w:r>
          </w:p>
        </w:tc>
        <w:tc>
          <w:tcPr>
            <w:tcW w:type="dxa" w:w="2055"/>
          </w:tcPr>
          <w:p>
            <w:pPr>
              <w:bidi w:val="1"/>
              <w:jc w:val="center"/>
            </w:pPr>
            <w:r/>
            <w:r>
              <w:rPr>
                <w:rFonts w:ascii="Cambria" w:hAnsi="Cambria" w:cs="Cambria"/>
                <w:b w:val="0"/>
                <w:sz w:val="22"/>
              </w:rPr>
              <w:t>۶۷</w:t>
            </w:r>
          </w:p>
        </w:tc>
        <w:tc>
          <w:tcPr>
            <w:tcW w:type="dxa" w:w="2055"/>
          </w:tcPr>
          <w:p>
            <w:pPr>
              <w:bidi w:val="1"/>
              <w:jc w:val="center"/>
            </w:pPr>
            <w:r/>
            <w:r>
              <w:rPr>
                <w:rFonts w:ascii="Cambria" w:hAnsi="Cambria" w:cs="Cambria"/>
                <w:b w:val="0"/>
                <w:sz w:val="22"/>
              </w:rPr>
              <w:t>۳۶٫۲۲</w:t>
            </w:r>
          </w:p>
        </w:tc>
      </w:tr>
      <w:tr>
        <w:tc>
          <w:tcPr>
            <w:tcW w:type="dxa" w:w="2055"/>
          </w:tcPr>
          <w:p>
            <w:pPr>
              <w:bidi w:val="1"/>
              <w:jc w:val="center"/>
            </w:pPr>
            <w:r/>
            <w:r>
              <w:rPr>
                <w:rFonts w:ascii="Cambria" w:hAnsi="Cambria" w:cs="Cambria"/>
                <w:b w:val="0"/>
                <w:sz w:val="22"/>
              </w:rPr>
              <w:t>وضعیت اشتغال</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bl>
    <w:p>
      <w:pPr>
        <w:bidi w:val="1"/>
        <w:spacing w:lineRule="exact" w:line="580" w:after="0"/>
        <w:jc w:val="both"/>
      </w:pPr>
      <w:r>
        <w:rPr>
          <w:rFonts w:ascii="B Nazanin" w:hAnsi="B Nazanin" w:cs="B Nazanin" w:hint="cs"/>
          <w:sz w:val="24"/>
          <w:szCs w:val="24"/>
          <w:rtl/>
          <w:lang w:bidi="fa-IR"/>
        </w:rPr>
        <w:t xml:space="preserve">از نظر ویژگی‌های معاملاتی، بازار اصلی فعالیت ۷۹ نفر (۴۲٫۷ درصد) بورس، ۴۸ نفر (۲۶٫۰ درصد) رمزارز و ۳۱ نفر (۱۶٫۸ درصد) فارکس بود و بقیه در بازارهای طلا و ارز، کالا و سایر بازارها فعالیت می‌کردند. میانگین سابقه معامله‌گری ۴۲٫۸ ماه (حدود ۳٫۶ سال) با انحراف معیار ۲۵٫۹ ماه بود (دامنه ۹ تا ۱۷۳ ماه) و بیشترین تراکم در بازه ۱۲ تا ۳۵ ماه دیده شد. تعداد معاملات واقعی ۶ ماهه اخیر در ۶۵ نفر (۳۵٫۱ درصد) بین ۱ تا ۱۰ معامله، در ۷۹ نفر (۴۲٫۷ درصد) بین ۱۰ تا ۵۰ معامله و در ۴۱ نفر (۲۲٫۲ درصد) ۵۰ معامله به بالا بود. سرمایه تقریبی نیز پراکندگی متوازنی داشت: کمتر از ۵۰ میلیون تومان (۲۶٫۵ درصد)، ۵۰ تا ۲۰۰ میلیون تومان (۲۷٫۰ درصد)، ۲۰۰ تا ۵۰۰ میلیون تومان (۲۰٫۰ درصد)، ۵۰۰ میلیون تا ۱ میلیارد تومان (۱۵٫۷ درصد) و بیش از ۱ میلیارد تومان (۸٫۱ درصد). جدول ۴-۳ توزیع ویژگی‌های معاملاتی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توزیع ویژگی‌های معاملاتی نمونه نهایی</w:t>
      </w:r>
    </w:p>
    <w:p>
      <w:pPr>
        <w:bidi/>
      </w:pPr>
      <w:r>
        <w:rPr>
          <w:vanish/>
          <w:rFonts w:ascii="B Nazanin" w:hAnsi="B Nazanin"/>
        </w:rPr>
        <w:fldChar w:fldCharType="begin"/>
      </w:r>
      <w:r>
        <w:rPr>
          <w:vanish/>
          <w:rFonts w:ascii="B Nazanin" w:hAnsi="B Nazanin"/>
        </w:rPr>
        <w:instrText>TC "جدول ۴-۳. توزیع ویژگی‌های معاملاتی نمونه نهایی"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rFonts w:ascii="Cambria" w:hAnsi="Cambria" w:cs="Cambria"/>
                <w:b/>
                <w:sz w:val="22"/>
              </w:rPr>
              <w:t>متغیر</w:t>
            </w:r>
          </w:p>
        </w:tc>
        <w:tc>
          <w:tcPr>
            <w:tcW w:type="dxa" w:w="2055"/>
            <w:tcBorders>
              <w:bottom w:val="single" w:sz="12" w:space="0" w:color="000000"/>
            </w:tcBorders>
          </w:tcPr>
          <w:p>
            <w:pPr>
              <w:bidi w:val="1"/>
              <w:jc w:val="center"/>
            </w:pPr>
            <w:r/>
            <w:r>
              <w:rPr>
                <w:rFonts w:ascii="Cambria" w:hAnsi="Cambria" w:cs="Cambria"/>
                <w:b/>
                <w:sz w:val="22"/>
              </w:rPr>
              <w:t>سطح</w:t>
            </w:r>
          </w:p>
        </w:tc>
        <w:tc>
          <w:tcPr>
            <w:tcW w:type="dxa" w:w="2055"/>
            <w:tcBorders>
              <w:bottom w:val="single" w:sz="12" w:space="0" w:color="000000"/>
            </w:tcBorders>
          </w:tcPr>
          <w:p>
            <w:pPr>
              <w:bidi w:val="1"/>
              <w:jc w:val="center"/>
            </w:pPr>
            <w:r/>
            <w:r>
              <w:rPr>
                <w:rFonts w:ascii="Cambria" w:hAnsi="Cambria" w:cs="Cambria"/>
                <w:b/>
                <w:sz w:val="22"/>
              </w:rPr>
              <w:t>تعداد</w:t>
            </w:r>
          </w:p>
        </w:tc>
        <w:tc>
          <w:tcPr>
            <w:tcW w:type="dxa" w:w="2055"/>
            <w:tcBorders>
              <w:bottom w:val="single" w:sz="12" w:space="0" w:color="000000"/>
            </w:tcBorders>
          </w:tcPr>
          <w:p>
            <w:pPr>
              <w:bidi w:val="1"/>
              <w:jc w:val="center"/>
            </w:pPr>
            <w:r/>
            <w:r>
              <w:rPr>
                <w:rFonts w:ascii="Cambria" w:hAnsi="Cambria" w:cs="Cambria"/>
                <w:b/>
                <w:sz w:val="22"/>
              </w:rPr>
              <w:t>درصد</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بورس</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رمزارز</w:t>
            </w:r>
          </w:p>
        </w:tc>
        <w:tc>
          <w:tcPr>
            <w:tcW w:type="dxa" w:w="2055"/>
          </w:tcPr>
          <w:p>
            <w:pPr>
              <w:bidi w:val="1"/>
              <w:jc w:val="center"/>
            </w:pPr>
            <w:r/>
            <w:r>
              <w:rPr>
                <w:rFonts w:ascii="Cambria" w:hAnsi="Cambria" w:cs="Cambria"/>
                <w:b w:val="0"/>
                <w:sz w:val="22"/>
              </w:rPr>
              <w:t>۴۸</w:t>
            </w:r>
          </w:p>
        </w:tc>
        <w:tc>
          <w:tcPr>
            <w:tcW w:type="dxa" w:w="2055"/>
          </w:tcPr>
          <w:p>
            <w:pPr>
              <w:bidi w:val="1"/>
              <w:jc w:val="center"/>
            </w:pPr>
            <w:r/>
            <w:r>
              <w:rPr>
                <w:rFonts w:ascii="Cambria" w:hAnsi="Cambria" w:cs="Cambria"/>
                <w:b w:val="0"/>
                <w:sz w:val="22"/>
              </w:rPr>
              <w:t>۲۵٫۹۵</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فارکس</w:t>
            </w:r>
          </w:p>
        </w:tc>
        <w:tc>
          <w:tcPr>
            <w:tcW w:type="dxa" w:w="2055"/>
          </w:tcPr>
          <w:p>
            <w:pPr>
              <w:bidi w:val="1"/>
              <w:jc w:val="center"/>
            </w:pPr>
            <w:r/>
            <w:r>
              <w:rPr>
                <w:rFonts w:ascii="Cambria" w:hAnsi="Cambria" w:cs="Cambria"/>
                <w:b w:val="0"/>
                <w:sz w:val="22"/>
              </w:rPr>
              <w:t>۳۱</w:t>
            </w:r>
          </w:p>
        </w:tc>
        <w:tc>
          <w:tcPr>
            <w:tcW w:type="dxa" w:w="2055"/>
          </w:tcPr>
          <w:p>
            <w:pPr>
              <w:bidi w:val="1"/>
              <w:jc w:val="center"/>
            </w:pPr>
            <w:r/>
            <w:r>
              <w:rPr>
                <w:rFonts w:ascii="Cambria" w:hAnsi="Cambria" w:cs="Cambria"/>
                <w:b w:val="0"/>
                <w:sz w:val="22"/>
              </w:rPr>
              <w:t>۱۶٫۷۶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طلا و ارز</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کالا</w:t>
            </w:r>
          </w:p>
        </w:tc>
        <w:tc>
          <w:tcPr>
            <w:tcW w:type="dxa" w:w="2055"/>
          </w:tcPr>
          <w:p>
            <w:pPr>
              <w:bidi w:val="1"/>
              <w:jc w:val="center"/>
            </w:pPr>
            <w:r/>
            <w:r>
              <w:rPr>
                <w:rFonts w:ascii="Cambria" w:hAnsi="Cambria" w:cs="Cambria"/>
                <w:b w:val="0"/>
                <w:sz w:val="22"/>
              </w:rPr>
              <w:t>۴</w:t>
            </w:r>
          </w:p>
        </w:tc>
        <w:tc>
          <w:tcPr>
            <w:tcW w:type="dxa" w:w="2055"/>
          </w:tcPr>
          <w:p>
            <w:pPr>
              <w:bidi w:val="1"/>
              <w:jc w:val="center"/>
            </w:pPr>
            <w:r/>
            <w:r>
              <w:rPr>
                <w:rFonts w:ascii="Cambria" w:hAnsi="Cambria" w:cs="Cambria"/>
                <w:b w:val="0"/>
                <w:sz w:val="22"/>
              </w:rPr>
              <w:t>۲٫۱۶</w:t>
            </w:r>
          </w:p>
        </w:tc>
      </w:tr>
      <w:tr>
        <w:tc>
          <w:tcPr>
            <w:tcW w:type="dxa" w:w="2055"/>
          </w:tcPr>
          <w:p>
            <w:pPr>
              <w:bidi w:val="1"/>
              <w:jc w:val="center"/>
            </w:pPr>
            <w:r/>
            <w:r>
              <w:rPr>
                <w:rFonts w:ascii="Cambria" w:hAnsi="Cambria" w:cs="Cambria"/>
                <w:b w:val="0"/>
                <w:sz w:val="22"/>
              </w:rPr>
              <w:t>بازار اصلی فعالیت</w:t>
            </w:r>
          </w:p>
        </w:tc>
        <w:tc>
          <w:tcPr>
            <w:tcW w:type="dxa" w:w="2055"/>
          </w:tcPr>
          <w:p>
            <w:pPr>
              <w:bidi w:val="1"/>
              <w:jc w:val="center"/>
            </w:pPr>
            <w:r/>
            <w:r>
              <w:rPr>
                <w:rFonts w:ascii="Cambria" w:hAnsi="Cambria" w:cs="Cambria"/>
                <w:b w:val="0"/>
                <w:sz w:val="22"/>
              </w:rPr>
              <w:t>سایر</w:t>
            </w:r>
          </w:p>
        </w:tc>
        <w:tc>
          <w:tcPr>
            <w:tcW w:type="dxa" w:w="2055"/>
          </w:tcPr>
          <w:p>
            <w:pPr>
              <w:bidi w:val="1"/>
              <w:jc w:val="center"/>
            </w:pPr>
            <w:r/>
            <w:r>
              <w:rPr>
                <w:rFonts w:ascii="Cambria" w:hAnsi="Cambria" w:cs="Cambria"/>
                <w:b w:val="0"/>
                <w:sz w:val="22"/>
              </w:rPr>
              <w:t>۸</w:t>
            </w:r>
          </w:p>
        </w:tc>
        <w:tc>
          <w:tcPr>
            <w:tcW w:type="dxa" w:w="2055"/>
          </w:tcPr>
          <w:p>
            <w:pPr>
              <w:bidi w:val="1"/>
              <w:jc w:val="center"/>
            </w:pPr>
            <w:r/>
            <w:r>
              <w:rPr>
                <w:rFonts w:ascii="Cambria" w:hAnsi="Cambria" w:cs="Cambria"/>
                <w:b w:val="0"/>
                <w:sz w:val="22"/>
              </w:rPr>
              <w:t>۴٫۳۲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۶ تا ۱۱</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۱۲ تا ۳۵</w:t>
            </w:r>
          </w:p>
        </w:tc>
        <w:tc>
          <w:tcPr>
            <w:tcW w:type="dxa" w:w="2055"/>
          </w:tcPr>
          <w:p>
            <w:pPr>
              <w:bidi w:val="1"/>
              <w:jc w:val="center"/>
            </w:pPr>
            <w:r/>
            <w:r>
              <w:rPr>
                <w:rFonts w:ascii="Cambria" w:hAnsi="Cambria" w:cs="Cambria"/>
                <w:b w:val="0"/>
                <w:sz w:val="22"/>
              </w:rPr>
              <w:t>۸۴</w:t>
            </w:r>
          </w:p>
        </w:tc>
        <w:tc>
          <w:tcPr>
            <w:tcW w:type="dxa" w:w="2055"/>
          </w:tcPr>
          <w:p>
            <w:pPr>
              <w:bidi w:val="1"/>
              <w:jc w:val="center"/>
            </w:pPr>
            <w:r/>
            <w:r>
              <w:rPr>
                <w:rFonts w:ascii="Cambria" w:hAnsi="Cambria" w:cs="Cambria"/>
                <w:b w:val="0"/>
                <w:sz w:val="22"/>
              </w:rPr>
              <w:t>۴۵٫۴۱</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۳۶ تا ۷۱</w:t>
            </w:r>
          </w:p>
        </w:tc>
        <w:tc>
          <w:tcPr>
            <w:tcW w:type="dxa" w:w="2055"/>
          </w:tcPr>
          <w:p>
            <w:pPr>
              <w:bidi w:val="1"/>
              <w:jc w:val="center"/>
            </w:pPr>
            <w:r/>
            <w:r>
              <w:rPr>
                <w:rFonts w:ascii="Cambria" w:hAnsi="Cambria" w:cs="Cambria"/>
                <w:b w:val="0"/>
                <w:sz w:val="22"/>
              </w:rPr>
              <w:t>۷۲</w:t>
            </w:r>
          </w:p>
        </w:tc>
        <w:tc>
          <w:tcPr>
            <w:tcW w:type="dxa" w:w="2055"/>
          </w:tcPr>
          <w:p>
            <w:pPr>
              <w:bidi w:val="1"/>
              <w:jc w:val="center"/>
            </w:pPr>
            <w:r/>
            <w:r>
              <w:rPr>
                <w:rFonts w:ascii="Cambria" w:hAnsi="Cambria" w:cs="Cambria"/>
                <w:b w:val="0"/>
                <w:sz w:val="22"/>
              </w:rPr>
              <w:t>۳۸٫۹۲</w:t>
            </w:r>
          </w:p>
        </w:tc>
      </w:tr>
      <w:tr>
        <w:tc>
          <w:tcPr>
            <w:tcW w:type="dxa" w:w="2055"/>
          </w:tcPr>
          <w:p>
            <w:pPr>
              <w:bidi w:val="1"/>
              <w:jc w:val="center"/>
            </w:pPr>
            <w:r/>
            <w:r>
              <w:rPr>
                <w:rFonts w:ascii="Cambria" w:hAnsi="Cambria" w:cs="Cambria"/>
                <w:b w:val="0"/>
                <w:sz w:val="22"/>
              </w:rPr>
              <w:t>سابقه (ماه)</w:t>
            </w:r>
          </w:p>
        </w:tc>
        <w:tc>
          <w:tcPr>
            <w:tcW w:type="dxa" w:w="2055"/>
          </w:tcPr>
          <w:p>
            <w:pPr>
              <w:bidi w:val="1"/>
              <w:jc w:val="center"/>
            </w:pPr>
            <w:r/>
            <w:r>
              <w:rPr>
                <w:rFonts w:ascii="Cambria" w:hAnsi="Cambria" w:cs="Cambria"/>
                <w:b w:val="0"/>
                <w:sz w:val="22"/>
              </w:rPr>
              <w:t>۷۲ به بالا</w:t>
            </w:r>
          </w:p>
        </w:tc>
        <w:tc>
          <w:tcPr>
            <w:tcW w:type="dxa" w:w="2055"/>
          </w:tcPr>
          <w:p>
            <w:pPr>
              <w:bidi w:val="1"/>
              <w:jc w:val="center"/>
            </w:pPr>
            <w:r/>
            <w:r>
              <w:rPr>
                <w:rFonts w:ascii="Cambria" w:hAnsi="Cambria" w:cs="Cambria"/>
                <w:b w:val="0"/>
                <w:sz w:val="22"/>
              </w:rPr>
              <w:t>۲۴</w:t>
            </w:r>
          </w:p>
        </w:tc>
        <w:tc>
          <w:tcPr>
            <w:tcW w:type="dxa" w:w="2055"/>
          </w:tcPr>
          <w:p>
            <w:pPr>
              <w:bidi w:val="1"/>
              <w:jc w:val="center"/>
            </w:pPr>
            <w:r/>
            <w:r>
              <w:rPr>
                <w:rFonts w:ascii="Cambria" w:hAnsi="Cambria" w:cs="Cambria"/>
                <w:b w:val="0"/>
                <w:sz w:val="22"/>
              </w:rPr>
              <w:t>۱۲٫۹۷</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 الی ۱۰ معامله</w:t>
            </w:r>
          </w:p>
        </w:tc>
        <w:tc>
          <w:tcPr>
            <w:tcW w:type="dxa" w:w="2055"/>
          </w:tcPr>
          <w:p>
            <w:pPr>
              <w:bidi w:val="1"/>
              <w:jc w:val="center"/>
            </w:pPr>
            <w:r/>
            <w:r>
              <w:rPr>
                <w:rFonts w:ascii="Cambria" w:hAnsi="Cambria" w:cs="Cambria"/>
                <w:b w:val="0"/>
                <w:sz w:val="22"/>
              </w:rPr>
              <w:t>۶۵</w:t>
            </w:r>
          </w:p>
        </w:tc>
        <w:tc>
          <w:tcPr>
            <w:tcW w:type="dxa" w:w="2055"/>
          </w:tcPr>
          <w:p>
            <w:pPr>
              <w:bidi w:val="1"/>
              <w:jc w:val="center"/>
            </w:pPr>
            <w:r/>
            <w:r>
              <w:rPr>
                <w:rFonts w:ascii="Cambria" w:hAnsi="Cambria" w:cs="Cambria"/>
                <w:b w:val="0"/>
                <w:sz w:val="22"/>
              </w:rPr>
              <w:t>۳۵٫۱۴</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۱۰ الی ۵۰</w:t>
            </w:r>
          </w:p>
        </w:tc>
        <w:tc>
          <w:tcPr>
            <w:tcW w:type="dxa" w:w="2055"/>
          </w:tcPr>
          <w:p>
            <w:pPr>
              <w:bidi w:val="1"/>
              <w:jc w:val="center"/>
            </w:pPr>
            <w:r/>
            <w:r>
              <w:rPr>
                <w:rFonts w:ascii="Cambria" w:hAnsi="Cambria" w:cs="Cambria"/>
                <w:b w:val="0"/>
                <w:sz w:val="22"/>
              </w:rPr>
              <w:t>۷۹</w:t>
            </w:r>
          </w:p>
        </w:tc>
        <w:tc>
          <w:tcPr>
            <w:tcW w:type="dxa" w:w="2055"/>
          </w:tcPr>
          <w:p>
            <w:pPr>
              <w:bidi w:val="1"/>
              <w:jc w:val="center"/>
            </w:pPr>
            <w:r/>
            <w:r>
              <w:rPr>
                <w:rFonts w:ascii="Cambria" w:hAnsi="Cambria" w:cs="Cambria"/>
                <w:b w:val="0"/>
                <w:sz w:val="22"/>
              </w:rPr>
              <w:t>۴۲٫۷۰</w:t>
            </w:r>
          </w:p>
        </w:tc>
      </w:tr>
      <w:tr>
        <w:tc>
          <w:tcPr>
            <w:tcW w:type="dxa" w:w="2055"/>
          </w:tcPr>
          <w:p>
            <w:pPr>
              <w:bidi w:val="1"/>
              <w:jc w:val="center"/>
            </w:pPr>
            <w:r/>
            <w:r>
              <w:rPr>
                <w:rFonts w:ascii="Cambria" w:hAnsi="Cambria" w:cs="Cambria"/>
                <w:b w:val="0"/>
                <w:sz w:val="22"/>
              </w:rPr>
              <w:t>تعداد معاملات ۶ ماههٔ اخیر</w:t>
            </w:r>
          </w:p>
        </w:tc>
        <w:tc>
          <w:tcPr>
            <w:tcW w:type="dxa" w:w="2055"/>
          </w:tcPr>
          <w:p>
            <w:pPr>
              <w:bidi w:val="1"/>
              <w:jc w:val="center"/>
            </w:pPr>
            <w:r/>
            <w:r>
              <w:rPr>
                <w:rFonts w:ascii="Cambria" w:hAnsi="Cambria" w:cs="Cambria"/>
                <w:b w:val="0"/>
                <w:sz w:val="22"/>
              </w:rPr>
              <w:t>۵۰ به بالا</w:t>
            </w:r>
          </w:p>
        </w:tc>
        <w:tc>
          <w:tcPr>
            <w:tcW w:type="dxa" w:w="2055"/>
          </w:tcPr>
          <w:p>
            <w:pPr>
              <w:bidi w:val="1"/>
              <w:jc w:val="center"/>
            </w:pPr>
            <w:r/>
            <w:r>
              <w:rPr>
                <w:rFonts w:ascii="Cambria" w:hAnsi="Cambria" w:cs="Cambria"/>
                <w:b w:val="0"/>
                <w:sz w:val="22"/>
              </w:rPr>
              <w:t>۴۱</w:t>
            </w:r>
          </w:p>
        </w:tc>
        <w:tc>
          <w:tcPr>
            <w:tcW w:type="dxa" w:w="2055"/>
          </w:tcPr>
          <w:p>
            <w:pPr>
              <w:bidi w:val="1"/>
              <w:jc w:val="center"/>
            </w:pPr>
            <w:r/>
            <w:r>
              <w:rPr>
                <w:rFonts w:ascii="Cambria" w:hAnsi="Cambria" w:cs="Cambria"/>
                <w:b w:val="0"/>
                <w:sz w:val="22"/>
              </w:rPr>
              <w:t>۲۲٫۱۶</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کمتر از ۵۰ میلیون تومان</w:t>
            </w:r>
          </w:p>
        </w:tc>
        <w:tc>
          <w:tcPr>
            <w:tcW w:type="dxa" w:w="2055"/>
          </w:tcPr>
          <w:p>
            <w:pPr>
              <w:bidi w:val="1"/>
              <w:jc w:val="center"/>
            </w:pPr>
            <w:r/>
            <w:r>
              <w:rPr>
                <w:rFonts w:ascii="Cambria" w:hAnsi="Cambria" w:cs="Cambria"/>
                <w:b w:val="0"/>
                <w:sz w:val="22"/>
              </w:rPr>
              <w:t>۴۹</w:t>
            </w:r>
          </w:p>
        </w:tc>
        <w:tc>
          <w:tcPr>
            <w:tcW w:type="dxa" w:w="2055"/>
          </w:tcPr>
          <w:p>
            <w:pPr>
              <w:bidi w:val="1"/>
              <w:jc w:val="center"/>
            </w:pPr>
            <w:r/>
            <w:r>
              <w:rPr>
                <w:rFonts w:ascii="Cambria" w:hAnsi="Cambria" w:cs="Cambria"/>
                <w:b w:val="0"/>
                <w:sz w:val="22"/>
              </w:rPr>
              <w:t>۲۶٫۴۹</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 تا ۲۰۰ میلیون تومان</w:t>
            </w:r>
          </w:p>
        </w:tc>
        <w:tc>
          <w:tcPr>
            <w:tcW w:type="dxa" w:w="2055"/>
          </w:tcPr>
          <w:p>
            <w:pPr>
              <w:bidi w:val="1"/>
              <w:jc w:val="center"/>
            </w:pPr>
            <w:r/>
            <w:r>
              <w:rPr>
                <w:rFonts w:ascii="Cambria" w:hAnsi="Cambria" w:cs="Cambria"/>
                <w:b w:val="0"/>
                <w:sz w:val="22"/>
              </w:rPr>
              <w:t>۵۰</w:t>
            </w:r>
          </w:p>
        </w:tc>
        <w:tc>
          <w:tcPr>
            <w:tcW w:type="dxa" w:w="2055"/>
          </w:tcPr>
          <w:p>
            <w:pPr>
              <w:bidi w:val="1"/>
              <w:jc w:val="center"/>
            </w:pPr>
            <w:r/>
            <w:r>
              <w:rPr>
                <w:rFonts w:ascii="Cambria" w:hAnsi="Cambria" w:cs="Cambria"/>
                <w:b w:val="0"/>
                <w:sz w:val="22"/>
              </w:rPr>
              <w:t>۲۷٫۰۳</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۲۰۰ تا ۵۰۰ میلیون تومان</w:t>
            </w:r>
          </w:p>
        </w:tc>
        <w:tc>
          <w:tcPr>
            <w:tcW w:type="dxa" w:w="2055"/>
          </w:tcPr>
          <w:p>
            <w:pPr>
              <w:bidi w:val="1"/>
              <w:jc w:val="center"/>
            </w:pPr>
            <w:r/>
            <w:r>
              <w:rPr>
                <w:rFonts w:ascii="Cambria" w:hAnsi="Cambria" w:cs="Cambria"/>
                <w:b w:val="0"/>
                <w:sz w:val="22"/>
              </w:rPr>
              <w:t>۳۷</w:t>
            </w:r>
          </w:p>
        </w:tc>
        <w:tc>
          <w:tcPr>
            <w:tcW w:type="dxa" w:w="2055"/>
          </w:tcPr>
          <w:p>
            <w:pPr>
              <w:bidi w:val="1"/>
              <w:jc w:val="center"/>
            </w:pPr>
            <w:r/>
            <w:r>
              <w:rPr>
                <w:rFonts w:ascii="Cambria" w:hAnsi="Cambria" w:cs="Cambria"/>
                <w:b w:val="0"/>
                <w:sz w:val="22"/>
              </w:rPr>
              <w:t>۲۰٫۰۰</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۵۰۰ میلیون تا ۱ میلیارد تومان</w:t>
            </w:r>
          </w:p>
        </w:tc>
        <w:tc>
          <w:tcPr>
            <w:tcW w:type="dxa" w:w="2055"/>
          </w:tcPr>
          <w:p>
            <w:pPr>
              <w:bidi w:val="1"/>
              <w:jc w:val="center"/>
            </w:pPr>
            <w:r/>
            <w:r>
              <w:rPr>
                <w:rFonts w:ascii="Cambria" w:hAnsi="Cambria" w:cs="Cambria"/>
                <w:b w:val="0"/>
                <w:sz w:val="22"/>
              </w:rPr>
              <w:t>۲۹</w:t>
            </w:r>
          </w:p>
        </w:tc>
        <w:tc>
          <w:tcPr>
            <w:tcW w:type="dxa" w:w="2055"/>
          </w:tcPr>
          <w:p>
            <w:pPr>
              <w:bidi w:val="1"/>
              <w:jc w:val="center"/>
            </w:pPr>
            <w:r/>
            <w:r>
              <w:rPr>
                <w:rFonts w:ascii="Cambria" w:hAnsi="Cambria" w:cs="Cambria"/>
                <w:b w:val="0"/>
                <w:sz w:val="22"/>
              </w:rPr>
              <w:t>۱۵٫۶۸</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بیش از ۱ میلیارد تومان</w:t>
            </w:r>
          </w:p>
        </w:tc>
        <w:tc>
          <w:tcPr>
            <w:tcW w:type="dxa" w:w="2055"/>
          </w:tcPr>
          <w:p>
            <w:pPr>
              <w:bidi w:val="1"/>
              <w:jc w:val="center"/>
            </w:pPr>
            <w:r/>
            <w:r>
              <w:rPr>
                <w:rFonts w:ascii="Cambria" w:hAnsi="Cambria" w:cs="Cambria"/>
                <w:b w:val="0"/>
                <w:sz w:val="22"/>
              </w:rPr>
              <w:t>۱۵</w:t>
            </w:r>
          </w:p>
        </w:tc>
        <w:tc>
          <w:tcPr>
            <w:tcW w:type="dxa" w:w="2055"/>
          </w:tcPr>
          <w:p>
            <w:pPr>
              <w:bidi w:val="1"/>
              <w:jc w:val="center"/>
            </w:pPr>
            <w:r/>
            <w:r>
              <w:rPr>
                <w:rFonts w:ascii="Cambria" w:hAnsi="Cambria" w:cs="Cambria"/>
                <w:b w:val="0"/>
                <w:sz w:val="22"/>
              </w:rPr>
              <w:t>۸٫۱۱</w:t>
            </w:r>
          </w:p>
        </w:tc>
      </w:tr>
      <w:tr>
        <w:tc>
          <w:tcPr>
            <w:tcW w:type="dxa" w:w="2055"/>
          </w:tcPr>
          <w:p>
            <w:pPr>
              <w:bidi w:val="1"/>
              <w:jc w:val="center"/>
            </w:pPr>
            <w:r/>
            <w:r>
              <w:rPr>
                <w:rFonts w:ascii="Cambria" w:hAnsi="Cambria" w:cs="Cambria"/>
                <w:b w:val="0"/>
                <w:sz w:val="22"/>
              </w:rPr>
              <w:t>سرمایهٔ تقریبی</w:t>
            </w:r>
          </w:p>
        </w:tc>
        <w:tc>
          <w:tcPr>
            <w:tcW w:type="dxa" w:w="2055"/>
          </w:tcPr>
          <w:p>
            <w:pPr>
              <w:bidi w:val="1"/>
              <w:jc w:val="center"/>
            </w:pPr>
            <w:r/>
            <w:r>
              <w:rPr>
                <w:rFonts w:ascii="Cambria" w:hAnsi="Cambria" w:cs="Cambria"/>
                <w:b w:val="0"/>
                <w:sz w:val="22"/>
              </w:rPr>
              <w:t>ترجیح می‌دهم پاسخ ندهم</w:t>
            </w:r>
          </w:p>
        </w:tc>
        <w:tc>
          <w:tcPr>
            <w:tcW w:type="dxa" w:w="2055"/>
          </w:tcPr>
          <w:p>
            <w:pPr>
              <w:bidi w:val="1"/>
              <w:jc w:val="center"/>
            </w:pPr>
            <w:r/>
            <w:r>
              <w:rPr>
                <w:rFonts w:ascii="Cambria" w:hAnsi="Cambria" w:cs="Cambria"/>
                <w:b w:val="0"/>
                <w:sz w:val="22"/>
              </w:rPr>
              <w:t>۵</w:t>
            </w:r>
          </w:p>
        </w:tc>
        <w:tc>
          <w:tcPr>
            <w:tcW w:type="dxa" w:w="2055"/>
          </w:tcPr>
          <w:p>
            <w:pPr>
              <w:bidi w:val="1"/>
              <w:jc w:val="center"/>
            </w:pPr>
            <w:r/>
            <w:r>
              <w:rPr>
                <w:rFonts w:ascii="Cambria" w:hAnsi="Cambria" w:cs="Cambria"/>
                <w:b w:val="0"/>
                <w:sz w:val="22"/>
              </w:rPr>
              <w:t>۲٫۷۰</w:t>
            </w:r>
          </w:p>
        </w:tc>
      </w:tr>
    </w:tbl>
    <w:p>
      <w:pPr>
        <w:pStyle w:val="Heading2"/>
        <w:bidi w:val="1"/>
        <w:jc w:val="right"/>
        <w:outlineLvl w:val="1"/>
      </w:pPr>
      <w:r>
        <w:rPr>
          <w:rFonts w:ascii="B Nazanin" w:hAnsi="B Nazanin" w:cs="B Nazanin" w:hint="cs"/>
          <w:b/>
          <w:bCs/>
          <w:sz w:val="28"/>
          <w:szCs w:val="28"/>
          <w:rtl/>
          <w:lang w:bidi="fa-IR"/>
        </w:rPr>
        <w:t xml:space="preserve">۴-۴. شاخص‌های توصیفی متغیرهای اصلی پژوهش</w:t>
      </w:r>
    </w:p>
    <w:p>
      <w:pPr>
        <w:bidi w:val="1"/>
        <w:spacing w:lineRule="exact" w:line="580" w:after="0"/>
        <w:jc w:val="both"/>
      </w:pPr>
      <w:r>
        <w:rPr>
          <w:rFonts w:ascii="B Nazanin" w:hAnsi="B Nazanin" w:cs="B Nazanin" w:hint="cs"/>
          <w:sz w:val="24"/>
          <w:szCs w:val="24"/>
          <w:rtl/>
          <w:lang w:bidi="fa-IR"/>
        </w:rPr>
        <w:t xml:space="preserve">نمره‌گذاری ابزارها بر اساس کلید نهایی هر مقیاس انجام شد. در فرم اضطراب صفتی اسپیلبرگر، ۸ گویه به‌صورت معکوس نمره‌گذاری شدند (گویه‌های ۱، ۶، ۷، ۱۰، ۱۳، ۱۴، ۱۶ و ۱۹) و نمره کل در دامنه ۲۰ تا ۸۰ محاسبه شد. در فرم کوتاه یانگ، هیچ گویه‌ای معکوس نبود؛ نمره هر یک از ۱۵ طرحواره از مجموع ۵ گویه پیاپی آن در دامنه ۵ تا ۳۰ و نمره کل طرحواره‌ها از مجموع هر ۷۵ گویه در دامنه ۷۵ تا ۴۵۰ به دست آمد. در مقیاس تحمل ریسک گرابل و لایتون، سؤال اول معکوس و سؤال سیزدهم با الگوی اختصاصی خود نمره‌گذاری شد و نمره کل ۱۳ سؤالی در دامنه ۱۳ تا ۵۲ قرار گرفت. متغیر پیامد پژوهش (رفتارهای مالی پرخطر) با همین مقیاس سنجیده شد و نمره بالاتر به معنای تحمل ریسک بیشتر و تمایل بالاتر به رفتار پرخطر است. جدول ۴-۴ شاخص‌های توصیفی نمره‌های کل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شاخص‌های توصیفی نمره‌های کل</w:t>
      </w:r>
    </w:p>
    <w:p>
      <w:pPr>
        <w:bidi/>
      </w:pPr>
      <w:r>
        <w:rPr>
          <w:vanish/>
          <w:rFonts w:ascii="B Nazanin" w:hAnsi="B Nazanin"/>
        </w:rPr>
        <w:fldChar w:fldCharType="begin"/>
      </w:r>
      <w:r>
        <w:rPr>
          <w:vanish/>
          <w:rFonts w:ascii="B Nazanin" w:hAnsi="B Nazanin"/>
        </w:rPr>
        <w:instrText>TC "جدول ۴-۴. شاخص‌های توصیفی نمره‌های کل"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913"/>
        <w:gridCol w:w="913"/>
        <w:gridCol w:w="913"/>
        <w:gridCol w:w="913"/>
        <w:gridCol w:w="913"/>
        <w:gridCol w:w="913"/>
        <w:gridCol w:w="913"/>
        <w:gridCol w:w="913"/>
        <w:gridCol w:w="913"/>
      </w:tblGrid>
      <w:tr>
        <w:tc>
          <w:tcPr>
            <w:tcW w:type="dxa" w:w="913"/>
            <w:tcBorders>
              <w:bottom w:val="single" w:sz="12" w:space="0" w:color="000000"/>
            </w:tcBorders>
          </w:tcPr>
          <w:p>
            <w:pPr>
              <w:bidi w:val="1"/>
              <w:jc w:val="center"/>
            </w:pPr>
            <w:r/>
            <w:r>
              <w:rPr>
                <w:rFonts w:ascii="Cambria" w:hAnsi="Cambria" w:cs="Cambria"/>
                <w:b/>
                <w:sz w:val="22"/>
              </w:rPr>
              <w:t>متغیر</w:t>
            </w:r>
          </w:p>
        </w:tc>
        <w:tc>
          <w:tcPr>
            <w:tcW w:type="dxa" w:w="913"/>
            <w:tcBorders>
              <w:bottom w:val="single" w:sz="12" w:space="0" w:color="000000"/>
            </w:tcBorders>
          </w:tcPr>
          <w:p>
            <w:pPr>
              <w:bidi w:val="1"/>
              <w:jc w:val="center"/>
            </w:pPr>
            <w:r/>
            <w:r>
              <w:rPr>
                <w:rFonts w:ascii="Cambria" w:hAnsi="Cambria" w:cs="Cambria"/>
                <w:b/>
                <w:sz w:val="22"/>
              </w:rPr>
              <w:t>میانگین</w:t>
            </w:r>
          </w:p>
        </w:tc>
        <w:tc>
          <w:tcPr>
            <w:tcW w:type="dxa" w:w="913"/>
            <w:tcBorders>
              <w:bottom w:val="single" w:sz="12" w:space="0" w:color="000000"/>
            </w:tcBorders>
          </w:tcPr>
          <w:p>
            <w:pPr>
              <w:bidi w:val="1"/>
              <w:jc w:val="center"/>
            </w:pPr>
            <w:r/>
            <w:r>
              <w:rPr>
                <w:rFonts w:ascii="Cambria" w:hAnsi="Cambria" w:cs="Cambria"/>
                <w:b/>
                <w:sz w:val="22"/>
              </w:rPr>
              <w:t>انحراف معیار</w:t>
            </w:r>
          </w:p>
        </w:tc>
        <w:tc>
          <w:tcPr>
            <w:tcW w:type="dxa" w:w="913"/>
            <w:tcBorders>
              <w:bottom w:val="single" w:sz="12" w:space="0" w:color="000000"/>
            </w:tcBorders>
          </w:tcPr>
          <w:p>
            <w:pPr>
              <w:bidi w:val="1"/>
              <w:jc w:val="center"/>
            </w:pPr>
            <w:r/>
            <w:r>
              <w:rPr>
                <w:rFonts w:ascii="Cambria" w:hAnsi="Cambria" w:cs="Cambria"/>
                <w:b/>
                <w:sz w:val="22"/>
              </w:rPr>
              <w:t>کمینه</w:t>
            </w:r>
          </w:p>
        </w:tc>
        <w:tc>
          <w:tcPr>
            <w:tcW w:type="dxa" w:w="913"/>
            <w:tcBorders>
              <w:bottom w:val="single" w:sz="12" w:space="0" w:color="000000"/>
            </w:tcBorders>
          </w:tcPr>
          <w:p>
            <w:pPr>
              <w:bidi w:val="1"/>
              <w:jc w:val="center"/>
            </w:pPr>
            <w:r/>
            <w:r>
              <w:rPr>
                <w:rFonts w:ascii="Cambria" w:hAnsi="Cambria" w:cs="Cambria"/>
                <w:b/>
                <w:sz w:val="22"/>
              </w:rPr>
              <w:t>بیشینه</w:t>
            </w:r>
          </w:p>
        </w:tc>
        <w:tc>
          <w:tcPr>
            <w:tcW w:type="dxa" w:w="913"/>
            <w:tcBorders>
              <w:bottom w:val="single" w:sz="12" w:space="0" w:color="000000"/>
            </w:tcBorders>
          </w:tcPr>
          <w:p>
            <w:pPr>
              <w:bidi w:val="1"/>
              <w:jc w:val="center"/>
            </w:pPr>
            <w:r/>
            <w:r>
              <w:rPr>
                <w:rFonts w:ascii="Cambria" w:hAnsi="Cambria" w:cs="Cambria"/>
                <w:b/>
                <w:sz w:val="22"/>
              </w:rPr>
              <w:t>چولگی</w:t>
            </w:r>
          </w:p>
        </w:tc>
        <w:tc>
          <w:tcPr>
            <w:tcW w:type="dxa" w:w="913"/>
            <w:tcBorders>
              <w:bottom w:val="single" w:sz="12" w:space="0" w:color="000000"/>
            </w:tcBorders>
          </w:tcPr>
          <w:p>
            <w:pPr>
              <w:bidi w:val="1"/>
              <w:jc w:val="center"/>
            </w:pPr>
            <w:r/>
            <w:r>
              <w:rPr>
                <w:rFonts w:ascii="Cambria" w:hAnsi="Cambria" w:cs="Cambria"/>
                <w:b/>
                <w:sz w:val="22"/>
              </w:rPr>
              <w:t>کشیدگی</w:t>
            </w:r>
          </w:p>
        </w:tc>
        <w:tc>
          <w:tcPr>
            <w:tcW w:type="dxa" w:w="913"/>
            <w:tcBorders>
              <w:bottom w:val="single" w:sz="12" w:space="0" w:color="000000"/>
            </w:tcBorders>
          </w:tcPr>
          <w:p>
            <w:pPr>
              <w:bidi w:val="1"/>
              <w:jc w:val="center"/>
            </w:pPr>
            <w:r/>
            <w:r>
              <w:rPr>
                <w:rFonts w:ascii="Cambria" w:hAnsi="Cambria" w:cs="Cambria"/>
                <w:b/>
                <w:sz w:val="22"/>
              </w:rPr>
              <w:t>دامنهٔ نظری</w:t>
            </w:r>
          </w:p>
        </w:tc>
        <w:tc>
          <w:tcPr>
            <w:tcW w:type="dxa" w:w="913"/>
            <w:tcBorders>
              <w:bottom w:val="single" w:sz="12" w:space="0" w:color="000000"/>
            </w:tcBorders>
          </w:tcPr>
          <w:p>
            <w:pPr>
              <w:bidi w:val="1"/>
              <w:jc w:val="center"/>
            </w:pPr>
            <w:r/>
            <w:r>
              <w:rPr>
                <w:rFonts w:ascii="Cambria" w:hAnsi="Cambria" w:cs="Cambria"/>
                <w:b/>
                <w:sz w:val="22"/>
              </w:rPr>
              <w:t>دامنهٔ مشاهده‌شده</w:t>
            </w:r>
          </w:p>
        </w:tc>
      </w:tr>
      <w:tr>
        <w:tc>
          <w:tcPr>
            <w:tcW w:type="dxa" w:w="913"/>
          </w:tcPr>
          <w:p>
            <w:pPr>
              <w:bidi w:val="1"/>
              <w:jc w:val="center"/>
            </w:pPr>
            <w:r/>
            <w:r>
              <w:rPr>
                <w:rFonts w:ascii="Cambria" w:hAnsi="Cambria" w:cs="Cambria"/>
                <w:b w:val="0"/>
                <w:sz w:val="22"/>
              </w:rPr>
              <w:t>اضطراب صفتی</w:t>
            </w:r>
          </w:p>
        </w:tc>
        <w:tc>
          <w:tcPr>
            <w:tcW w:type="dxa" w:w="913"/>
          </w:tcPr>
          <w:p>
            <w:pPr>
              <w:bidi w:val="1"/>
              <w:jc w:val="center"/>
            </w:pPr>
            <w:r/>
            <w:r>
              <w:rPr>
                <w:rFonts w:ascii="Cambria" w:hAnsi="Cambria" w:cs="Cambria"/>
                <w:b w:val="0"/>
                <w:sz w:val="22"/>
              </w:rPr>
              <w:t>۴۵٫۳۶</w:t>
            </w:r>
          </w:p>
        </w:tc>
        <w:tc>
          <w:tcPr>
            <w:tcW w:type="dxa" w:w="913"/>
          </w:tcPr>
          <w:p>
            <w:pPr>
              <w:bidi w:val="1"/>
              <w:jc w:val="center"/>
            </w:pPr>
            <w:r/>
            <w:r>
              <w:rPr>
                <w:rFonts w:ascii="Cambria" w:hAnsi="Cambria" w:cs="Cambria"/>
                <w:b w:val="0"/>
                <w:sz w:val="22"/>
              </w:rPr>
              <w:t>۱۱٫۴۲</w:t>
            </w:r>
          </w:p>
        </w:tc>
        <w:tc>
          <w:tcPr>
            <w:tcW w:type="dxa" w:w="913"/>
          </w:tcPr>
          <w:p>
            <w:pPr>
              <w:bidi w:val="1"/>
              <w:jc w:val="center"/>
            </w:pPr>
            <w:r/>
            <w:r>
              <w:rPr>
                <w:rFonts w:ascii="Cambria" w:hAnsi="Cambria" w:cs="Cambria"/>
                <w:b w:val="0"/>
                <w:sz w:val="22"/>
              </w:rPr>
              <w:t>۲۱</w:t>
            </w:r>
          </w:p>
        </w:tc>
        <w:tc>
          <w:tcPr>
            <w:tcW w:type="dxa" w:w="913"/>
          </w:tcPr>
          <w:p>
            <w:pPr>
              <w:bidi w:val="1"/>
              <w:jc w:val="center"/>
            </w:pPr>
            <w:r/>
            <w:r>
              <w:rPr>
                <w:rFonts w:ascii="Cambria" w:hAnsi="Cambria" w:cs="Cambria"/>
                <w:b w:val="0"/>
                <w:sz w:val="22"/>
              </w:rPr>
              <w:t>۷۴</w:t>
            </w:r>
          </w:p>
        </w:tc>
        <w:tc>
          <w:tcPr>
            <w:tcW w:type="dxa" w:w="913"/>
          </w:tcPr>
          <w:p>
            <w:pPr>
              <w:bidi w:val="1"/>
              <w:jc w:val="center"/>
            </w:pPr>
            <w:r/>
            <w:r>
              <w:rPr>
                <w:rFonts w:ascii="Cambria" w:hAnsi="Cambria" w:cs="Cambria"/>
                <w:b w:val="0"/>
                <w:sz w:val="22"/>
              </w:rPr>
              <w:t>۰٫۰۶</w:t>
            </w:r>
          </w:p>
        </w:tc>
        <w:tc>
          <w:tcPr>
            <w:tcW w:type="dxa" w:w="913"/>
          </w:tcPr>
          <w:p>
            <w:pPr>
              <w:bidi w:val="1"/>
              <w:jc w:val="center"/>
            </w:pPr>
            <w:r/>
            <w:r>
              <w:rPr>
                <w:rFonts w:ascii="Cambria" w:hAnsi="Cambria" w:cs="Cambria"/>
                <w:b w:val="0"/>
                <w:sz w:val="22"/>
              </w:rPr>
              <w:t>−۰٫۸۰</w:t>
            </w:r>
          </w:p>
        </w:tc>
        <w:tc>
          <w:tcPr>
            <w:tcW w:type="dxa" w:w="913"/>
          </w:tcPr>
          <w:p>
            <w:pPr>
              <w:bidi w:val="1"/>
              <w:jc w:val="center"/>
            </w:pPr>
            <w:r/>
            <w:r>
              <w:rPr>
                <w:rFonts w:ascii="Cambria" w:hAnsi="Cambria" w:cs="Cambria"/>
                <w:b w:val="0"/>
                <w:sz w:val="22"/>
              </w:rPr>
              <w:t>۲۰ تا ۸۰</w:t>
            </w:r>
          </w:p>
        </w:tc>
        <w:tc>
          <w:tcPr>
            <w:tcW w:type="dxa" w:w="913"/>
          </w:tcPr>
          <w:p>
            <w:pPr>
              <w:bidi w:val="1"/>
              <w:jc w:val="center"/>
            </w:pPr>
            <w:r/>
            <w:r>
              <w:rPr>
                <w:rFonts w:ascii="Cambria" w:hAnsi="Cambria" w:cs="Cambria"/>
                <w:b w:val="0"/>
                <w:sz w:val="22"/>
              </w:rPr>
              <w:t>۲۱ تا ۷۴</w:t>
            </w:r>
          </w:p>
        </w:tc>
      </w:tr>
      <w:tr>
        <w:tc>
          <w:tcPr>
            <w:tcW w:type="dxa" w:w="913"/>
          </w:tcPr>
          <w:p>
            <w:pPr>
              <w:bidi w:val="1"/>
              <w:jc w:val="center"/>
            </w:pPr>
            <w:r/>
            <w:r>
              <w:rPr>
                <w:rFonts w:ascii="Cambria" w:hAnsi="Cambria" w:cs="Cambria"/>
                <w:b w:val="0"/>
                <w:sz w:val="22"/>
              </w:rPr>
              <w:t>طرحواره‌های ناسازگار اولیه (نمرهٔ کل)</w:t>
            </w:r>
          </w:p>
        </w:tc>
        <w:tc>
          <w:tcPr>
            <w:tcW w:type="dxa" w:w="913"/>
          </w:tcPr>
          <w:p>
            <w:pPr>
              <w:bidi w:val="1"/>
              <w:jc w:val="center"/>
            </w:pPr>
            <w:r/>
            <w:r>
              <w:rPr>
                <w:rFonts w:ascii="Cambria" w:hAnsi="Cambria" w:cs="Cambria"/>
                <w:b w:val="0"/>
                <w:sz w:val="22"/>
              </w:rPr>
              <w:t>۲۱۸٫۱۱</w:t>
            </w:r>
          </w:p>
        </w:tc>
        <w:tc>
          <w:tcPr>
            <w:tcW w:type="dxa" w:w="913"/>
          </w:tcPr>
          <w:p>
            <w:pPr>
              <w:bidi w:val="1"/>
              <w:jc w:val="center"/>
            </w:pPr>
            <w:r/>
            <w:r>
              <w:rPr>
                <w:rFonts w:ascii="Cambria" w:hAnsi="Cambria" w:cs="Cambria"/>
                <w:b w:val="0"/>
                <w:sz w:val="22"/>
              </w:rPr>
              <w:t>۴۰٫۷۸</w:t>
            </w:r>
          </w:p>
        </w:tc>
        <w:tc>
          <w:tcPr>
            <w:tcW w:type="dxa" w:w="913"/>
          </w:tcPr>
          <w:p>
            <w:pPr>
              <w:bidi w:val="1"/>
              <w:jc w:val="center"/>
            </w:pPr>
            <w:r/>
            <w:r>
              <w:rPr>
                <w:rFonts w:ascii="Cambria" w:hAnsi="Cambria" w:cs="Cambria"/>
                <w:b w:val="0"/>
                <w:sz w:val="22"/>
              </w:rPr>
              <w:t>۱۲۹</w:t>
            </w:r>
          </w:p>
        </w:tc>
        <w:tc>
          <w:tcPr>
            <w:tcW w:type="dxa" w:w="913"/>
          </w:tcPr>
          <w:p>
            <w:pPr>
              <w:bidi w:val="1"/>
              <w:jc w:val="center"/>
            </w:pPr>
            <w:r/>
            <w:r>
              <w:rPr>
                <w:rFonts w:ascii="Cambria" w:hAnsi="Cambria" w:cs="Cambria"/>
                <w:b w:val="0"/>
                <w:sz w:val="22"/>
              </w:rPr>
              <w:t>۳۲۱</w:t>
            </w:r>
          </w:p>
        </w:tc>
        <w:tc>
          <w:tcPr>
            <w:tcW w:type="dxa" w:w="913"/>
          </w:tcPr>
          <w:p>
            <w:pPr>
              <w:bidi w:val="1"/>
              <w:jc w:val="center"/>
            </w:pPr>
            <w:r/>
            <w:r>
              <w:rPr>
                <w:rFonts w:ascii="Cambria" w:hAnsi="Cambria" w:cs="Cambria"/>
                <w:b w:val="0"/>
                <w:sz w:val="22"/>
              </w:rPr>
              <w:t>۰٫۴۶</w:t>
            </w:r>
          </w:p>
        </w:tc>
        <w:tc>
          <w:tcPr>
            <w:tcW w:type="dxa" w:w="913"/>
          </w:tcPr>
          <w:p>
            <w:pPr>
              <w:bidi w:val="1"/>
              <w:jc w:val="center"/>
            </w:pPr>
            <w:r/>
            <w:r>
              <w:rPr>
                <w:rFonts w:ascii="Cambria" w:hAnsi="Cambria" w:cs="Cambria"/>
                <w:b w:val="0"/>
                <w:sz w:val="22"/>
              </w:rPr>
              <w:t>−۰٫۳۶</w:t>
            </w:r>
          </w:p>
        </w:tc>
        <w:tc>
          <w:tcPr>
            <w:tcW w:type="dxa" w:w="913"/>
          </w:tcPr>
          <w:p>
            <w:pPr>
              <w:bidi w:val="1"/>
              <w:jc w:val="center"/>
            </w:pPr>
            <w:r/>
            <w:r>
              <w:rPr>
                <w:rFonts w:ascii="Cambria" w:hAnsi="Cambria" w:cs="Cambria"/>
                <w:b w:val="0"/>
                <w:sz w:val="22"/>
              </w:rPr>
              <w:t>۷۵ تا ۴۵۰</w:t>
            </w:r>
          </w:p>
        </w:tc>
        <w:tc>
          <w:tcPr>
            <w:tcW w:type="dxa" w:w="913"/>
          </w:tcPr>
          <w:p>
            <w:pPr>
              <w:bidi w:val="1"/>
              <w:jc w:val="center"/>
            </w:pPr>
            <w:r/>
            <w:r>
              <w:rPr>
                <w:rFonts w:ascii="Cambria" w:hAnsi="Cambria" w:cs="Cambria"/>
                <w:b w:val="0"/>
                <w:sz w:val="22"/>
              </w:rPr>
              <w:t>۱۲۹ تا ۳۲۱</w:t>
            </w:r>
          </w:p>
        </w:tc>
      </w:tr>
      <w:tr>
        <w:tc>
          <w:tcPr>
            <w:tcW w:type="dxa" w:w="913"/>
          </w:tcPr>
          <w:p>
            <w:pPr>
              <w:bidi w:val="1"/>
              <w:jc w:val="center"/>
            </w:pPr>
            <w:r/>
            <w:r>
              <w:rPr>
                <w:rFonts w:ascii="Cambria" w:hAnsi="Cambria" w:cs="Cambria"/>
                <w:b w:val="0"/>
                <w:sz w:val="22"/>
              </w:rPr>
              <w:t>تحمل ریسک مالی (۱۳ سؤالی)</w:t>
            </w:r>
          </w:p>
        </w:tc>
        <w:tc>
          <w:tcPr>
            <w:tcW w:type="dxa" w:w="913"/>
          </w:tcPr>
          <w:p>
            <w:pPr>
              <w:bidi w:val="1"/>
              <w:jc w:val="center"/>
            </w:pPr>
            <w:r/>
            <w:r>
              <w:rPr>
                <w:rFonts w:ascii="Cambria" w:hAnsi="Cambria" w:cs="Cambria"/>
                <w:b w:val="0"/>
                <w:sz w:val="22"/>
              </w:rPr>
              <w:t>۳۱٫۸۰</w:t>
            </w:r>
          </w:p>
        </w:tc>
        <w:tc>
          <w:tcPr>
            <w:tcW w:type="dxa" w:w="913"/>
          </w:tcPr>
          <w:p>
            <w:pPr>
              <w:bidi w:val="1"/>
              <w:jc w:val="center"/>
            </w:pPr>
            <w:r/>
            <w:r>
              <w:rPr>
                <w:rFonts w:ascii="Cambria" w:hAnsi="Cambria" w:cs="Cambria"/>
                <w:b w:val="0"/>
                <w:sz w:val="22"/>
              </w:rPr>
              <w:t>۷٫۶۳</w:t>
            </w:r>
          </w:p>
        </w:tc>
        <w:tc>
          <w:tcPr>
            <w:tcW w:type="dxa" w:w="913"/>
          </w:tcPr>
          <w:p>
            <w:pPr>
              <w:bidi w:val="1"/>
              <w:jc w:val="center"/>
            </w:pPr>
            <w:r/>
            <w:r>
              <w:rPr>
                <w:rFonts w:ascii="Cambria" w:hAnsi="Cambria" w:cs="Cambria"/>
                <w:b w:val="0"/>
                <w:sz w:val="22"/>
              </w:rPr>
              <w:t>۱۴</w:t>
            </w:r>
          </w:p>
        </w:tc>
        <w:tc>
          <w:tcPr>
            <w:tcW w:type="dxa" w:w="913"/>
          </w:tcPr>
          <w:p>
            <w:pPr>
              <w:bidi w:val="1"/>
              <w:jc w:val="center"/>
            </w:pPr>
            <w:r/>
            <w:r>
              <w:rPr>
                <w:rFonts w:ascii="Cambria" w:hAnsi="Cambria" w:cs="Cambria"/>
                <w:b w:val="0"/>
                <w:sz w:val="22"/>
              </w:rPr>
              <w:t>۴۸</w:t>
            </w:r>
          </w:p>
        </w:tc>
        <w:tc>
          <w:tcPr>
            <w:tcW w:type="dxa" w:w="913"/>
          </w:tcPr>
          <w:p>
            <w:pPr>
              <w:bidi w:val="1"/>
              <w:jc w:val="center"/>
            </w:pPr>
            <w:r/>
            <w:r>
              <w:rPr>
                <w:rFonts w:ascii="Cambria" w:hAnsi="Cambria" w:cs="Cambria"/>
                <w:b w:val="0"/>
                <w:sz w:val="22"/>
              </w:rPr>
              <w:t>−۰٫۰۹</w:t>
            </w:r>
          </w:p>
        </w:tc>
        <w:tc>
          <w:tcPr>
            <w:tcW w:type="dxa" w:w="913"/>
          </w:tcPr>
          <w:p>
            <w:pPr>
              <w:bidi w:val="1"/>
              <w:jc w:val="center"/>
            </w:pPr>
            <w:r/>
            <w:r>
              <w:rPr>
                <w:rFonts w:ascii="Cambria" w:hAnsi="Cambria" w:cs="Cambria"/>
                <w:b w:val="0"/>
                <w:sz w:val="22"/>
              </w:rPr>
              <w:t>−۰٫۵۴</w:t>
            </w:r>
          </w:p>
        </w:tc>
        <w:tc>
          <w:tcPr>
            <w:tcW w:type="dxa" w:w="913"/>
          </w:tcPr>
          <w:p>
            <w:pPr>
              <w:bidi w:val="1"/>
              <w:jc w:val="center"/>
            </w:pPr>
            <w:r/>
            <w:r>
              <w:rPr>
                <w:rFonts w:ascii="Cambria" w:hAnsi="Cambria" w:cs="Cambria"/>
                <w:b w:val="0"/>
                <w:sz w:val="22"/>
              </w:rPr>
              <w:t>۱۳ تا ۵۲</w:t>
            </w:r>
          </w:p>
        </w:tc>
        <w:tc>
          <w:tcPr>
            <w:tcW w:type="dxa" w:w="913"/>
          </w:tcPr>
          <w:p>
            <w:pPr>
              <w:bidi w:val="1"/>
              <w:jc w:val="center"/>
            </w:pPr>
            <w:r/>
            <w:r>
              <w:rPr>
                <w:rFonts w:ascii="Cambria" w:hAnsi="Cambria" w:cs="Cambria"/>
                <w:b w:val="0"/>
                <w:sz w:val="22"/>
              </w:rPr>
              <w:t>۱۴ تا ۴۸</w:t>
            </w:r>
          </w:p>
        </w:tc>
      </w:tr>
    </w:tbl>
    <w:p>
      <w:pPr>
        <w:bidi w:val="1"/>
        <w:spacing w:lineRule="exact" w:line="580" w:after="0"/>
        <w:jc w:val="both"/>
      </w:pPr>
      <w:r>
        <w:rPr>
          <w:rFonts w:ascii="B Nazanin" w:hAnsi="B Nazanin" w:cs="B Nazanin" w:hint="cs"/>
          <w:sz w:val="24"/>
          <w:szCs w:val="24"/>
          <w:rtl/>
          <w:lang w:bidi="fa-IR"/>
        </w:rPr>
        <w:t xml:space="preserve">چنان‌که جدول ۴-۴ نشان می‌دهد، هر سه دامنه مشاهده‌شده به‌طور کامل درون دامنه نظری ابزار مربوطه قرار گرفتند و هیچ نمره‌ای خارج از بازه مجاز دیده نشد. میانگین اضطراب صفتی ۴۵٫۳۶ (انحراف معیار ۱۱٫۴۲)، میانگین نمره کل طرحواره‌ها ۲۱۸٫۱۱ (انحراف معیار ۴۰٫۷۸) و میانگین تحمل ریسک مالی ۳۱٫۸۰ (انحراف معیار ۷٫۶۳) بود. قدرمطلق چولگی هر سه متغیر کمتر از ۰٫۵ و قدرمطلق کشیدگی آن‌ها کمتر از ۱ بود که از نبود انحراف شدید از تقارن در توزیع نمره‌ها حکایت دارد.</w:t>
      </w:r>
    </w:p>
    <w:p>
      <w:pPr>
        <w:pStyle w:val="Heading2"/>
        <w:bidi w:val="1"/>
        <w:jc w:val="right"/>
        <w:outlineLvl w:val="1"/>
      </w:pPr>
      <w:r>
        <w:rPr>
          <w:rFonts w:ascii="B Nazanin" w:hAnsi="B Nazanin" w:cs="B Nazanin" w:hint="cs"/>
          <w:b/>
          <w:bCs/>
          <w:sz w:val="28"/>
          <w:szCs w:val="28"/>
          <w:rtl/>
          <w:lang w:bidi="fa-IR"/>
        </w:rPr>
        <w:t xml:space="preserve">۴-۵. پایایی ابزارهای اندازه‌گیری</w:t>
      </w:r>
    </w:p>
    <w:p>
      <w:pPr>
        <w:bidi w:val="1"/>
        <w:spacing w:lineRule="exact" w:line="580" w:after="0"/>
        <w:jc w:val="both"/>
      </w:pPr>
      <w:r>
        <w:rPr>
          <w:rFonts w:ascii="B Nazanin" w:hAnsi="B Nazanin" w:cs="B Nazanin" w:hint="cs"/>
          <w:sz w:val="24"/>
          <w:szCs w:val="24"/>
          <w:rtl/>
          <w:lang w:bidi="fa-IR"/>
        </w:rPr>
        <w:t xml:space="preserve">پایایی هر سه ابزار با ضریب آلفای کرونباخ روی نمونه نهایی ۱۸۵ نفری برآورد شد. آلفای فرم اضطراب صفتی ۰٫۸۸، آلفای نمره کل فرم کوتاه یانگ ۰٫۹۲ و آلفای مقیاس ۱۳ سؤالی تحمل ریسک ۰٫۸۲ به دست آمد که همگی در سطح مطلوب قرار دارند. پایایی هر یک از ۱۵ خرده‌مقیاس طرحواره نیز جداگانه محاسبه شد و بین ۰٫۶۱ (شکست) تا ۰٫۷۸ (رهاشدگی/بی‌ثباتی) قرار گرفت که برای خرده‌مقیاس‌های ۵ گویه‌ای قابل قبول است. نمره حوزه‌های طرحواره محاسبه نشد، زیرا کلید رسمی حوزه‌بندی در این مرحله نهایی نبود. برای اطمینان از پایداری نتایج نسبت به شیوه نمره‌گذاری سؤال سیزدهم مقیاس گرابل، نسخه ۱۲ سؤالی (بدون سؤال سیزدهم) نیز بررسی شد: آلفای این نسخه ۰٫۸۱ و همبستگی آن با نسخه ۱۳ سؤالی ۰٫۹۹ بود. جدول ۴-۵ ضرایب پایایی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پایایی ابزارها و خرده‌مقیاس‌ها (آلفای کرونباخ)</w:t>
      </w:r>
    </w:p>
    <w:p>
      <w:pPr>
        <w:bidi/>
      </w:pPr>
      <w:r>
        <w:rPr>
          <w:vanish/>
          <w:rFonts w:ascii="B Nazanin" w:hAnsi="B Nazanin"/>
        </w:rPr>
        <w:fldChar w:fldCharType="begin"/>
      </w:r>
      <w:r>
        <w:rPr>
          <w:vanish/>
          <w:rFonts w:ascii="B Nazanin" w:hAnsi="B Nazanin"/>
        </w:rPr>
        <w:instrText>TC "جدول ۴-۵. پایایی ابزارها و خرده‌مقیاس‌ها (آلفای کرونباخ)"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مقیاس</w:t>
            </w:r>
          </w:p>
        </w:tc>
        <w:tc>
          <w:tcPr>
            <w:tcW w:type="dxa" w:w="2740"/>
            <w:tcBorders>
              <w:bottom w:val="single" w:sz="12" w:space="0" w:color="000000"/>
            </w:tcBorders>
          </w:tcPr>
          <w:p>
            <w:pPr>
              <w:bidi w:val="1"/>
              <w:jc w:val="center"/>
            </w:pPr>
            <w:r/>
            <w:r>
              <w:rPr>
                <w:rFonts w:ascii="Cambria" w:hAnsi="Cambria" w:cs="Cambria"/>
                <w:b/>
                <w:sz w:val="22"/>
              </w:rPr>
              <w:t>تعداد گویه</w:t>
            </w:r>
          </w:p>
        </w:tc>
        <w:tc>
          <w:tcPr>
            <w:tcW w:type="dxa" w:w="2740"/>
            <w:tcBorders>
              <w:bottom w:val="single" w:sz="12" w:space="0" w:color="000000"/>
            </w:tcBorders>
          </w:tcPr>
          <w:p>
            <w:pPr>
              <w:bidi w:val="1"/>
              <w:jc w:val="center"/>
            </w:pPr>
            <w:r/>
            <w:r>
              <w:rPr>
                <w:rFonts w:ascii="Cambria" w:hAnsi="Cambria" w:cs="Cambria"/>
                <w:b/>
                <w:sz w:val="22"/>
              </w:rPr>
              <w:t>آلفا</w:t>
            </w:r>
          </w:p>
        </w:tc>
      </w:tr>
      <w:tr>
        <w:tc>
          <w:tcPr>
            <w:tcW w:type="dxa" w:w="2740"/>
          </w:tcPr>
          <w:p>
            <w:pPr>
              <w:bidi w:val="1"/>
              <w:jc w:val="center"/>
            </w:pPr>
            <w:r/>
            <w:r>
              <w:rPr>
                <w:rFonts w:ascii="Cambria" w:hAnsi="Cambria" w:cs="Cambria"/>
                <w:b w:val="0"/>
                <w:sz w:val="22"/>
              </w:rPr>
              <w:t>اضطراب صفتی اسپیلبرگر</w:t>
            </w:r>
          </w:p>
        </w:tc>
        <w:tc>
          <w:tcPr>
            <w:tcW w:type="dxa" w:w="2740"/>
          </w:tcPr>
          <w:p>
            <w:pPr>
              <w:bidi w:val="1"/>
              <w:jc w:val="center"/>
            </w:pPr>
            <w:r/>
            <w:r>
              <w:rPr>
                <w:rFonts w:ascii="Cambria" w:hAnsi="Cambria" w:cs="Cambria"/>
                <w:b w:val="0"/>
                <w:sz w:val="22"/>
              </w:rPr>
              <w:t>۲۰</w:t>
            </w:r>
          </w:p>
        </w:tc>
        <w:tc>
          <w:tcPr>
            <w:tcW w:type="dxa" w:w="2740"/>
          </w:tcPr>
          <w:p>
            <w:pPr>
              <w:bidi w:val="1"/>
              <w:jc w:val="center"/>
            </w:pPr>
            <w:r/>
            <w:r>
              <w:rPr>
                <w:rFonts w:ascii="Cambria" w:hAnsi="Cambria" w:cs="Cambria"/>
                <w:b w:val="0"/>
                <w:sz w:val="22"/>
              </w:rPr>
              <w:t>۰٫۸۸</w:t>
            </w:r>
          </w:p>
        </w:tc>
      </w:tr>
      <w:tr>
        <w:tc>
          <w:tcPr>
            <w:tcW w:type="dxa" w:w="2740"/>
          </w:tcPr>
          <w:p>
            <w:pPr>
              <w:bidi w:val="1"/>
              <w:jc w:val="center"/>
            </w:pPr>
            <w:r/>
            <w:r>
              <w:rPr>
                <w:rFonts w:ascii="Cambria" w:hAnsi="Cambria" w:cs="Cambria"/>
                <w:b w:val="0"/>
                <w:sz w:val="22"/>
              </w:rPr>
              <w:t>فرم کوتاه یانگ (نمرهٔ کل)</w:t>
            </w:r>
          </w:p>
        </w:tc>
        <w:tc>
          <w:tcPr>
            <w:tcW w:type="dxa" w:w="2740"/>
          </w:tcPr>
          <w:p>
            <w:pPr>
              <w:bidi w:val="1"/>
              <w:jc w:val="center"/>
            </w:pPr>
            <w:r/>
            <w:r>
              <w:rPr>
                <w:rFonts w:ascii="Cambria" w:hAnsi="Cambria" w:cs="Cambria"/>
                <w:b w:val="0"/>
                <w:sz w:val="22"/>
              </w:rPr>
              <w:t>۷۵</w:t>
            </w:r>
          </w:p>
        </w:tc>
        <w:tc>
          <w:tcPr>
            <w:tcW w:type="dxa" w:w="2740"/>
          </w:tcPr>
          <w:p>
            <w:pPr>
              <w:bidi w:val="1"/>
              <w:jc w:val="center"/>
            </w:pPr>
            <w:r/>
            <w:r>
              <w:rPr>
                <w:rFonts w:ascii="Cambria" w:hAnsi="Cambria" w:cs="Cambria"/>
                <w:b w:val="0"/>
                <w:sz w:val="22"/>
              </w:rPr>
              <w:t>۰٫۹۲</w:t>
            </w:r>
          </w:p>
        </w:tc>
      </w:tr>
      <w:tr>
        <w:tc>
          <w:tcPr>
            <w:tcW w:type="dxa" w:w="2740"/>
          </w:tcPr>
          <w:p>
            <w:pPr>
              <w:bidi w:val="1"/>
              <w:jc w:val="center"/>
            </w:pPr>
            <w:r/>
            <w:r>
              <w:rPr>
                <w:rFonts w:ascii="Cambria" w:hAnsi="Cambria" w:cs="Cambria"/>
                <w:b w:val="0"/>
                <w:sz w:val="22"/>
              </w:rPr>
              <w:t>محرومیت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رهاشدگی/بی‌ثباتی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۰٫۷۸</w:t>
            </w:r>
          </w:p>
        </w:tc>
      </w:tr>
      <w:tr>
        <w:tc>
          <w:tcPr>
            <w:tcW w:type="dxa" w:w="2740"/>
          </w:tcPr>
          <w:p>
            <w:pPr>
              <w:bidi w:val="1"/>
              <w:jc w:val="center"/>
            </w:pPr>
            <w:r/>
            <w:r>
              <w:rPr>
                <w:rFonts w:ascii="Cambria" w:hAnsi="Cambria" w:cs="Cambria"/>
                <w:b w:val="0"/>
                <w:sz w:val="22"/>
              </w:rPr>
              <w:t>بی‌اعتمادی/بدرفتاری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۰٫۶۸</w:t>
            </w:r>
          </w:p>
        </w:tc>
      </w:tr>
      <w:tr>
        <w:tc>
          <w:tcPr>
            <w:tcW w:type="dxa" w:w="2740"/>
          </w:tcPr>
          <w:p>
            <w:pPr>
              <w:bidi w:val="1"/>
              <w:jc w:val="center"/>
            </w:pPr>
            <w:r/>
            <w:r>
              <w:rPr>
                <w:rFonts w:ascii="Cambria" w:hAnsi="Cambria" w:cs="Cambria"/>
                <w:b w:val="0"/>
                <w:sz w:val="22"/>
              </w:rPr>
              <w:t>انزوای اجتماعی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نقص/شرم</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۰٫۶۶</w:t>
            </w:r>
          </w:p>
        </w:tc>
      </w:tr>
      <w:tr>
        <w:tc>
          <w:tcPr>
            <w:tcW w:type="dxa" w:w="2740"/>
          </w:tcPr>
          <w:p>
            <w:pPr>
              <w:bidi w:val="1"/>
              <w:jc w:val="center"/>
            </w:pPr>
            <w:r/>
            <w:r>
              <w:rPr>
                <w:rFonts w:ascii="Cambria" w:hAnsi="Cambria" w:cs="Cambria"/>
                <w:b w:val="0"/>
                <w:sz w:val="22"/>
              </w:rPr>
              <w:t>شکست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۰٫۶۱</w:t>
            </w:r>
          </w:p>
        </w:tc>
      </w:tr>
      <w:tr>
        <w:tc>
          <w:tcPr>
            <w:tcW w:type="dxa" w:w="2740"/>
          </w:tcPr>
          <w:p>
            <w:pPr>
              <w:bidi w:val="1"/>
              <w:jc w:val="center"/>
            </w:pPr>
            <w:r/>
            <w:r>
              <w:rPr>
                <w:rFonts w:ascii="Cambria" w:hAnsi="Cambria" w:cs="Cambria"/>
                <w:b w:val="0"/>
                <w:sz w:val="22"/>
              </w:rPr>
              <w:t>وابستگی/بی‌کفایتی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۰٫۷۵</w:t>
            </w:r>
          </w:p>
        </w:tc>
      </w:tr>
      <w:tr>
        <w:tc>
          <w:tcPr>
            <w:tcW w:type="dxa" w:w="2740"/>
          </w:tcPr>
          <w:p>
            <w:pPr>
              <w:bidi w:val="1"/>
              <w:jc w:val="center"/>
            </w:pPr>
            <w:r/>
            <w:r>
              <w:rPr>
                <w:rFonts w:ascii="Cambria" w:hAnsi="Cambria" w:cs="Cambria"/>
                <w:b w:val="0"/>
                <w:sz w:val="22"/>
              </w:rPr>
              <w:t>آسیب‌پذیری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۰٫۶۹</w:t>
            </w:r>
          </w:p>
        </w:tc>
      </w:tr>
      <w:tr>
        <w:tc>
          <w:tcPr>
            <w:tcW w:type="dxa" w:w="2740"/>
          </w:tcPr>
          <w:p>
            <w:pPr>
              <w:bidi w:val="1"/>
              <w:jc w:val="center"/>
            </w:pPr>
            <w:r/>
            <w:r>
              <w:rPr>
                <w:rFonts w:ascii="Cambria" w:hAnsi="Cambria" w:cs="Cambria"/>
                <w:b w:val="0"/>
                <w:sz w:val="22"/>
              </w:rPr>
              <w:t>درهم‌تنیدگی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۰٫۷۳</w:t>
            </w:r>
          </w:p>
        </w:tc>
      </w:tr>
      <w:tr>
        <w:tc>
          <w:tcPr>
            <w:tcW w:type="dxa" w:w="2740"/>
          </w:tcPr>
          <w:p>
            <w:pPr>
              <w:bidi w:val="1"/>
              <w:jc w:val="center"/>
            </w:pPr>
            <w:r/>
            <w:r>
              <w:rPr>
                <w:rFonts w:ascii="Cambria" w:hAnsi="Cambria" w:cs="Cambria"/>
                <w:b w:val="0"/>
                <w:sz w:val="22"/>
              </w:rPr>
              <w:t>اطاعت</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۰٫۷۲</w:t>
            </w:r>
          </w:p>
        </w:tc>
      </w:tr>
      <w:tr>
        <w:tc>
          <w:tcPr>
            <w:tcW w:type="dxa" w:w="2740"/>
          </w:tcPr>
          <w:p>
            <w:pPr>
              <w:bidi w:val="1"/>
              <w:jc w:val="center"/>
            </w:pPr>
            <w:r/>
            <w:r>
              <w:rPr>
                <w:rFonts w:ascii="Cambria" w:hAnsi="Cambria" w:cs="Cambria"/>
                <w:b w:val="0"/>
                <w:sz w:val="22"/>
              </w:rPr>
              <w:t>ایثار</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۰٫۶۷</w:t>
            </w:r>
          </w:p>
        </w:tc>
      </w:tr>
      <w:tr>
        <w:tc>
          <w:tcPr>
            <w:tcW w:type="dxa" w:w="2740"/>
          </w:tcPr>
          <w:p>
            <w:pPr>
              <w:bidi w:val="1"/>
              <w:jc w:val="center"/>
            </w:pPr>
            <w:r/>
            <w:r>
              <w:rPr>
                <w:rFonts w:ascii="Cambria" w:hAnsi="Cambria" w:cs="Cambria"/>
                <w:b w:val="0"/>
                <w:sz w:val="22"/>
              </w:rPr>
              <w:t>بازداری هیجانی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۰٫۶۳</w:t>
            </w:r>
          </w:p>
        </w:tc>
      </w:tr>
      <w:tr>
        <w:tc>
          <w:tcPr>
            <w:tcW w:type="dxa" w:w="2740"/>
          </w:tcPr>
          <w:p>
            <w:pPr>
              <w:bidi w:val="1"/>
              <w:jc w:val="center"/>
            </w:pPr>
            <w:r/>
            <w:r>
              <w:rPr>
                <w:rFonts w:ascii="Cambria" w:hAnsi="Cambria" w:cs="Cambria"/>
                <w:b w:val="0"/>
                <w:sz w:val="22"/>
              </w:rPr>
              <w:t>معیارهای سرسختانه</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۰٫۷۱</w:t>
            </w:r>
          </w:p>
        </w:tc>
      </w:tr>
      <w:tr>
        <w:tc>
          <w:tcPr>
            <w:tcW w:type="dxa" w:w="2740"/>
          </w:tcPr>
          <w:p>
            <w:pPr>
              <w:bidi w:val="1"/>
              <w:jc w:val="center"/>
            </w:pPr>
            <w:r/>
            <w:r>
              <w:rPr>
                <w:rFonts w:ascii="Cambria" w:hAnsi="Cambria" w:cs="Cambria"/>
                <w:b w:val="0"/>
                <w:sz w:val="22"/>
              </w:rPr>
              <w:t>استحقاق/بزرگ‌منشی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۰٫۷۰</w:t>
            </w:r>
          </w:p>
        </w:tc>
      </w:tr>
      <w:tr>
        <w:tc>
          <w:tcPr>
            <w:tcW w:type="dxa" w:w="2740"/>
          </w:tcPr>
          <w:p>
            <w:pPr>
              <w:bidi w:val="1"/>
              <w:jc w:val="center"/>
            </w:pPr>
            <w:r/>
            <w:r>
              <w:rPr>
                <w:rFonts w:ascii="Cambria" w:hAnsi="Cambria" w:cs="Cambria"/>
                <w:b w:val="0"/>
                <w:sz w:val="22"/>
              </w:rPr>
              <w:t>خویشتن‌داری ناکافی</w:t>
            </w:r>
          </w:p>
        </w:tc>
        <w:tc>
          <w:tcPr>
            <w:tcW w:type="dxa" w:w="2740"/>
          </w:tcPr>
          <w:p>
            <w:pPr>
              <w:bidi w:val="1"/>
              <w:jc w:val="center"/>
            </w:pPr>
            <w:r/>
            <w:r>
              <w:rPr>
                <w:rFonts w:ascii="Cambria" w:hAnsi="Cambria" w:cs="Cambria"/>
                <w:b w:val="0"/>
                <w:sz w:val="22"/>
              </w:rPr>
              <w:t>۵</w:t>
            </w:r>
          </w:p>
        </w:tc>
        <w:tc>
          <w:tcPr>
            <w:tcW w:type="dxa" w:w="2740"/>
          </w:tcPr>
          <w:p>
            <w:pPr>
              <w:bidi w:val="1"/>
              <w:jc w:val="center"/>
            </w:pPr>
            <w:r/>
            <w:r>
              <w:rPr>
                <w:rFonts w:ascii="Cambria" w:hAnsi="Cambria" w:cs="Cambria"/>
                <w:b w:val="0"/>
                <w:sz w:val="22"/>
              </w:rPr>
              <w:t>۰٫۷۷</w:t>
            </w:r>
          </w:p>
        </w:tc>
      </w:tr>
      <w:tr>
        <w:tc>
          <w:tcPr>
            <w:tcW w:type="dxa" w:w="2740"/>
          </w:tcPr>
          <w:p>
            <w:pPr>
              <w:bidi w:val="1"/>
              <w:jc w:val="center"/>
            </w:pPr>
            <w:r/>
            <w:r>
              <w:rPr>
                <w:rFonts w:ascii="Cambria" w:hAnsi="Cambria" w:cs="Cambria"/>
                <w:b w:val="0"/>
                <w:sz w:val="22"/>
              </w:rPr>
              <w:t>تحمل ریسک گرابل و لایتون (۱۳ سؤالی)</w:t>
            </w:r>
          </w:p>
        </w:tc>
        <w:tc>
          <w:tcPr>
            <w:tcW w:type="dxa" w:w="2740"/>
          </w:tcPr>
          <w:p>
            <w:pPr>
              <w:bidi w:val="1"/>
              <w:jc w:val="center"/>
            </w:pPr>
            <w:r/>
            <w:r>
              <w:rPr>
                <w:rFonts w:ascii="Cambria" w:hAnsi="Cambria" w:cs="Cambria"/>
                <w:b w:val="0"/>
                <w:sz w:val="22"/>
              </w:rPr>
              <w:t>۱۳</w:t>
            </w:r>
          </w:p>
        </w:tc>
        <w:tc>
          <w:tcPr>
            <w:tcW w:type="dxa" w:w="2740"/>
          </w:tcPr>
          <w:p>
            <w:pPr>
              <w:bidi w:val="1"/>
              <w:jc w:val="center"/>
            </w:pPr>
            <w:r/>
            <w:r>
              <w:rPr>
                <w:rFonts w:ascii="Cambria" w:hAnsi="Cambria" w:cs="Cambria"/>
                <w:b w:val="0"/>
                <w:sz w:val="22"/>
              </w:rPr>
              <w:t>۰٫۸۲</w:t>
            </w:r>
          </w:p>
        </w:tc>
      </w:tr>
      <w:tr>
        <w:tc>
          <w:tcPr>
            <w:tcW w:type="dxa" w:w="2740"/>
          </w:tcPr>
          <w:p>
            <w:pPr>
              <w:bidi w:val="1"/>
              <w:jc w:val="center"/>
            </w:pPr>
            <w:r/>
            <w:r>
              <w:rPr>
                <w:rFonts w:ascii="Cambria" w:hAnsi="Cambria" w:cs="Cambria"/>
                <w:b w:val="0"/>
                <w:sz w:val="22"/>
              </w:rPr>
              <w:t>تحمل ریسک (۱۲ سؤالی، بدون سؤال سیزدهم)</w:t>
            </w:r>
          </w:p>
        </w:tc>
        <w:tc>
          <w:tcPr>
            <w:tcW w:type="dxa" w:w="2740"/>
          </w:tcPr>
          <w:p>
            <w:pPr>
              <w:bidi w:val="1"/>
              <w:jc w:val="center"/>
            </w:pPr>
            <w:r/>
            <w:r>
              <w:rPr>
                <w:rFonts w:ascii="Cambria" w:hAnsi="Cambria" w:cs="Cambria"/>
                <w:b w:val="0"/>
                <w:sz w:val="22"/>
              </w:rPr>
              <w:t>۱۲</w:t>
            </w:r>
          </w:p>
        </w:tc>
        <w:tc>
          <w:tcPr>
            <w:tcW w:type="dxa" w:w="2740"/>
          </w:tcPr>
          <w:p>
            <w:pPr>
              <w:bidi w:val="1"/>
              <w:jc w:val="center"/>
            </w:pPr>
            <w:r/>
            <w:r>
              <w:rPr>
                <w:rFonts w:ascii="Cambria" w:hAnsi="Cambria" w:cs="Cambria"/>
                <w:b w:val="0"/>
                <w:sz w:val="22"/>
              </w:rPr>
              <w:t>۰٫۸۱</w:t>
            </w:r>
          </w:p>
        </w:tc>
      </w:tr>
    </w:tbl>
    <w:p>
      <w:pPr>
        <w:bidi w:val="1"/>
        <w:spacing w:lineRule="exact" w:line="580" w:after="0"/>
        <w:jc w:val="both"/>
      </w:pPr>
      <w:r>
        <w:rPr>
          <w:rFonts w:ascii="B Nazanin" w:hAnsi="B Nazanin" w:cs="B Nazanin" w:hint="cs"/>
          <w:sz w:val="24"/>
          <w:szCs w:val="24"/>
          <w:rtl/>
          <w:lang w:bidi="fa-IR"/>
        </w:rPr>
        <w:t xml:space="preserve">یادداشت: همبستگی نسخه ۱۳ و ۱۲ سؤالی تحمل ریسک برابر ۰٫۹۹ است.</w:t>
      </w:r>
    </w:p>
    <w:p>
      <w:pPr>
        <w:pStyle w:val="Heading2"/>
        <w:bidi w:val="1"/>
        <w:jc w:val="right"/>
        <w:outlineLvl w:val="1"/>
      </w:pPr>
      <w:r>
        <w:rPr>
          <w:rFonts w:ascii="B Nazanin" w:hAnsi="B Nazanin" w:cs="B Nazanin" w:hint="cs"/>
          <w:b/>
          <w:bCs/>
          <w:sz w:val="28"/>
          <w:szCs w:val="28"/>
          <w:rtl/>
          <w:lang w:bidi="fa-IR"/>
        </w:rPr>
        <w:t xml:space="preserve">۴-۶. ارزیابی پیش‌فرض‌های آماری</w:t>
      </w:r>
    </w:p>
    <w:p>
      <w:pPr>
        <w:bidi w:val="1"/>
        <w:spacing w:lineRule="exact" w:line="580" w:after="0"/>
        <w:jc w:val="both"/>
      </w:pPr>
      <w:r>
        <w:rPr>
          <w:rFonts w:ascii="B Nazanin" w:hAnsi="B Nazanin" w:cs="B Nazanin" w:hint="cs"/>
          <w:sz w:val="24"/>
          <w:szCs w:val="24"/>
          <w:rtl/>
          <w:lang w:bidi="fa-IR"/>
        </w:rPr>
        <w:t xml:space="preserve">پیش از آزمون فرضیه‌ها، چهار پیش‌فرض تحلیل‌های استنباطی ارزیابی شد. نخست، چولگی و کشیدگی هر سه متغیر (جدول ۴-۴) در بازه قابل قبول قرار داشت و انحراف شدیدی از تقارن دیده نشد. دوم، فاصله ماهالانوبیس هر پاسخ‌دهنده روی هر سه متغیر محاسبه شد؛ بیشینه مشاهده‌شده ۱۴٫۸۸ بود که از مقدار بحرانی خی‌دو با ۳ درجه آزادی در سطح ۰٫۰۰۱ (۱۶٫۲۷) کمتر است، پس هیچ مورد پرت چندمتغیره‌ای در داده‌ها وجود نداشت و همه ۱۸۵ پاسخ در تحلیل‌ها حفظ شدند. سوم، هم‌خطی میان اضطراب صفتی و طرحواره‌ها با عامل تورم واریانس بررسی شد: مقدار آن ۱٫۳۴ با تولرانس ۰٫۷۵ بود که بسیار پایین‌تر از آستانه هشدار قرار دارد. چهارم، استقلال پسماندها در مدل رگرسیون پیامد با آماره دوربین–واتسون برابر ۱٫۸۱ تأیید شد که به مقدار ایده‌آل ۲ نزدیک است. در مجموع، پیش‌فرض‌های لازم برای ادامه تحلیل‌ها برقرار بودند.</w:t>
      </w:r>
    </w:p>
    <w:p>
      <w:pPr>
        <w:pStyle w:val="Heading2"/>
        <w:bidi w:val="1"/>
        <w:jc w:val="right"/>
        <w:outlineLvl w:val="1"/>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رابطه‌های دوتایی متغیرها با ضریب همبستگی پیرسون آزمون شدند. جدول ۴-۶ ماتریس همبستگی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پژوهش</w:t>
      </w:r>
    </w:p>
    <w:p>
      <w:pPr>
        <w:bidi/>
      </w:pPr>
      <w:r>
        <w:rPr>
          <w:vanish/>
          <w:rFonts w:ascii="B Nazanin" w:hAnsi="B Nazanin"/>
        </w:rPr>
        <w:fldChar w:fldCharType="begin"/>
      </w:r>
      <w:r>
        <w:rPr>
          <w:vanish/>
          <w:rFonts w:ascii="B Nazanin" w:hAnsi="B Nazanin"/>
        </w:rPr>
        <w:instrText>TC "جدول ۴-۶. ماتریس همبستگی پیرسون متغیرهای پژوهش"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jc w:val="center"/>
            </w:pPr>
            <w:r/>
            <w:r>
              <w:rPr>
                <w:b/>
                <w:sz w:val="22"/>
              </w:rPr>
            </w:r>
          </w:p>
        </w:tc>
        <w:tc>
          <w:tcPr>
            <w:tcW w:type="dxa" w:w="2055"/>
            <w:tcBorders>
              <w:bottom w:val="single" w:sz="12" w:space="0" w:color="000000"/>
            </w:tcBorders>
          </w:tcPr>
          <w:p>
            <w:pPr>
              <w:bidi w:val="1"/>
              <w:jc w:val="center"/>
            </w:pPr>
            <w:r/>
            <w:r>
              <w:rPr>
                <w:rFonts w:ascii="Cambria" w:hAnsi="Cambria" w:cs="Cambria"/>
                <w:b/>
                <w:sz w:val="22"/>
              </w:rPr>
              <w:t>۱</w:t>
            </w:r>
          </w:p>
        </w:tc>
        <w:tc>
          <w:tcPr>
            <w:tcW w:type="dxa" w:w="2055"/>
            <w:tcBorders>
              <w:bottom w:val="single" w:sz="12" w:space="0" w:color="000000"/>
            </w:tcBorders>
          </w:tcPr>
          <w:p>
            <w:pPr>
              <w:bidi w:val="1"/>
              <w:jc w:val="center"/>
            </w:pPr>
            <w:r/>
            <w:r>
              <w:rPr>
                <w:rFonts w:ascii="Cambria" w:hAnsi="Cambria" w:cs="Cambria"/>
                <w:b/>
                <w:sz w:val="22"/>
              </w:rPr>
              <w:t>۲</w:t>
            </w:r>
          </w:p>
        </w:tc>
        <w:tc>
          <w:tcPr>
            <w:tcW w:type="dxa" w:w="2055"/>
            <w:tcBorders>
              <w:bottom w:val="single" w:sz="12" w:space="0" w:color="000000"/>
            </w:tcBorders>
          </w:tcPr>
          <w:p>
            <w:pPr>
              <w:bidi w:val="1"/>
              <w:jc w:val="center"/>
            </w:pPr>
            <w:r/>
            <w:r>
              <w:rPr>
                <w:rFonts w:ascii="Cambria" w:hAnsi="Cambria" w:cs="Cambria"/>
                <w:b/>
                <w:sz w:val="22"/>
              </w:rPr>
              <w:t>۳</w:t>
            </w:r>
          </w:p>
        </w:tc>
      </w:tr>
      <w:tr>
        <w:tc>
          <w:tcPr>
            <w:tcW w:type="dxa" w:w="2055"/>
          </w:tcPr>
          <w:p>
            <w:pPr>
              <w:bidi w:val="1"/>
              <w:jc w:val="center"/>
            </w:pPr>
            <w:r/>
            <w:r>
              <w:rPr>
                <w:rFonts w:ascii="Cambria" w:hAnsi="Cambria" w:cs="Cambria"/>
                <w:b w:val="0"/>
                <w:sz w:val="22"/>
              </w:rPr>
              <w:t>۱. اضطراب صفتی</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۲. طرحواره‌های ناسازگار اولیه</w:t>
            </w:r>
          </w:p>
        </w:tc>
        <w:tc>
          <w:tcPr>
            <w:tcW w:type="dxa" w:w="2055"/>
          </w:tcPr>
          <w:p>
            <w:pPr>
              <w:bidi w:val="1"/>
              <w:jc w:val="center"/>
            </w:pPr>
            <w:r/>
            <w:r>
              <w:rPr>
                <w:rFonts w:ascii="Cambria" w:hAnsi="Cambria" w:cs="Cambria"/>
                <w:b w:val="0"/>
                <w:sz w:val="22"/>
              </w:rPr>
              <w:t>۰٫۵۰۱***</w:t>
            </w:r>
          </w:p>
        </w:tc>
        <w:tc>
          <w:tcPr>
            <w:tcW w:type="dxa" w:w="2055"/>
          </w:tcPr>
          <w:p>
            <w:pPr>
              <w:bidi w:val="1"/>
              <w:jc w:val="center"/>
            </w:pPr>
            <w:r/>
            <w:r>
              <w:rPr>
                <w:rFonts w:ascii="Cambria" w:hAnsi="Cambria" w:cs="Cambria"/>
                <w:b w:val="0"/>
                <w:sz w:val="22"/>
              </w:rPr>
              <w:t>۱</w:t>
            </w:r>
          </w:p>
        </w:tc>
        <w:tc>
          <w:tcPr>
            <w:tcW w:type="dxa" w:w="2055"/>
          </w:tcPr>
          <w:p>
            <w:pPr>
              <w:jc w:val="center"/>
            </w:pPr>
            <w:r/>
            <w:r>
              <w:rPr>
                <w:b w:val="0"/>
                <w:sz w:val="22"/>
              </w:rPr>
            </w:r>
          </w:p>
        </w:tc>
      </w:tr>
      <w:tr>
        <w:tc>
          <w:tcPr>
            <w:tcW w:type="dxa" w:w="2055"/>
          </w:tcPr>
          <w:p>
            <w:pPr>
              <w:bidi w:val="1"/>
              <w:jc w:val="center"/>
            </w:pPr>
            <w:r/>
            <w:r>
              <w:rPr>
                <w:rFonts w:ascii="Cambria" w:hAnsi="Cambria" w:cs="Cambria"/>
                <w:b w:val="0"/>
                <w:sz w:val="22"/>
              </w:rPr>
              <w:t>۳. تحمل ریسک مالی</w:t>
            </w:r>
          </w:p>
        </w:tc>
        <w:tc>
          <w:tcPr>
            <w:tcW w:type="dxa" w:w="2055"/>
          </w:tcPr>
          <w:p>
            <w:pPr>
              <w:bidi w:val="1"/>
              <w:jc w:val="center"/>
            </w:pPr>
            <w:r/>
            <w:r>
              <w:rPr>
                <w:rFonts w:ascii="Cambria" w:hAnsi="Cambria" w:cs="Cambria"/>
                <w:b w:val="0"/>
                <w:sz w:val="22"/>
              </w:rPr>
              <w:t>۰٫۳۲۷***</w:t>
            </w:r>
          </w:p>
        </w:tc>
        <w:tc>
          <w:tcPr>
            <w:tcW w:type="dxa" w:w="2055"/>
          </w:tcPr>
          <w:p>
            <w:pPr>
              <w:bidi w:val="1"/>
              <w:jc w:val="center"/>
            </w:pPr>
            <w:r/>
            <w:r>
              <w:rPr>
                <w:rFonts w:ascii="Cambria" w:hAnsi="Cambria" w:cs="Cambria"/>
                <w:b w:val="0"/>
                <w:sz w:val="22"/>
              </w:rPr>
              <w:t>۰٫۳۲۱***</w:t>
            </w:r>
          </w:p>
        </w:tc>
        <w:tc>
          <w:tcPr>
            <w:tcW w:type="dxa" w:w="2055"/>
          </w:tcPr>
          <w:p>
            <w:pPr>
              <w:bidi w:val="1"/>
              <w:jc w:val="center"/>
            </w:pPr>
            <w:r/>
            <w:r>
              <w:rPr>
                <w:rFonts w:ascii="Cambria" w:hAnsi="Cambria" w:cs="Cambria"/>
                <w:b w:val="0"/>
                <w:sz w:val="22"/>
              </w:rPr>
              <w:t>۱</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n = </w:t>
      </w:r>
      <w:r>
        <w:rPr>
          <w:rFonts w:ascii="B Nazanin" w:hAnsi="B Nazanin" w:cs="B Nazanin" w:hint="cs"/>
          <w:sz w:val="24"/>
          <w:szCs w:val="24"/>
          <w:rtl/>
          <w:lang w:bidi="fa-IR"/>
        </w:rPr>
        <w:t xml:space="preserve">۱۸۵</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۰٫۱۰؛</w:t>
      </w:r>
      <w:r>
        <w:rPr>
          <w:rFonts w:ascii="Times New Roman" w:hAnsi="Times New Roman" w:cs="Times New Roman"/>
          <w:sz w:val="22"/>
          <w:szCs w:val="22"/>
          <w:lang w:val="en-US"/>
        </w:rPr>
        <w:t xml:space="preserve"> * p &lt; </w:t>
      </w:r>
      <w:r>
        <w:rPr>
          <w:rFonts w:ascii="B Nazanin" w:hAnsi="B Nazanin" w:cs="B Nazanin" w:hint="cs"/>
          <w:sz w:val="24"/>
          <w:szCs w:val="24"/>
          <w:rtl/>
          <w:lang w:bidi="fa-IR"/>
        </w:rPr>
        <w:t xml:space="preserve">۰٫۰۵؛ </w:t>
      </w:r>
      <w:r>
        <w:rPr>
          <w:rFonts w:ascii="Times New Roman" w:hAnsi="Times New Roman" w:cs="Times New Roman"/>
          <w:b/>
          <w:bCs/>
          <w:sz w:val="22"/>
          <w:szCs w:val="22"/>
          <w:lang w:val="en-US"/>
        </w:rPr>
        <w:t xml:space="preserve"> p &lt; </w:t>
      </w:r>
      <w:r>
        <w:rPr>
          <w:rFonts w:ascii="B Nazanin" w:hAnsi="B Nazanin" w:cs="B Nazanin" w:hint="cs"/>
          <w:b/>
          <w:bCs/>
          <w:sz w:val="24"/>
          <w:szCs w:val="24"/>
          <w:rtl/>
          <w:lang w:bidi="fa-IR"/>
        </w:rPr>
        <w:t xml:space="preserve">۰٫۰۱؛ </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w:t>
      </w:r>
    </w:p>
    <w:p>
      <w:pPr>
        <w:bidi w:val="1"/>
        <w:spacing w:lineRule="exact" w:line="580" w:after="0"/>
        <w:jc w:val="both"/>
      </w:pPr>
      <w:r>
        <w:rPr>
          <w:rFonts w:ascii="B Nazanin" w:hAnsi="B Nazanin" w:cs="B Nazanin" w:hint="cs"/>
          <w:sz w:val="24"/>
          <w:szCs w:val="24"/>
          <w:rtl/>
          <w:lang w:bidi="fa-IR"/>
        </w:rPr>
        <w:t xml:space="preserve">فرضیه دوم تأیید شد: میان اضطراب صفتی و رفتارهای مالی پرخطر رابطه مثبت معنادار وجود داشت</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سوم نیز تأیید شد: میان اضطراب صفتی و طرحواره‌های ناسازگار اولیه رابطه مثبت معنادار دیده شد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فرضیه چهارم هم تأیید شد: میان طرحواره‌های ناسازگار اولیه و رفتارهای مالی پرخطر رابطه مثبت معنادار به دست آمد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هر سه رابطه در جهت پیش‌بینی‌شده و در سطح اطمینان بالا معنادار بودند.</w:t>
      </w:r>
    </w:p>
    <w:p>
      <w:pPr>
        <w:pStyle w:val="Heading2"/>
        <w:bidi w:val="1"/>
        <w:jc w:val="right"/>
        <w:outlineLvl w:val="1"/>
      </w:pPr>
      <w:r>
        <w:rPr>
          <w:rFonts w:ascii="B Nazanin" w:hAnsi="B Nazanin" w:cs="B Nazanin" w:hint="cs"/>
          <w:b/>
          <w:bCs/>
          <w:sz w:val="28"/>
          <w:szCs w:val="28"/>
          <w:rtl/>
          <w:lang w:bidi="fa-IR"/>
        </w:rPr>
        <w:t xml:space="preserve">۴-۸. آزمون فرضیه اصلی: تحلیل میانجی‌گری</w:t>
      </w:r>
    </w:p>
    <w:p>
      <w:pPr>
        <w:bidi w:val="1"/>
        <w:spacing w:lineRule="exact" w:line="580" w:after="0"/>
        <w:jc w:val="both"/>
      </w:pPr>
      <w:r>
        <w:rPr>
          <w:rFonts w:ascii="B Nazanin" w:hAnsi="B Nazanin" w:cs="B Nazanin" w:hint="cs"/>
          <w:sz w:val="24"/>
          <w:szCs w:val="24"/>
          <w:rtl/>
          <w:lang w:bidi="fa-IR"/>
        </w:rPr>
        <w:t xml:space="preserve">فرضیه اصلی پژوهش (نقش میانجی طرحواره‌های ناسازگار اولیه در رابطه اضطراب صفتی با رفتارهای مالی پرخطر) با تحلیل میانجی‌گری بر اساس الگوی شماره ۴ و خودگردان‌سازی ۵۰۰۰ نمونه‌ای آزمون شد. جدول ۴-۷ نتایج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(الگوی شماره ۴، خودگردان‌سازی ۵۰۰۰ نمونه‌ای)</w:t>
      </w:r>
    </w:p>
    <w:p>
      <w:pPr>
        <w:bidi/>
      </w:pPr>
      <w:r>
        <w:rPr>
          <w:vanish/>
          <w:rFonts w:ascii="B Nazanin" w:hAnsi="B Nazanin"/>
        </w:rPr>
        <w:fldChar w:fldCharType="begin"/>
      </w:r>
      <w:r>
        <w:rPr>
          <w:vanish/>
          <w:rFonts w:ascii="B Nazanin" w:hAnsi="B Nazanin"/>
        </w:rPr>
        <w:instrText>TC "جدول ۴-۷. نتایج تحلیل میانجی‌گری (الگوی شماره ۴، خودگردان‌سازی ۵۰۰۰ نمونه‌ای)"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rFonts w:ascii="Cambria" w:hAnsi="Cambria" w:cs="Cambria"/>
                <w:b/>
                <w:sz w:val="22"/>
              </w:rPr>
              <w:t>اثر</w:t>
            </w:r>
          </w:p>
        </w:tc>
        <w:tc>
          <w:tcPr>
            <w:tcW w:type="dxa" w:w="1370"/>
            <w:tcBorders>
              <w:bottom w:val="single" w:sz="12" w:space="0" w:color="000000"/>
            </w:tcBorders>
          </w:tcPr>
          <w:p>
            <w:pPr>
              <w:bidi w:val="1"/>
              <w:jc w:val="center"/>
            </w:pPr>
            <w:r/>
            <w:r>
              <w:rPr>
                <w:rFonts w:ascii="Cambria" w:hAnsi="Cambria" w:cs="Cambria"/>
                <w:b/>
                <w:sz w:val="22"/>
              </w:rPr>
              <w:t>ضریب</w:t>
            </w:r>
          </w:p>
        </w:tc>
        <w:tc>
          <w:tcPr>
            <w:tcW w:type="dxa" w:w="1370"/>
            <w:tcBorders>
              <w:bottom w:val="single" w:sz="12" w:space="0" w:color="000000"/>
            </w:tcBorders>
          </w:tcPr>
          <w:p>
            <w:pPr>
              <w:bidi w:val="1"/>
              <w:jc w:val="center"/>
            </w:pPr>
            <w:r/>
            <w:r>
              <w:rPr>
                <w:rFonts w:ascii="Cambria" w:hAnsi="Cambria" w:cs="Cambria"/>
                <w:b/>
                <w:sz w:val="22"/>
              </w:rPr>
              <w:t>خطای معیار</w:t>
            </w:r>
          </w:p>
        </w:tc>
        <w:tc>
          <w:tcPr>
            <w:tcW w:type="dxa" w:w="1370"/>
            <w:tcBorders>
              <w:bottom w:val="single" w:sz="12" w:space="0" w:color="000000"/>
            </w:tcBorders>
          </w:tcPr>
          <w:p>
            <w:pPr>
              <w:bidi w:val="1"/>
              <w:jc w:val="center"/>
            </w:pPr>
            <w:r/>
            <w:r>
              <w:rPr>
                <w:rFonts w:ascii="Cambria" w:hAnsi="Cambria" w:cs="Cambria"/>
                <w:b/>
                <w:sz w:val="22"/>
              </w:rPr>
              <w:t>آماره</w:t>
            </w:r>
          </w:p>
        </w:tc>
        <w:tc>
          <w:tcPr>
            <w:tcW w:type="dxa" w:w="1370"/>
            <w:tcBorders>
              <w:bottom w:val="single" w:sz="12" w:space="0" w:color="000000"/>
            </w:tcBorders>
          </w:tcPr>
          <w:p>
            <w:pPr>
              <w:jc w:val="center"/>
            </w:pPr>
            <w:r/>
            <w:r>
              <w:rPr>
                <w:rFonts w:ascii="Cambria" w:hAnsi="Cambria" w:cs="Cambria"/>
                <w:b/>
                <w:sz w:val="22"/>
              </w:rPr>
              <w:t>p</w:t>
            </w:r>
          </w:p>
        </w:tc>
        <w:tc>
          <w:tcPr>
            <w:tcW w:type="dxa" w:w="1370"/>
            <w:tcBorders>
              <w:bottom w:val="single" w:sz="12" w:space="0" w:color="000000"/>
            </w:tcBorders>
          </w:tcPr>
          <w:p>
            <w:pPr>
              <w:bidi w:val="1"/>
              <w:jc w:val="center"/>
            </w:pPr>
            <w:r/>
            <w:r>
              <w:rPr>
                <w:rFonts w:ascii="Cambria" w:hAnsi="Cambria" w:cs="Cambria"/>
                <w:b/>
                <w:sz w:val="22"/>
              </w:rPr>
              <w:t>فاصلهٔ اطمینان ۹۵٪</w:t>
            </w:r>
          </w:p>
        </w:tc>
      </w:tr>
      <w:tr>
        <w:tc>
          <w:tcPr>
            <w:tcW w:type="dxa" w:w="1370"/>
          </w:tcPr>
          <w:p>
            <w:pPr>
              <w:bidi w:val="1"/>
              <w:jc w:val="center"/>
            </w:pPr>
            <w:r/>
            <w:r>
              <w:rPr>
                <w:rFonts w:ascii="Cambria" w:hAnsi="Cambria" w:cs="Cambria"/>
                <w:b w:val="0"/>
                <w:sz w:val="22"/>
              </w:rPr>
              <w:t>مسیر a (اضطراب → طرحواره‌ها)</w:t>
            </w:r>
          </w:p>
        </w:tc>
        <w:tc>
          <w:tcPr>
            <w:tcW w:type="dxa" w:w="1370"/>
          </w:tcPr>
          <w:p>
            <w:pPr>
              <w:bidi w:val="1"/>
              <w:jc w:val="center"/>
            </w:pPr>
            <w:r/>
            <w:r>
              <w:rPr>
                <w:rFonts w:ascii="Cambria" w:hAnsi="Cambria" w:cs="Cambria"/>
                <w:b w:val="0"/>
                <w:sz w:val="22"/>
              </w:rPr>
              <w:t>۱٫۷۸۸</w:t>
            </w:r>
          </w:p>
        </w:tc>
        <w:tc>
          <w:tcPr>
            <w:tcW w:type="dxa" w:w="1370"/>
          </w:tcPr>
          <w:p>
            <w:pPr>
              <w:bidi w:val="1"/>
              <w:jc w:val="center"/>
            </w:pPr>
            <w:r/>
            <w:r>
              <w:rPr>
                <w:rFonts w:ascii="Cambria" w:hAnsi="Cambria" w:cs="Cambria"/>
                <w:b w:val="0"/>
                <w:sz w:val="22"/>
              </w:rPr>
              <w:t>۰٫۲۲۸</w:t>
            </w:r>
          </w:p>
        </w:tc>
        <w:tc>
          <w:tcPr>
            <w:tcW w:type="dxa" w:w="1370"/>
          </w:tcPr>
          <w:p>
            <w:pPr>
              <w:bidi w:val="1"/>
              <w:jc w:val="center"/>
            </w:pPr>
            <w:r/>
            <w:r>
              <w:rPr>
                <w:rFonts w:ascii="Cambria" w:hAnsi="Cambria" w:cs="Cambria"/>
                <w:b w:val="0"/>
                <w:sz w:val="22"/>
              </w:rPr>
              <w:t>۷٫۸۳۰</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مسیر b (طرحواره‌ها → ریسک، با کنترل اضطراب)</w:t>
            </w:r>
          </w:p>
        </w:tc>
        <w:tc>
          <w:tcPr>
            <w:tcW w:type="dxa" w:w="1370"/>
          </w:tcPr>
          <w:p>
            <w:pPr>
              <w:bidi w:val="1"/>
              <w:jc w:val="center"/>
            </w:pPr>
            <w:r/>
            <w:r>
              <w:rPr>
                <w:rFonts w:ascii="Cambria" w:hAnsi="Cambria" w:cs="Cambria"/>
                <w:b w:val="0"/>
                <w:sz w:val="22"/>
              </w:rPr>
              <w:t>۰٫۰۳۹</w:t>
            </w:r>
          </w:p>
        </w:tc>
        <w:tc>
          <w:tcPr>
            <w:tcW w:type="dxa" w:w="1370"/>
          </w:tcPr>
          <w:p>
            <w:pPr>
              <w:bidi w:val="1"/>
              <w:jc w:val="center"/>
            </w:pPr>
            <w:r/>
            <w:r>
              <w:rPr>
                <w:rFonts w:ascii="Cambria" w:hAnsi="Cambria" w:cs="Cambria"/>
                <w:b w:val="0"/>
                <w:sz w:val="22"/>
              </w:rPr>
              <w:t>۰٫۰۱۵</w:t>
            </w:r>
          </w:p>
        </w:tc>
        <w:tc>
          <w:tcPr>
            <w:tcW w:type="dxa" w:w="1370"/>
          </w:tcPr>
          <w:p>
            <w:pPr>
              <w:bidi w:val="1"/>
              <w:jc w:val="center"/>
            </w:pPr>
            <w:r/>
            <w:r>
              <w:rPr>
                <w:rFonts w:ascii="Cambria" w:hAnsi="Cambria" w:cs="Cambria"/>
                <w:b w:val="0"/>
                <w:sz w:val="22"/>
              </w:rPr>
              <w:t>۲٫۶۳۶</w:t>
            </w:r>
          </w:p>
        </w:tc>
        <w:tc>
          <w:tcPr>
            <w:tcW w:type="dxa" w:w="1370"/>
          </w:tcPr>
          <w:p>
            <w:pPr>
              <w:bidi w:val="1"/>
              <w:jc w:val="center"/>
            </w:pPr>
            <w:r/>
            <w:r>
              <w:rPr>
                <w:rFonts w:ascii="Cambria" w:hAnsi="Cambria" w:cs="Cambria"/>
                <w:b w:val="0"/>
                <w:sz w:val="22"/>
              </w:rPr>
              <w:t>p = ۰٫۰۰۹</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کل c (اضطراب → ریسک)</w:t>
            </w:r>
          </w:p>
        </w:tc>
        <w:tc>
          <w:tcPr>
            <w:tcW w:type="dxa" w:w="1370"/>
          </w:tcPr>
          <w:p>
            <w:pPr>
              <w:bidi w:val="1"/>
              <w:jc w:val="center"/>
            </w:pPr>
            <w:r/>
            <w:r>
              <w:rPr>
                <w:rFonts w:ascii="Cambria" w:hAnsi="Cambria" w:cs="Cambria"/>
                <w:b w:val="0"/>
                <w:sz w:val="22"/>
              </w:rPr>
              <w:t>۰٫۲۱۹</w:t>
            </w:r>
          </w:p>
        </w:tc>
        <w:tc>
          <w:tcPr>
            <w:tcW w:type="dxa" w:w="1370"/>
          </w:tcPr>
          <w:p>
            <w:pPr>
              <w:bidi w:val="1"/>
              <w:jc w:val="center"/>
            </w:pPr>
            <w:r/>
            <w:r>
              <w:rPr>
                <w:rFonts w:ascii="Cambria" w:hAnsi="Cambria" w:cs="Cambria"/>
                <w:b w:val="0"/>
                <w:sz w:val="22"/>
              </w:rPr>
              <w:t>۰٫۰۴۷</w:t>
            </w:r>
          </w:p>
        </w:tc>
        <w:tc>
          <w:tcPr>
            <w:tcW w:type="dxa" w:w="1370"/>
          </w:tcPr>
          <w:p>
            <w:pPr>
              <w:bidi w:val="1"/>
              <w:jc w:val="center"/>
            </w:pPr>
            <w:r/>
            <w:r>
              <w:rPr>
                <w:rFonts w:ascii="Cambria" w:hAnsi="Cambria" w:cs="Cambria"/>
                <w:b w:val="0"/>
                <w:sz w:val="22"/>
              </w:rPr>
              <w:t>۴٫۶۸۴</w:t>
            </w:r>
          </w:p>
        </w:tc>
        <w:tc>
          <w:tcPr>
            <w:tcW w:type="dxa" w:w="1370"/>
          </w:tcPr>
          <w:p>
            <w:pPr>
              <w:bidi w:val="1"/>
              <w:jc w:val="center"/>
            </w:pPr>
            <w:r/>
            <w:r>
              <w:rPr>
                <w:rFonts w:ascii="Cambria" w:hAnsi="Cambria" w:cs="Cambria"/>
                <w:b w:val="0"/>
                <w:sz w:val="22"/>
              </w:rPr>
              <w:t>p &lt; ۰٫۰۰۱</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مستقیم c′ (با کنترل میانجی)</w:t>
            </w:r>
          </w:p>
        </w:tc>
        <w:tc>
          <w:tcPr>
            <w:tcW w:type="dxa" w:w="1370"/>
          </w:tcPr>
          <w:p>
            <w:pPr>
              <w:bidi w:val="1"/>
              <w:jc w:val="center"/>
            </w:pPr>
            <w:r/>
            <w:r>
              <w:rPr>
                <w:rFonts w:ascii="Cambria" w:hAnsi="Cambria" w:cs="Cambria"/>
                <w:b w:val="0"/>
                <w:sz w:val="22"/>
              </w:rPr>
              <w:t>۰٫۱۴۹</w:t>
            </w:r>
          </w:p>
        </w:tc>
        <w:tc>
          <w:tcPr>
            <w:tcW w:type="dxa" w:w="1370"/>
          </w:tcPr>
          <w:p>
            <w:pPr>
              <w:bidi w:val="1"/>
              <w:jc w:val="center"/>
            </w:pPr>
            <w:r/>
            <w:r>
              <w:rPr>
                <w:rFonts w:ascii="Cambria" w:hAnsi="Cambria" w:cs="Cambria"/>
                <w:b w:val="0"/>
                <w:sz w:val="22"/>
              </w:rPr>
              <w:t>۰٫۰۵۳</w:t>
            </w:r>
          </w:p>
        </w:tc>
        <w:tc>
          <w:tcPr>
            <w:tcW w:type="dxa" w:w="1370"/>
          </w:tcPr>
          <w:p>
            <w:pPr>
              <w:bidi w:val="1"/>
              <w:jc w:val="center"/>
            </w:pPr>
            <w:r/>
            <w:r>
              <w:rPr>
                <w:rFonts w:ascii="Cambria" w:hAnsi="Cambria" w:cs="Cambria"/>
                <w:b w:val="0"/>
                <w:sz w:val="22"/>
              </w:rPr>
              <w:t>۲٫۷۹۸</w:t>
            </w:r>
          </w:p>
        </w:tc>
        <w:tc>
          <w:tcPr>
            <w:tcW w:type="dxa" w:w="1370"/>
          </w:tcPr>
          <w:p>
            <w:pPr>
              <w:bidi w:val="1"/>
              <w:jc w:val="center"/>
            </w:pPr>
            <w:r/>
            <w:r>
              <w:rPr>
                <w:rFonts w:ascii="Cambria" w:hAnsi="Cambria" w:cs="Cambria"/>
                <w:b w:val="0"/>
                <w:sz w:val="22"/>
              </w:rPr>
              <w:t>p = ۰٫۰۰۶</w:t>
            </w:r>
          </w:p>
        </w:tc>
        <w:tc>
          <w:tcPr>
            <w:tcW w:type="dxa" w:w="1370"/>
          </w:tcPr>
          <w:p>
            <w:pPr>
              <w:jc w:val="center"/>
            </w:pPr>
            <w:r/>
            <w:r>
              <w:rPr>
                <w:b w:val="0"/>
                <w:sz w:val="22"/>
              </w:rPr>
            </w:r>
          </w:p>
        </w:tc>
      </w:tr>
      <w:tr>
        <w:tc>
          <w:tcPr>
            <w:tcW w:type="dxa" w:w="1370"/>
          </w:tcPr>
          <w:p>
            <w:pPr>
              <w:bidi w:val="1"/>
              <w:jc w:val="center"/>
            </w:pPr>
            <w:r/>
            <w:r>
              <w:rPr>
                <w:rFonts w:ascii="Cambria" w:hAnsi="Cambria" w:cs="Cambria"/>
                <w:b w:val="0"/>
                <w:sz w:val="22"/>
              </w:rPr>
              <w:t>اثر غیرمستقیم (a×b)</w:t>
            </w:r>
          </w:p>
        </w:tc>
        <w:tc>
          <w:tcPr>
            <w:tcW w:type="dxa" w:w="1370"/>
          </w:tcPr>
          <w:p>
            <w:pPr>
              <w:bidi w:val="1"/>
              <w:jc w:val="center"/>
            </w:pPr>
            <w:r/>
            <w:r>
              <w:rPr>
                <w:rFonts w:ascii="Cambria" w:hAnsi="Cambria" w:cs="Cambria"/>
                <w:b w:val="0"/>
                <w:sz w:val="22"/>
              </w:rPr>
              <w:t>۰٫۰۷۰</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jc w:val="center"/>
            </w:pPr>
            <w:r/>
            <w:r>
              <w:rPr>
                <w:rFonts w:ascii="Cambria" w:hAnsi="Cambria" w:cs="Cambria"/>
                <w:b w:val="0"/>
                <w:sz w:val="22"/>
              </w:rPr>
              <w:t>—</w:t>
            </w:r>
          </w:p>
        </w:tc>
        <w:tc>
          <w:tcPr>
            <w:tcW w:type="dxa" w:w="1370"/>
          </w:tcPr>
          <w:p>
            <w:pPr>
              <w:bidi w:val="1"/>
              <w:jc w:val="center"/>
            </w:pPr>
            <w:r/>
            <w:r>
              <w:rPr>
                <w:rFonts w:ascii="Cambria" w:hAnsi="Cambria" w:cs="Cambria"/>
                <w:b w:val="0"/>
                <w:sz w:val="22"/>
              </w:rPr>
              <w:t>[۰٫۰۱۱، ۰٫۱۳۳]</w:t>
            </w:r>
          </w:p>
        </w:tc>
      </w:tr>
    </w:tbl>
    <w:p>
      <w:pPr>
        <w:bidi w:val="1"/>
        <w:spacing w:lineRule="exact" w:line="580" w:after="0"/>
        <w:jc w:val="both"/>
      </w:pPr>
      <w:r>
        <w:rPr>
          <w:rFonts w:ascii="B Nazanin" w:hAnsi="B Nazanin" w:cs="B Nazanin" w:hint="cs"/>
          <w:sz w:val="24"/>
          <w:szCs w:val="24"/>
          <w:rtl/>
          <w:lang w:bidi="fa-IR"/>
        </w:rPr>
        <w:t xml:space="preserve">یادداشت</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میانجی = ۰٫۲۵۱؛</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مدل پیامد = ۰٫۱۴۰؛</w:t>
      </w:r>
      <w:r>
        <w:rPr>
          <w:rFonts w:ascii="Times New Roman" w:hAnsi="Times New Roman" w:cs="Times New Roman"/>
          <w:sz w:val="22"/>
          <w:szCs w:val="22"/>
          <w:lang w:val="en-US"/>
        </w:rPr>
        <w:t xml:space="preserve"> R² </w:t>
      </w:r>
      <w:r>
        <w:rPr>
          <w:rFonts w:ascii="B Nazanin" w:hAnsi="B Nazanin" w:cs="B Nazanin" w:hint="cs"/>
          <w:sz w:val="24"/>
          <w:szCs w:val="24"/>
          <w:rtl/>
          <w:lang w:bidi="fa-IR"/>
        </w:rPr>
        <w:t xml:space="preserve">اثر کل = ۰٫۱۰۷. فاصله اطمینان اثر غیرمستقیم از نوع صدکی است.</w:t>
      </w:r>
    </w:p>
    <w:p>
      <w:pPr>
        <w:bidi w:val="1"/>
        <w:spacing w:lineRule="exact" w:line="580" w:after="0"/>
        <w:jc w:val="both"/>
      </w:pPr>
      <w:r>
        <w:rPr>
          <w:rFonts w:ascii="B Nazanin" w:hAnsi="B Nazanin" w:cs="B Nazanin" w:hint="cs"/>
          <w:sz w:val="24"/>
          <w:szCs w:val="24"/>
          <w:rtl/>
          <w:lang w:bidi="fa-IR"/>
        </w:rPr>
        <w:t xml:space="preserve">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اثر اضطراب بر طرحواره‌ها)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۱٫۷۸۸؛</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۲۵٫۱ درصد واریانس طرحواره‌ها را تبیین کرد.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اثر طرحواره‌ها بر رفتار پرخطر با کنترل اضطراب) نیز مثبت و معنادار بود</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۰٫۰۳۹؛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۰٫۰۰۹). اثر کل اضطراب بر رفتار پرخطر مثبت و معنادار به دست آمد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۰٫۲۱۹؛</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و پس از ورود میانجی به مدل، اثر مستقیم همچنان مثبت و معنادار باقی ماند، هرچند کوچک‌تر شد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اثر غیرمستقیم برابر ۰٫۰۷۰ بود و فاصله اطمینان ۹۵ درصد صدکی آن (۰٫۰۱۱ تا ۰٫۱۳۳) صفر را در بر نداشت؛ فاصله اطمینان تصحیح‌شده سوگیری نیز همین نتیجه را تأیید کرد (۰٫۰۱۴ تا ۰٫۱۳۴). از آنجا که هم اثر غیرمستقیم معنادار بود و هم اثر مستقیم پس از کنترل میانجی معنادار ماند، فرضیه اصلی تأیید شد و الگوی به‌دست‌آمده از نوع میانجی‌گری جزئی است: حدود یک‌سوم اثر کل اضطراب بر رفتار پرخطر از مسیر طرحواره‌های ناسازگار اولیه می‌گذرد و دوسوم دیگر، مستقیم یا از مسیرهای دیگری است که در این مدل لحاظ نشده‌اند.</w:t>
      </w:r>
    </w:p>
    <w:p>
      <w:pPr>
        <w:bidi w:val="1"/>
        <w:spacing w:lineRule="exact" w:line="580" w:after="0"/>
        <w:jc w:val="both"/>
      </w:pPr>
      <w:r>
        <w:rPr>
          <w:rFonts w:ascii="B Nazanin" w:hAnsi="B Nazanin" w:cs="B Nazanin" w:hint="cs"/>
          <w:sz w:val="24"/>
          <w:szCs w:val="24"/>
          <w:rtl/>
          <w:lang w:bidi="fa-IR"/>
        </w:rPr>
        <w:t xml:space="preserve">برای اطمینان از پایداری این نتیجه، تحلیل میانجی‌گری با نمره ۱۲ سؤالی تحمل ریسک (بدون سؤال سیزدهم) نیز تکرار شد و نتایج کاملاً هم‌جهت بود: اثر مستقیم ۰٫۱۳۸</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و اثر غیرمستقیم ۰٫۰۶۶ با فاصله اطمینان ۰٫۰۱۲ تا ۰٫۱۲۲ که صفر را در بر نداشت. بنابراین مبنای گزارش، نسخه ۱۳ سؤالی باقی ماند. شکل ۴-۱ الگوی میانجی‌گری را با ضرایب برآوردشده نشان می‌دهد.</w:t>
      </w:r>
    </w:p>
    <w:p>
      <w:pPr>
        <w:jc w:val="center"/>
      </w:pPr>
      <w:r>
        <w:drawing>
          <ns3:inline>
            <ns3:extent cx="5040000" cy="2940000"/>
            <ns3:docPr id="1" name="Picture 1"/>
            <ns3:cNvGraphicFramePr>
              <ns4:graphicFrameLocks noChangeAspect="1"/>
            </ns3:cNvGraphicFramePr>
            <ns4:graphic>
              <ns4:graphicData uri="http://schemas.openxmlformats.org/drawingml/2006/picture">
                <ns5:pic>
                  <ns5:nvPicPr>
                    <ns5:cNvPr id="0" name="chapter4_real_pipeline_fig1.png"/>
                    <ns5:cNvPicPr/>
                  </ns5:nvPicPr>
                  <ns5:blipFill>
                    <ns4:blip r:embed="rId23"/>
                    <ns4:stretch>
                      <ns4:fillRect/>
                    </ns4:stretch>
                  </ns5:blipFill>
                  <ns5:spPr>
                    <ns4:xfrm>
                      <ns4:off x="0" y="0"/>
                      <ns4:ext cx="5040000" cy="2940000"/>
                    </ns4:xfrm>
                    <ns4:prstGeom prst="rect"/>
                  </ns5:spPr>
                </ns5:pic>
              </ns4:graphicData>
            </ns4:graphic>
          </ns3: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pPr>
      <w:r>
        <w:rPr>
          <w:vanish/>
          <w:rFonts w:ascii="B Nazanin" w:hAnsi="B Nazanin"/>
        </w:rPr>
        <w:fldChar w:fldCharType="begin"/>
      </w:r>
      <w:r>
        <w:rPr>
          <w:vanish/>
          <w:rFonts w:ascii="B Nazanin" w:hAnsi="B Nazanin"/>
        </w:rPr>
        <w:instrText>TC "شکل ۴-۱. نمودار مسیر الگوی میانجی‌گری با ضرایب برآوردشده در نمونه نهایی" \f F \l 1</w:instrText>
      </w:r>
      <w:r>
        <w:rPr>
          <w:vanish/>
          <w:rFonts w:ascii="B Nazanin" w:hAnsi="B Nazanin"/>
        </w:rPr>
        <w:fldChar w:fldCharType="end"/>
      </w:r>
    </w:p>
    <w:p>
      <w:pPr>
        <w:pStyle w:val="Heading2"/>
        <w:bidi w:val="1"/>
        <w:jc w:val="right"/>
        <w:outlineLvl w:val="1"/>
      </w:pPr>
      <w:r>
        <w:rPr>
          <w:rFonts w:ascii="B Nazanin" w:hAnsi="B Nazanin" w:cs="B Nazanin" w:hint="cs"/>
          <w:b/>
          <w:bCs/>
          <w:sz w:val="28"/>
          <w:szCs w:val="28"/>
          <w:rtl/>
          <w:lang w:bidi="fa-IR"/>
        </w:rPr>
        <w:t xml:space="preserve">۴-۹. تحلیل مسیر با متغیرهای مشاهده‌شده</w:t>
      </w:r>
    </w:p>
    <w:p>
      <w:pPr>
        <w:bidi w:val="1"/>
        <w:spacing w:lineRule="exact" w:line="580" w:after="0"/>
        <w:jc w:val="both"/>
      </w:pPr>
      <w:r>
        <w:rPr>
          <w:rFonts w:ascii="B Nazanin" w:hAnsi="B Nazanin" w:cs="B Nazanin" w:hint="cs"/>
          <w:sz w:val="24"/>
          <w:szCs w:val="24"/>
          <w:rtl/>
          <w:lang w:bidi="fa-IR"/>
        </w:rPr>
        <w:t xml:space="preserve">به‌منظور بررسی همگرایی یافته‌ها، الگوی میانجی‌گری به‌صورت تحلیل مسیر با متغیرهای مشاهده‌شده و برآورد درست‌نمایی بیشینه نیز برازش داده شد. در مدل اشباع که هر سه مسیر را در بر می‌گیرد، ضرایب استانداردشده برابر</w:t>
      </w:r>
      <w:r>
        <w:rPr>
          <w:rFonts w:ascii="Times New Roman" w:hAnsi="Times New Roman" w:cs="Times New Roman"/>
          <w:sz w:val="22"/>
          <w:szCs w:val="22"/>
          <w:lang w:val="en-US"/>
        </w:rPr>
        <w:t xml:space="preserve"> a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b = </w:t>
      </w:r>
      <w:r>
        <w:rPr>
          <w:rFonts w:ascii="B Nazanin" w:hAnsi="B Nazanin" w:cs="B Nazanin" w:hint="cs"/>
          <w:sz w:val="24"/>
          <w:szCs w:val="24"/>
          <w:rtl/>
          <w:lang w:bidi="fa-IR"/>
        </w:rPr>
        <w:t xml:space="preserve">۰٫۲۰۹ و</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۰٫۲۲۲ به دست آمد که با نتایج تحلیل میانجی‌گری سازگار است. از آنجا که مدل اشباع درجه آزادی صفر دارد، شاخص برازشی برای آن قابل آزمون نیست و نمی‌توان برازش مدل را شاهدی بر درستی الگو دانست؛ از این رو، مدل مقید میانجی‌گری کامل (با اثر مستقیم صفر و ۱ درجه آزادی) نیز به‌عنوان تحلیل تکمیلی برازش شد. جدول ۴-۸ شاخص‌های این مدل مقید را نشان می‌دهد.</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مدل مقید میانجی‌گری کامل (مکمل،</w:t>
      </w:r>
      <w:r>
        <w:rPr>
          <w:rFonts w:ascii="Times New Roman" w:hAnsi="Times New Roman" w:cs="Times New Roman"/>
          <w:sz w:val="20"/>
          <w:szCs w:val="20"/>
          <w:lang w:val="en-US"/>
        </w:rPr>
        <w:t xml:space="preserve"> df=</w:t>
      </w:r>
      <w:r>
        <w:rPr>
          <w:rFonts w:ascii="B Nazanin" w:hAnsi="B Nazanin" w:cs="B Nazanin" w:hint="cs"/>
          <w:sz w:val="22"/>
          <w:szCs w:val="22"/>
          <w:rtl/>
          <w:lang w:bidi="fa-IR"/>
        </w:rPr>
        <w:t xml:space="preserve">۱)</w:t>
      </w:r>
    </w:p>
    <w:p>
      <w:pPr>
        <w:bidi/>
      </w:pPr>
      <w:r>
        <w:rPr>
          <w:vanish/>
          <w:rFonts w:ascii="B Nazanin" w:hAnsi="B Nazanin"/>
        </w:rPr>
        <w:fldChar w:fldCharType="begin"/>
      </w:r>
      <w:r>
        <w:rPr>
          <w:vanish/>
          <w:rFonts w:ascii="B Nazanin" w:hAnsi="B Nazanin"/>
        </w:rPr>
        <w:instrText>TC "جدول ۴-۸. شاخص‌های مدل مقید میانجی‌گری کامل (مکمل، df=۱)"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4110"/>
        <w:gridCol w:w="4110"/>
      </w:tblGrid>
      <w:tr>
        <w:tc>
          <w:tcPr>
            <w:tcW w:type="dxa" w:w="4110"/>
            <w:tcBorders>
              <w:bottom w:val="single" w:sz="12" w:space="0" w:color="000000"/>
            </w:tcBorders>
          </w:tcPr>
          <w:p>
            <w:pPr>
              <w:bidi w:val="1"/>
              <w:jc w:val="center"/>
            </w:pPr>
            <w:r/>
            <w:r>
              <w:rPr>
                <w:rFonts w:ascii="Cambria" w:hAnsi="Cambria" w:cs="Cambria"/>
                <w:b/>
                <w:sz w:val="22"/>
              </w:rPr>
              <w:t>شاخص</w:t>
            </w:r>
          </w:p>
        </w:tc>
        <w:tc>
          <w:tcPr>
            <w:tcW w:type="dxa" w:w="4110"/>
            <w:tcBorders>
              <w:bottom w:val="single" w:sz="12" w:space="0" w:color="000000"/>
            </w:tcBorders>
          </w:tcPr>
          <w:p>
            <w:pPr>
              <w:bidi w:val="1"/>
              <w:jc w:val="center"/>
            </w:pPr>
            <w:r/>
            <w:r>
              <w:rPr>
                <w:rFonts w:ascii="Cambria" w:hAnsi="Cambria" w:cs="Cambria"/>
                <w:b/>
                <w:sz w:val="22"/>
              </w:rPr>
              <w:t>مقدار</w:t>
            </w:r>
          </w:p>
        </w:tc>
      </w:tr>
      <w:tr>
        <w:tc>
          <w:tcPr>
            <w:tcW w:type="dxa" w:w="4110"/>
          </w:tcPr>
          <w:p>
            <w:pPr>
              <w:bidi w:val="1"/>
              <w:jc w:val="center"/>
            </w:pPr>
            <w:r/>
            <w:r>
              <w:rPr>
                <w:rFonts w:ascii="Cambria" w:hAnsi="Cambria" w:cs="Cambria"/>
                <w:b w:val="0"/>
                <w:sz w:val="22"/>
              </w:rPr>
              <w:t>خی‌دو</w:t>
            </w:r>
          </w:p>
        </w:tc>
        <w:tc>
          <w:tcPr>
            <w:tcW w:type="dxa" w:w="4110"/>
          </w:tcPr>
          <w:p>
            <w:pPr>
              <w:bidi w:val="1"/>
              <w:jc w:val="center"/>
            </w:pPr>
            <w:r/>
            <w:r>
              <w:rPr>
                <w:rFonts w:ascii="Cambria" w:hAnsi="Cambria" w:cs="Cambria"/>
                <w:b w:val="0"/>
                <w:sz w:val="22"/>
              </w:rPr>
              <w:t>۷٫۷۵</w:t>
            </w:r>
          </w:p>
        </w:tc>
      </w:tr>
      <w:tr>
        <w:tc>
          <w:tcPr>
            <w:tcW w:type="dxa" w:w="4110"/>
          </w:tcPr>
          <w:p>
            <w:pPr>
              <w:bidi w:val="1"/>
              <w:jc w:val="center"/>
            </w:pPr>
            <w:r/>
            <w:r>
              <w:rPr>
                <w:rFonts w:ascii="Cambria" w:hAnsi="Cambria" w:cs="Cambria"/>
                <w:b w:val="0"/>
                <w:sz w:val="22"/>
              </w:rPr>
              <w:t>درجهٔ آزادی</w:t>
            </w:r>
          </w:p>
        </w:tc>
        <w:tc>
          <w:tcPr>
            <w:tcW w:type="dxa" w:w="4110"/>
          </w:tcPr>
          <w:p>
            <w:pPr>
              <w:bidi w:val="1"/>
              <w:jc w:val="center"/>
            </w:pPr>
            <w:r/>
            <w:r>
              <w:rPr>
                <w:rFonts w:ascii="Cambria" w:hAnsi="Cambria" w:cs="Cambria"/>
                <w:b w:val="0"/>
                <w:sz w:val="22"/>
              </w:rPr>
              <w:t>۱</w:t>
            </w:r>
          </w:p>
        </w:tc>
      </w:tr>
      <w:tr>
        <w:tc>
          <w:tcPr>
            <w:tcW w:type="dxa" w:w="4110"/>
          </w:tcPr>
          <w:p>
            <w:pPr>
              <w:jc w:val="center"/>
            </w:pPr>
            <w:r/>
            <w:r>
              <w:rPr>
                <w:rFonts w:ascii="Cambria" w:hAnsi="Cambria" w:cs="Cambria"/>
                <w:b w:val="0"/>
                <w:sz w:val="22"/>
              </w:rPr>
              <w:t>p</w:t>
            </w:r>
          </w:p>
        </w:tc>
        <w:tc>
          <w:tcPr>
            <w:tcW w:type="dxa" w:w="4110"/>
          </w:tcPr>
          <w:p>
            <w:pPr>
              <w:bidi w:val="1"/>
              <w:jc w:val="center"/>
            </w:pPr>
            <w:r/>
            <w:r>
              <w:rPr>
                <w:rFonts w:ascii="Cambria" w:hAnsi="Cambria" w:cs="Cambria"/>
                <w:b w:val="0"/>
                <w:sz w:val="22"/>
              </w:rPr>
              <w:t>p = ۰٫۰۰۵</w:t>
            </w:r>
          </w:p>
        </w:tc>
      </w:tr>
      <w:tr>
        <w:tc>
          <w:tcPr>
            <w:tcW w:type="dxa" w:w="4110"/>
          </w:tcPr>
          <w:p>
            <w:pPr>
              <w:jc w:val="center"/>
            </w:pPr>
            <w:r/>
            <w:r>
              <w:rPr>
                <w:rFonts w:ascii="Cambria" w:hAnsi="Cambria" w:cs="Cambria"/>
                <w:b w:val="0"/>
                <w:sz w:val="22"/>
              </w:rPr>
              <w:t>CFI</w:t>
            </w:r>
          </w:p>
        </w:tc>
        <w:tc>
          <w:tcPr>
            <w:tcW w:type="dxa" w:w="4110"/>
          </w:tcPr>
          <w:p>
            <w:pPr>
              <w:bidi w:val="1"/>
              <w:jc w:val="center"/>
            </w:pPr>
            <w:r/>
            <w:r>
              <w:rPr>
                <w:rFonts w:ascii="Cambria" w:hAnsi="Cambria" w:cs="Cambria"/>
                <w:b w:val="0"/>
                <w:sz w:val="22"/>
              </w:rPr>
              <w:t>۰٫۹۱۳</w:t>
            </w:r>
          </w:p>
        </w:tc>
      </w:tr>
      <w:tr>
        <w:tc>
          <w:tcPr>
            <w:tcW w:type="dxa" w:w="4110"/>
          </w:tcPr>
          <w:p>
            <w:pPr>
              <w:jc w:val="center"/>
            </w:pPr>
            <w:r/>
            <w:r>
              <w:rPr>
                <w:rFonts w:ascii="Cambria" w:hAnsi="Cambria" w:cs="Cambria"/>
                <w:b w:val="0"/>
                <w:sz w:val="22"/>
              </w:rPr>
              <w:t>TLI</w:t>
            </w:r>
          </w:p>
        </w:tc>
        <w:tc>
          <w:tcPr>
            <w:tcW w:type="dxa" w:w="4110"/>
          </w:tcPr>
          <w:p>
            <w:pPr>
              <w:bidi w:val="1"/>
              <w:jc w:val="center"/>
            </w:pPr>
            <w:r/>
            <w:r>
              <w:rPr>
                <w:rFonts w:ascii="Cambria" w:hAnsi="Cambria" w:cs="Cambria"/>
                <w:b w:val="0"/>
                <w:sz w:val="22"/>
              </w:rPr>
              <w:t>۰٫۷۴۰</w:t>
            </w:r>
          </w:p>
        </w:tc>
      </w:tr>
      <w:tr>
        <w:tc>
          <w:tcPr>
            <w:tcW w:type="dxa" w:w="4110"/>
          </w:tcPr>
          <w:p>
            <w:pPr>
              <w:jc w:val="center"/>
            </w:pPr>
            <w:r/>
            <w:r>
              <w:rPr>
                <w:rFonts w:ascii="Cambria" w:hAnsi="Cambria" w:cs="Cambria"/>
                <w:b w:val="0"/>
                <w:sz w:val="22"/>
              </w:rPr>
              <w:t>RMSEA</w:t>
            </w:r>
          </w:p>
        </w:tc>
        <w:tc>
          <w:tcPr>
            <w:tcW w:type="dxa" w:w="4110"/>
          </w:tcPr>
          <w:p>
            <w:pPr>
              <w:bidi w:val="1"/>
              <w:jc w:val="center"/>
            </w:pPr>
            <w:r/>
            <w:r>
              <w:rPr>
                <w:rFonts w:ascii="Cambria" w:hAnsi="Cambria" w:cs="Cambria"/>
                <w:b w:val="0"/>
                <w:sz w:val="22"/>
              </w:rPr>
              <w:t>۰٫۱۹۲</w:t>
            </w:r>
          </w:p>
        </w:tc>
      </w:tr>
      <w:tr>
        <w:tc>
          <w:tcPr>
            <w:tcW w:type="dxa" w:w="4110"/>
          </w:tcPr>
          <w:p>
            <w:pPr>
              <w:jc w:val="center"/>
            </w:pPr>
            <w:r/>
            <w:r>
              <w:rPr>
                <w:rFonts w:ascii="Cambria" w:hAnsi="Cambria" w:cs="Cambria"/>
                <w:b w:val="0"/>
                <w:sz w:val="22"/>
              </w:rPr>
              <w:t>SRMR</w:t>
            </w:r>
          </w:p>
        </w:tc>
        <w:tc>
          <w:tcPr>
            <w:tcW w:type="dxa" w:w="4110"/>
          </w:tcPr>
          <w:p>
            <w:pPr>
              <w:bidi w:val="1"/>
              <w:jc w:val="center"/>
            </w:pPr>
            <w:r/>
            <w:r>
              <w:rPr>
                <w:rFonts w:ascii="Cambria" w:hAnsi="Cambria" w:cs="Cambria"/>
                <w:b w:val="0"/>
                <w:sz w:val="22"/>
              </w:rPr>
              <w:t>۰٫۰۶۸</w:t>
            </w:r>
          </w:p>
        </w:tc>
      </w:tr>
    </w:tbl>
    <w:p>
      <w:pPr>
        <w:bidi w:val="1"/>
        <w:spacing w:lineRule="exact" w:line="580" w:after="0"/>
        <w:jc w:val="both"/>
      </w:pPr>
      <w:r>
        <w:rPr>
          <w:rFonts w:ascii="B Nazanin" w:hAnsi="B Nazanin" w:cs="B Nazanin" w:hint="cs"/>
          <w:sz w:val="24"/>
          <w:szCs w:val="24"/>
          <w:rtl/>
          <w:lang w:bidi="fa-IR"/>
        </w:rPr>
        <w:t xml:space="preserve">یادداشت: مدل مقید است و تفسیر آن تکمیلی است؛ آزمون فرضیه اول بر مبنای فاصله اطمینان خودگردان‌سازی انجام شده است.</w:t>
      </w:r>
    </w:p>
    <w:p>
      <w:pPr>
        <w:bidi w:val="1"/>
        <w:spacing w:lineRule="exact" w:line="580" w:after="0"/>
        <w:jc w:val="both"/>
      </w:pPr>
      <w:r>
        <w:rPr>
          <w:rFonts w:ascii="B Nazanin" w:hAnsi="B Nazanin" w:cs="B Nazanin" w:hint="cs"/>
          <w:sz w:val="24"/>
          <w:szCs w:val="24"/>
          <w:rtl/>
          <w:lang w:bidi="fa-IR"/>
        </w:rPr>
        <w:t xml:space="preserve">خی‌دوی مدل مقید معنادار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یعنی قید «صفر بودن اثر مستقیم» با داده‌ها سازگار نیست و مدل میانجی‌گری کامل رد می‌شود. این یافته با نتیجه بخش ۴-۸ همسوست، جایی که اثر مستقیم پس از کنترل میانجی همچنان معنادار بود. سایر شاخص‌ها</w:t>
      </w:r>
      <w:r>
        <w:rPr>
          <w:rFonts w:ascii="Times New Roman" w:hAnsi="Times New Roman" w:cs="Times New Roman"/>
          <w:sz w:val="22"/>
          <w:szCs w:val="22"/>
          <w:lang w:val="en-US"/>
        </w:rPr>
        <w:t xml:space="preserve"> (CFI = </w:t>
      </w:r>
      <w:r>
        <w:rPr>
          <w:rFonts w:ascii="B Nazanin" w:hAnsi="B Nazanin" w:cs="B Nazanin" w:hint="cs"/>
          <w:sz w:val="24"/>
          <w:szCs w:val="24"/>
          <w:rtl/>
          <w:lang w:bidi="fa-IR"/>
        </w:rPr>
        <w:t xml:space="preserve">۰٫۹۱۳؛</w:t>
      </w:r>
      <w:r>
        <w:rPr>
          <w:rFonts w:ascii="Times New Roman" w:hAnsi="Times New Roman" w:cs="Times New Roman"/>
          <w:sz w:val="22"/>
          <w:szCs w:val="22"/>
          <w:lang w:val="en-US"/>
        </w:rPr>
        <w:t xml:space="preserve"> TLI = </w:t>
      </w:r>
      <w:r>
        <w:rPr>
          <w:rFonts w:ascii="B Nazanin" w:hAnsi="B Nazanin" w:cs="B Nazanin" w:hint="cs"/>
          <w:sz w:val="24"/>
          <w:szCs w:val="24"/>
          <w:rtl/>
          <w:lang w:bidi="fa-IR"/>
        </w:rPr>
        <w:t xml:space="preserve">۰٫۷۴۰؛</w:t>
      </w:r>
      <w:r>
        <w:rPr>
          <w:rFonts w:ascii="Times New Roman" w:hAnsi="Times New Roman" w:cs="Times New Roman"/>
          <w:sz w:val="22"/>
          <w:szCs w:val="22"/>
          <w:lang w:val="en-US"/>
        </w:rPr>
        <w:t xml:space="preserve"> RMSEA = </w:t>
      </w:r>
      <w:r>
        <w:rPr>
          <w:rFonts w:ascii="B Nazanin" w:hAnsi="B Nazanin" w:cs="B Nazanin" w:hint="cs"/>
          <w:sz w:val="24"/>
          <w:szCs w:val="24"/>
          <w:rtl/>
          <w:lang w:bidi="fa-IR"/>
        </w:rPr>
        <w:t xml:space="preserve">۰٫۱۹۲؛</w:t>
      </w:r>
      <w:r>
        <w:rPr>
          <w:rFonts w:ascii="Times New Roman" w:hAnsi="Times New Roman" w:cs="Times New Roman"/>
          <w:sz w:val="22"/>
          <w:szCs w:val="22"/>
          <w:lang w:val="en-US"/>
        </w:rPr>
        <w:t xml:space="preserve"> SRMR = </w:t>
      </w:r>
      <w:r>
        <w:rPr>
          <w:rFonts w:ascii="B Nazanin" w:hAnsi="B Nazanin" w:cs="B Nazanin" w:hint="cs"/>
          <w:sz w:val="24"/>
          <w:szCs w:val="24"/>
          <w:rtl/>
          <w:lang w:bidi="fa-IR"/>
        </w:rPr>
        <w:t xml:space="preserve">۰٫۰۶۸) نیز نشان می‌دهند که حذف اثر مستقیم، برازش را تضعیف می‌کند. تأکید می‌شود که این تحلیل صرفاً تکمیلی است و مبنای داوری درباره فرضیه اصلی، فاصله اطمینان خودگردان‌سازی در بخش ۴-۸ است.</w:t>
      </w:r>
    </w:p>
    <w:p>
      <w:pPr>
        <w:pStyle w:val="Heading2"/>
        <w:bidi w:val="1"/>
        <w:jc w:val="right"/>
        <w:outlineLvl w:val="1"/>
      </w:pPr>
      <w:r>
        <w:rPr>
          <w:rFonts w:ascii="B Nazanin" w:hAnsi="B Nazanin" w:cs="B Nazanin" w:hint="cs"/>
          <w:b/>
          <w:bCs/>
          <w:sz w:val="28"/>
          <w:szCs w:val="28"/>
          <w:rtl/>
          <w:lang w:bidi="fa-IR"/>
        </w:rPr>
        <w:t xml:space="preserve">۴-۱۰. جمع‌بندی یافته‌ها</w:t>
      </w:r>
    </w:p>
    <w:p>
      <w:pPr>
        <w:bidi w:val="1"/>
        <w:spacing w:lineRule="exact" w:line="580" w:after="0"/>
        <w:jc w:val="both"/>
      </w:pPr>
      <w:r>
        <w:rPr>
          <w:rFonts w:ascii="B Nazanin" w:hAnsi="B Nazanin" w:cs="B Nazanin" w:hint="cs"/>
          <w:sz w:val="24"/>
          <w:szCs w:val="24"/>
          <w:rtl/>
          <w:lang w:bidi="fa-IR"/>
        </w:rPr>
        <w:t xml:space="preserve">جدول ۴-۹ نتایج آزمون هر چهار فرضیه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p>
      <w:pPr>
        <w:bidi/>
      </w:pPr>
      <w:r>
        <w:rPr>
          <w:vanish/>
          <w:rFonts w:ascii="B Nazanin" w:hAnsi="B Nazanin"/>
        </w:rPr>
        <w:fldChar w:fldCharType="begin"/>
      </w:r>
      <w:r>
        <w:rPr>
          <w:vanish/>
          <w:rFonts w:ascii="B Nazanin" w:hAnsi="B Nazanin"/>
        </w:rPr>
        <w:instrText>TC "جدول ۴-۹. خلاصه نتایج آزمون فرضیه‌ها" \f T \l 1</w:instrText>
      </w:r>
      <w:r>
        <w:rPr>
          <w:vanish/>
          <w:rFonts w:ascii="B Nazanin" w:hAnsi="B Nazanin"/>
        </w:rPr>
        <w:fldChar w:fldCharType="end"/>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rFonts w:ascii="Cambria" w:hAnsi="Cambria" w:cs="Cambria"/>
                <w:b/>
                <w:sz w:val="22"/>
              </w:rPr>
              <w:t>فرضیه</w:t>
            </w:r>
          </w:p>
        </w:tc>
        <w:tc>
          <w:tcPr>
            <w:tcW w:type="dxa" w:w="2740"/>
            <w:tcBorders>
              <w:bottom w:val="single" w:sz="12" w:space="0" w:color="000000"/>
            </w:tcBorders>
          </w:tcPr>
          <w:p>
            <w:pPr>
              <w:bidi w:val="1"/>
              <w:jc w:val="center"/>
            </w:pPr>
            <w:r/>
            <w:r>
              <w:rPr>
                <w:rFonts w:ascii="Cambria" w:hAnsi="Cambria" w:cs="Cambria"/>
                <w:b/>
                <w:sz w:val="22"/>
              </w:rPr>
              <w:t>آزمون</w:t>
            </w:r>
          </w:p>
        </w:tc>
        <w:tc>
          <w:tcPr>
            <w:tcW w:type="dxa" w:w="2740"/>
            <w:tcBorders>
              <w:bottom w:val="single" w:sz="12" w:space="0" w:color="000000"/>
            </w:tcBorders>
          </w:tcPr>
          <w:p>
            <w:pPr>
              <w:bidi w:val="1"/>
              <w:jc w:val="center"/>
            </w:pPr>
            <w:r/>
            <w:r>
              <w:rPr>
                <w:rFonts w:ascii="Cambria" w:hAnsi="Cambria" w:cs="Cambria"/>
                <w:b/>
                <w:sz w:val="22"/>
              </w:rPr>
              <w:t>نتیجه</w:t>
            </w:r>
          </w:p>
        </w:tc>
      </w:tr>
      <w:tr>
        <w:tc>
          <w:tcPr>
            <w:tcW w:type="dxa" w:w="2740"/>
          </w:tcPr>
          <w:p>
            <w:pPr>
              <w:bidi w:val="1"/>
              <w:jc w:val="center"/>
            </w:pPr>
            <w:r/>
            <w:r>
              <w:rPr>
                <w:rFonts w:ascii="Cambria" w:hAnsi="Cambria" w:cs="Cambria"/>
                <w:b w:val="0"/>
                <w:sz w:val="22"/>
              </w:rPr>
              <w:t>فرضیهٔ اول (اصلی): میانجی‌گری طرحواره‌ها</w:t>
            </w:r>
          </w:p>
        </w:tc>
        <w:tc>
          <w:tcPr>
            <w:tcW w:type="dxa" w:w="2740"/>
          </w:tcPr>
          <w:p>
            <w:pPr>
              <w:bidi w:val="1"/>
              <w:jc w:val="center"/>
            </w:pPr>
            <w:r/>
            <w:r>
              <w:rPr>
                <w:rFonts w:ascii="Cambria" w:hAnsi="Cambria" w:cs="Cambria"/>
                <w:b w:val="0"/>
                <w:sz w:val="22"/>
              </w:rPr>
              <w:t>تحلیل میانجی‌گری</w:t>
            </w:r>
          </w:p>
        </w:tc>
        <w:tc>
          <w:tcPr>
            <w:tcW w:type="dxa" w:w="2740"/>
          </w:tcPr>
          <w:p>
            <w:pPr>
              <w:bidi w:val="1"/>
              <w:jc w:val="center"/>
            </w:pPr>
            <w:r/>
            <w:r>
              <w:rPr>
                <w:rFonts w:ascii="Cambria" w:hAnsi="Cambria" w:cs="Cambria"/>
                <w:b w:val="0"/>
                <w:sz w:val="22"/>
              </w:rPr>
              <w:t>تأیید شد (میانجی‌گری جزئی)</w:t>
            </w:r>
          </w:p>
        </w:tc>
      </w:tr>
      <w:tr>
        <w:tc>
          <w:tcPr>
            <w:tcW w:type="dxa" w:w="2740"/>
          </w:tcPr>
          <w:p>
            <w:pPr>
              <w:bidi w:val="1"/>
              <w:jc w:val="center"/>
            </w:pPr>
            <w:r/>
            <w:r>
              <w:rPr>
                <w:rFonts w:ascii="Cambria" w:hAnsi="Cambria" w:cs="Cambria"/>
                <w:b w:val="0"/>
                <w:sz w:val="22"/>
              </w:rPr>
              <w:t>فرضیهٔ دوم: رابطهٔ اضطراب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سوم: رابطهٔ اضطراب با طرحواره‌ها</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r>
        <w:tc>
          <w:tcPr>
            <w:tcW w:type="dxa" w:w="2740"/>
          </w:tcPr>
          <w:p>
            <w:pPr>
              <w:bidi w:val="1"/>
              <w:jc w:val="center"/>
            </w:pPr>
            <w:r/>
            <w:r>
              <w:rPr>
                <w:rFonts w:ascii="Cambria" w:hAnsi="Cambria" w:cs="Cambria"/>
                <w:b w:val="0"/>
                <w:sz w:val="22"/>
              </w:rPr>
              <w:t>فرضیهٔ چهارم: رابطهٔ طرحواره‌ها با رفتار پرخطر</w:t>
            </w:r>
          </w:p>
        </w:tc>
        <w:tc>
          <w:tcPr>
            <w:tcW w:type="dxa" w:w="2740"/>
          </w:tcPr>
          <w:p>
            <w:pPr>
              <w:bidi w:val="1"/>
              <w:jc w:val="center"/>
            </w:pPr>
            <w:r/>
            <w:r>
              <w:rPr>
                <w:rFonts w:ascii="Cambria" w:hAnsi="Cambria" w:cs="Cambria"/>
                <w:b w:val="0"/>
                <w:sz w:val="22"/>
              </w:rPr>
              <w:t>همبستگی پیرسون</w:t>
            </w:r>
          </w:p>
        </w:tc>
        <w:tc>
          <w:tcPr>
            <w:tcW w:type="dxa" w:w="2740"/>
          </w:tcPr>
          <w:p>
            <w:pPr>
              <w:bidi w:val="1"/>
              <w:jc w:val="center"/>
            </w:pPr>
            <w:r/>
            <w:r>
              <w:rPr>
                <w:rFonts w:ascii="Cambria" w:hAnsi="Cambria" w:cs="Cambria"/>
                <w:b w:val="0"/>
                <w:sz w:val="22"/>
              </w:rPr>
              <w:t>تأیید شد</w:t>
            </w:r>
          </w:p>
        </w:tc>
      </w:tr>
    </w:tbl>
    <w:p>
      <w:pPr>
        <w:bidi w:val="1"/>
        <w:spacing w:lineRule="exact" w:line="580" w:after="0"/>
        <w:jc w:val="both"/>
      </w:pPr>
      <w:r>
        <w:rPr>
          <w:rFonts w:ascii="B Nazanin" w:hAnsi="B Nazanin" w:cs="B Nazanin" w:hint="cs"/>
          <w:sz w:val="24"/>
          <w:szCs w:val="24"/>
          <w:rtl/>
          <w:lang w:bidi="fa-IR"/>
        </w:rPr>
        <w:t xml:space="preserve">در مجموع، هر چهار فرضیه پژوهش تأیید شدند. یافته‌ها نشان می‌دهند که اضطراب صفتی هم به‌طور مستقیم و هم به‌طور غیرمستقیم (از مسیر طرحواره‌های ناسازگار اولیه) با رفتارهای مالی پرخطر پیوند دارد و بخش معناداری از این پیوند از مسیر میانجی می‌گذرد. در تفسیر این یافته‌ها دو احتیاط لازم است: نخست، طرح پژوهش مقطعی است و هیچ‌یک از این روابط، رابطه علّی را اثبات نمی‌کنند؛ دوم، حجم نمونه نهایی (۱۸۵ نفر) از حداقل ۲۰۰ نفرِ مورد نیاز برای مدل‌سازی معادلات ساختاری کمتر است، از این رو نتایج بخش ۴-۹ جنبه تکمیلی و مقدماتی دارند و تعمیم آن‌ها نیازمند نمونه بزرگ‌تر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p>
      <w:pPr>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pPr>
    </w:p>
    <w:p>
      <w:pPr>
        <w:bidi w:val="1"/>
        <w:spacing w:lineRule="exact" w:line="580" w:before="120" w:after="240"/>
        <w:jc w:val="center"/>
        <w:outlineLvl w:val="0"/>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outlineLvl w:val="1"/>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هر چهار فرضیه تأیید گردیدند.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در این چارچوب، اضطراب صفتی (اسپیلبرگر، ۱۹۸۳) زمینه هیجانی پایداری فراهم می‌کند که در آن الگوهای شناختی ناسازگار شکل می‌گیرند و تداوم می‌یابند (بک، ۱۹۷۶؛ یانگ و همکاران، ۲۰۰۳) و این الگوها خود تصمیم‌گیری در موقعیت‌های نامطمئن را تحت تأثیر قرار می‌دهند (کانمن و تورسکی، ۱۹۷۹).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بخش ۵-۴ نتیجه‌گیری کلی، بخش ۵-۵ کاربردهای عملی، بخش ۵-۶ محدودیت‌ها و بخش ۵-۷ پیشنهادهای پژوهشی را ارائه می‌دهند. بخش ۵-۸ نیز با جمع‌بندی نهایی فصل را می‌بندد.</w:t>
      </w:r>
    </w:p>
    <w:p>
      <w:pPr>
        <w:pStyle w:val="Heading2"/>
        <w:bidi w:val="1"/>
        <w:jc w:val="right"/>
        <w:outlineLvl w:val="1"/>
      </w:pPr>
      <w:r>
        <w:rPr>
          <w:rFonts w:ascii="B Nazanin" w:hAnsi="B Nazanin" w:cs="B Nazanin" w:hint="cs"/>
          <w:b/>
          <w:bCs/>
          <w:sz w:val="28"/>
          <w:szCs w:val="28"/>
          <w:rtl/>
          <w:lang w:bidi="fa-IR"/>
        </w:rPr>
        <w:t xml:space="preserve">۵-۲. خلاصه یافته‌ها</w:t>
      </w:r>
    </w:p>
    <w:p>
      <w:pPr>
        <w:bidi w:val="1"/>
        <w:spacing w:lineRule="exact" w:line="580" w:after="0"/>
        <w:jc w:val="both"/>
      </w:pPr>
      <w:r>
        <w:rPr>
          <w:rFonts w:ascii="B Nazanin" w:hAnsi="B Nazanin" w:cs="B Nazanin" w:hint="cs"/>
          <w:sz w:val="24"/>
          <w:szCs w:val="24"/>
          <w:rtl/>
          <w:lang w:bidi="fa-IR"/>
        </w:rPr>
        <w:t xml:space="preserve">مسئله پژوهش، تبیین سازوکار پیوند میان اضطراب صفتی و رفتارهای مالی پرخطر در معامله‌گران بازارهای مالی بود و نقش میانجی طرحواره‌های ناسازگار اولیه در این رابطه آزمون شد. داده‌ها از ۱۸۵ معامله‌گر معتبر (از ۲۴۳ پاسخ خام، پس از حذف ۵۸ پاسخ در شش مرحله غربالگری) گردآوری شد. میانگین سنی نمونه ۳۶٫۳ سال بود، دوسوم آن را مردان تشکیل می‌دادند و بازار اصلی فعالیت ۴۲٫۷ درصد بورس بود. ابزارهای پژوهش عبارت بودند از فرم اضطراب صفتی اسپیلبرگر (۲۰ گویه با ۸ گویه معکوس، دامنه ۲۰ تا ۸۰)، فرم کوتاه طرحواره یانگ (۷۵ گویه در ۱۵ طرحواره ۵ گویه‌ای بدون گویه معکوس، دامنه ۷۵ تا ۴۵۰) و مقیاس ۱۳ سؤالی تحمل ریسک گرابل و لایتون (دامنه ۱۳ تا ۵۲) که نمره بالاتر در آن نشان‌دهنده تحمل ریسک بیشتر و تمایل بالاتر به رفتار پرخطر است.</w:t>
      </w:r>
    </w:p>
    <w:p>
      <w:pPr>
        <w:bidi w:val="1"/>
        <w:spacing w:lineRule="exact" w:line="580" w:after="0"/>
        <w:jc w:val="both"/>
      </w:pPr>
      <w:r>
        <w:rPr>
          <w:rFonts w:ascii="B Nazanin" w:hAnsi="B Nazanin" w:cs="B Nazanin" w:hint="cs"/>
          <w:sz w:val="24"/>
          <w:szCs w:val="24"/>
          <w:rtl/>
          <w:lang w:bidi="fa-IR"/>
        </w:rPr>
        <w:t xml:space="preserve">میانگین اضطراب صفتی ۴۵٫۳۶ (انحراف معیار ۱۱٫۴۲)، میانگین طرحواره‌ها ۲۱۸٫۱۱ (انحراف معیار ۴۰٫۷۸) و میانگین رفتارهای مالی پرخطر ۳۱٫۸۰ (انحراف معیار ۷٫۶۳) بود و هر سه دامنه مشاهده‌شده درون دامنه نظری ابزار مربوطه قرار گرفت. پایایی هر سه ابزار مطلوب بود (آلفای ۰٫۸۸، ۰٫۹۲ و ۰٫۸۲) و پایایی ۱۵ خرده‌مقیاس طرحواره بین ۰٫۶۱ تا ۰٫۷۸ قرار گرفت. پیش‌فرض‌های تحلیل نیز برقرار بودند: هیچ مورد پرت چندمتغیره‌ای دیده نشد (بیشینه ماهالانوبیس ۱۴٫۸۸ در برابر مقدار بحرانی ۱۶٫۲۷)، هم‌خطی نگران‌کننده نبود (عامل تورم واریانس ۱٫۳۴) و پسماندها مستقل بودند (دوربین–واتسون ۱٫۸۱).</w:t>
      </w:r>
    </w:p>
    <w:p>
      <w:pPr>
        <w:bidi w:val="1"/>
        <w:spacing w:lineRule="exact" w:line="580" w:after="0"/>
        <w:jc w:val="both"/>
      </w:pPr>
      <w:r>
        <w:rPr>
          <w:rFonts w:ascii="B Nazanin" w:hAnsi="B Nazanin" w:cs="B Nazanin" w:hint="cs"/>
          <w:sz w:val="24"/>
          <w:szCs w:val="24"/>
          <w:rtl/>
          <w:lang w:bidi="fa-IR"/>
        </w:rPr>
        <w:t xml:space="preserve">هر سه فرضیه فرعی تأیید شدند: رابطه اضطراب صفتی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رابطه اضطراب صفتی با طرحواره‌های ناسازگار اولیه</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متوسط رو به بزرگ؛ و رابطه طرحواره‌ها با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w:t>
      </w:r>
      <w:r>
        <w:rPr>
          <w:rFonts w:ascii="Times New Roman" w:hAnsi="Times New Roman" w:cs="Times New Roman"/>
          <w:sz w:val="22"/>
          <w:szCs w:val="22"/>
          <w:lang w:val="en-US"/>
        </w:rPr>
        <w:t xml:space="preserve"> p &lt; </w:t>
      </w:r>
      <w:r>
        <w:rPr>
          <w:rFonts w:ascii="B Nazanin" w:hAnsi="B Nazanin" w:cs="B Nazanin" w:hint="cs"/>
          <w:sz w:val="24"/>
          <w:szCs w:val="24"/>
          <w:rtl/>
          <w:lang w:bidi="fa-IR"/>
        </w:rPr>
        <w:t xml:space="preserve">۰٫۰۰۱) با اندازه‌اثر کوچک تا متوسط. فرضیه اصلی نیز تأیید شد: اثر غیرمستقیم اضطراب بر رفتار پرخطر از مسیر طرحواره‌ها برابر ۰٫۰۷۰ بود و فاصله اطمینان ۹۵ درصد آن (۰٫۰۱۱ تا ۰٫۱۳۳) صفر را در بر نداشت؛ چون اثر مستقیم نیز پس از کنترل میانجی معنادار ماند</w:t>
      </w:r>
      <w:r>
        <w:rPr>
          <w:rFonts w:ascii="Times New Roman" w:hAnsi="Times New Roman" w:cs="Times New Roman"/>
          <w:sz w:val="22"/>
          <w:szCs w:val="22"/>
          <w:lang w:val="en-US"/>
        </w:rPr>
        <w:t xml:space="preserve"> (c′ = </w:t>
      </w:r>
      <w:r>
        <w:rPr>
          <w:rFonts w:ascii="B Nazanin" w:hAnsi="B Nazanin" w:cs="B Nazanin" w:hint="cs"/>
          <w:sz w:val="24"/>
          <w:szCs w:val="24"/>
          <w:rtl/>
          <w:lang w:bidi="fa-IR"/>
        </w:rPr>
        <w:t xml:space="preserve">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الگوی به‌دست‌آمده از نوع میانجی‌گری جزئی است و حدود یک‌سوم اثر کل از مسیر میانجی می‌گذرد. تحلیل مسیر تکمیلی با متغیرهای مشاهده‌شده نیز همسو بود: مدل اشباع ضرایب استانداردشده ۰٫۵۰۱، ۰٫۲۰۹ و ۰٫۲۲۲ را نشان داد و مدل مقید میانجی‌گری کامل رد شد (خی‌دو = ۷٫۷۵ با ۱ درجه آزادی؛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w:t>
      </w:r>
    </w:p>
    <w:p>
      <w:pPr>
        <w:pStyle w:val="Heading2"/>
        <w:bidi w:val="1"/>
        <w:jc w:val="right"/>
        <w:outlineLvl w:val="1"/>
      </w:pPr>
      <w:r>
        <w:rPr>
          <w:rFonts w:ascii="B Nazanin" w:hAnsi="B Nazanin" w:cs="B Nazanin" w:hint="cs"/>
          <w:b/>
          <w:bCs/>
          <w:sz w:val="28"/>
          <w:szCs w:val="28"/>
          <w:rtl/>
          <w:lang w:bidi="fa-IR"/>
        </w:rPr>
        <w:t xml:space="preserve">۵-۳. بحث درباره یافته‌ها</w:t>
      </w:r>
    </w:p>
    <w:p>
      <w:pPr>
        <w:pStyle w:val="Heading3"/>
        <w:bidi w:val="1"/>
        <w:jc w:val="right"/>
        <w:outlineLvl w:val="2"/>
      </w:pPr>
      <w:r>
        <w:rPr>
          <w:rFonts w:ascii="B Nazanin" w:hAnsi="B Nazanin" w:cs="B Nazanin" w:hint="cs"/>
          <w:b/>
          <w:bCs/>
          <w:sz w:val="26"/>
          <w:szCs w:val="26"/>
          <w:rtl/>
          <w:lang w:bidi="fa-IR"/>
        </w:rPr>
        <w:t xml:space="preserve">۵-۳-۱. فرضیه اصلی: میانجی‌گری جزئی طرحواره‌های ناسازگار اولیه</w:t>
      </w:r>
    </w:p>
    <w:p>
      <w:pPr>
        <w:bidi w:val="1"/>
        <w:spacing w:lineRule="exact" w:line="580" w:after="0"/>
        <w:jc w:val="both"/>
      </w:pPr>
      <w:r>
        <w:rPr>
          <w:rFonts w:ascii="B Nazanin" w:hAnsi="B Nazanin" w:cs="B Nazanin" w:hint="cs"/>
          <w:sz w:val="24"/>
          <w:szCs w:val="24"/>
          <w:rtl/>
          <w:lang w:bidi="fa-IR"/>
        </w:rPr>
        <w:t xml:space="preserve">مهم‌ترین یافته پژوهش، تأیید نقش میانجی طرحواره‌های ناسازگار اولیه در رابطه اضطراب صفتی با رفتارهای مالی پرخطر است. اثر غیرمستقیم معنادار (۰٫۰۷۰ با فاصله اطمینان ۰٫۰۱۱ تا ۰٫۱۳۳) در کنار معنادار ماندن اثر مستقیم (۰٫۱۴۹؛</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۰٫۰۰۶) نشان می‌دهد که طرحواره‌ها بخشی از سازوکار این پیوند را حمل می‌کنند، اما همه آن را توضیح نمی‌دهند. این الگوی میانجی‌گری جزئی دقیقاً همان چیزی است که مدل آسیب‌پذیری-استرس پیش‌بینی می‌کند: ویژگی زمینه‌ای اضطراب از مسیر الگوهای شناختی ناسازگار به پیامد رفتاری می‌رسد، بی‌آنکه این مسیر یگانه باشد (زاکرمن، ۱۹۹۹؛ بک، ۱۹۷۶).</w:t>
      </w:r>
    </w:p>
    <w:p>
      <w:pPr>
        <w:bidi w:val="1"/>
        <w:spacing w:lineRule="exact" w:line="580" w:after="0"/>
        <w:jc w:val="both"/>
      </w:pPr>
      <w:r>
        <w:rPr>
          <w:rFonts w:ascii="B Nazanin" w:hAnsi="B Nazanin" w:cs="B Nazanin" w:hint="cs"/>
          <w:sz w:val="24"/>
          <w:szCs w:val="24"/>
          <w:rtl/>
          <w:lang w:bidi="fa-IR"/>
        </w:rPr>
        <w:t xml:space="preserve">سازوکار این میانجی‌گری را می‌توان در دو گام خواند. در گام نخست، اضطراب صفتی بالا با فعال‌سازی و تداوم طرحواره‌ها پیوند می‌خورد؛ یافته‌ای که با دیدگاه بک و کلارک (۱۹۹۷) درباره سوگیری پردازش اطلاعات در اضطراب و نظریه کنترل توجه آیزنک و همکاران (۲۰۰۷) سازگار است و در پژوهش‌های هالورسن و همکاران (۲۰۰۹) و ریم و همکاران (۲۰۱۵) درباره پیوند روان‌رنجوری با طرحواره‌های ناسازگار نیز دیده شده است. در گام دوم، طرحواره‌های فعال، تصمیم‌گیری در موقعیت‌های مالی نامطمئن را به سمت رفتارهای پرخطر سوق می‌دهند؛ همسو با شواهد شوری و همکاران (۲۰۱۲) و مرور نظام‌مند ویرا و همکاران (۲۰۲۳) درباره پیوند طرحواره‌ها با رفتارهای اعتیادی و پرخطر. سابقه پژوهشی میانجی‌گری نیز از این الگو پشتیبانی می‌کند: سافیتری و همکاران (۲۰۲۵) نشان دادند که اثر عوامل روانی-اجتماعی بر تصمیم سرمایه‌گذاری از مسیر تحمل ریسک می‌گذرد و اولولو و همکاران (۲۰۲۴) با مداخله آموزشی-شناختی، نگرش به ریسک مالی را بهبود دادند که بر شکل‌پذیری این مسیر دلالت دارد.</w:t>
      </w:r>
    </w:p>
    <w:p>
      <w:pPr>
        <w:bidi w:val="1"/>
        <w:spacing w:lineRule="exact" w:line="580" w:after="0"/>
        <w:jc w:val="both"/>
      </w:pPr>
      <w:r>
        <w:rPr>
          <w:rFonts w:ascii="B Nazanin" w:hAnsi="B Nazanin" w:cs="B Nazanin" w:hint="cs"/>
          <w:sz w:val="24"/>
          <w:szCs w:val="24"/>
          <w:rtl/>
          <w:lang w:bidi="fa-IR"/>
        </w:rPr>
        <w:t xml:space="preserve">جزئی بودن میانجی‌گری نیز به‌اندازه خود آن معنادار است: حدود یک‌سوم اثر کل از مسیر طرحواره‌ها می‌گذرد و دوسوم دیگر مستقیم یا از مسیرهای دیگر است. این سهم باقیمانده می‌تواند بازتاب سازوکارهای هیجانی مستقیم (مانند واکنش‌پذیری هیجانی معامله‌گران که لو و رپین (۲۰۰۲) گزارش کردند)، سوگیری‌های رفتاری مستقل از طرحواره (مانند رفتار توده‌وار در شرایط استرس بازار؛ هوانگ و سالمون، ۲۰۰۴) یا تفاوت‌های فردی دیگر باشد. رد مدل مقید میانجی‌گری کامل در تحلیل تکمیلی</w:t>
      </w:r>
      <w:r>
        <w:rPr>
          <w:rFonts w:ascii="Times New Roman" w:hAnsi="Times New Roman" w:cs="Times New Roman"/>
          <w:sz w:val="22"/>
          <w:szCs w:val="22"/>
          <w:lang w:val="en-US"/>
        </w:rPr>
        <w:t xml:space="preserve"> (p = </w:t>
      </w:r>
      <w:r>
        <w:rPr>
          <w:rFonts w:ascii="B Nazanin" w:hAnsi="B Nazanin" w:cs="B Nazanin" w:hint="cs"/>
          <w:sz w:val="24"/>
          <w:szCs w:val="24"/>
          <w:rtl/>
          <w:lang w:bidi="fa-IR"/>
        </w:rPr>
        <w:t xml:space="preserve">۰٫۰۰۵) نیز مؤید همین نکته است: حذف اثر مستقیم، برازش مدل را به‌طور معنادار تضعیف می‌کند.</w:t>
      </w:r>
    </w:p>
    <w:p>
      <w:pPr>
        <w:pStyle w:val="Heading3"/>
        <w:bidi w:val="1"/>
        <w:jc w:val="right"/>
        <w:outlineLvl w:val="2"/>
      </w:pPr>
      <w:r>
        <w:rPr>
          <w:rFonts w:ascii="B Nazanin" w:hAnsi="B Nazanin" w:cs="B Nazanin" w:hint="cs"/>
          <w:b/>
          <w:bCs/>
          <w:sz w:val="26"/>
          <w:szCs w:val="26"/>
          <w:rtl/>
          <w:lang w:bidi="fa-IR"/>
        </w:rPr>
        <w:t xml:space="preserve">۵-۳-۲. فرضیه دوم: رابطه اضطراب صفتی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اضطراب صفتی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۰٫۳۲۷) با اندازه‌اثر کوچک تا متوسط، فرضیه دوم را تأیید کرد. این یافته با شواهدی همسوست که اضطراب را با تصمیم‌گیری مختل در موقعیت‌های مالی پیوند می‌دهند: هارتلی و فلپس (۲۰۱۲) نقش اضطراب در تصمیم‌گیری را مستند کردند، لو و همکاران (۲۰۰۵) نشان دادند که واکنش‌پذیری هیجانی شدید با عملکرد ضعیف‌تر معامله‌گران روزانه همراه است، گامبتی و جوسبرتی (۲۰۱۲) اثر اضطراب بر تصمیم‌های سرمایه‌گذاری را گزارش کردند و فنتون-اوکریوی و همکاران (۲۰۱۱) تأثیر هیجان‌ها بر تصمیم و عملکرد معامله‌گران را نشان دادند. در پیشینه داخلی نیز ستایش و همکاران (۱۳۹۹) پیوند ویژگی‌های شخصیتی با رفتار معاملاتی سرمایه‌گذاران حقیقی و فلاح و خدایی (۱۳۹۸) پیوند سبک‌های تصمیم‌گیری با عملکرد سرمایه‌گذاری را گزارش کرده‌اند.</w:t>
      </w:r>
    </w:p>
    <w:p>
      <w:pPr>
        <w:bidi w:val="1"/>
        <w:spacing w:lineRule="exact" w:line="580" w:after="0"/>
        <w:jc w:val="both"/>
      </w:pPr>
      <w:r>
        <w:rPr>
          <w:rFonts w:ascii="B Nazanin" w:hAnsi="B Nazanin" w:cs="B Nazanin" w:hint="cs"/>
          <w:sz w:val="24"/>
          <w:szCs w:val="24"/>
          <w:rtl/>
          <w:lang w:bidi="fa-IR"/>
        </w:rPr>
        <w:t xml:space="preserve">با این حال، اندازه‌اثر کوچک تا متوسط و وجود شواهد ناهمسو، تفسیر محتاطانه را ایجاب می‌کند. ماهاتو و همکاران (۲۰۲۵) اثر منفی اضطراب صفتی بر تصمیم‌های سرمایه‌گذاری نسل جوان را گزارش کردند، منر و اشمیت (۲۰۰۶) نشان دادند که اضطراب در برخی شرایط به اجتناب از ریسک می‌انجامد و لاوریولا و لوین (۲۰۰۱) نیز بر مشروط بودن پیوند صفات شخصیتی با تصمیم پرخطر تأکید کردند. این ناهمسویی ظاهری را می‌توان با تفاوت در تعریف پیامد توضیح داد: اضطراب ممکن است همزمان «نگرش به ریسک» را منفی کند و «رفتار پرخطر» (مانند معاملات هیجانی یا جبران‌جویانه) را افزایش دهد. به بیان دیگر، مضطرب بودن با احتیاط در نگرش سازگار است، اما در عملِ معامله‌گریِ پُراسترس می‌تواند به رفتارهای تکانشی و پرخطر بینجامد؛ تفکیکی که پژوهش‌های آتی باید با سنجش جداگانه نگرش و رفتار آن را بیازمایند.</w:t>
      </w:r>
    </w:p>
    <w:p>
      <w:pPr>
        <w:pStyle w:val="Heading3"/>
        <w:bidi w:val="1"/>
        <w:jc w:val="right"/>
        <w:outlineLvl w:val="2"/>
      </w:pPr>
      <w:r>
        <w:rPr>
          <w:rFonts w:ascii="B Nazanin" w:hAnsi="B Nazanin" w:cs="B Nazanin" w:hint="cs"/>
          <w:b/>
          <w:bCs/>
          <w:sz w:val="26"/>
          <w:szCs w:val="26"/>
          <w:rtl/>
          <w:lang w:bidi="fa-IR"/>
        </w:rPr>
        <w:t xml:space="preserve">۵-۳-۳. فرضیه سوم: رابطه اضطراب صفتی با طرحواره‌های ناسازگار اولیه</w:t>
      </w:r>
    </w:p>
    <w:p>
      <w:pPr>
        <w:bidi w:val="1"/>
        <w:spacing w:lineRule="exact" w:line="580" w:after="0"/>
        <w:jc w:val="both"/>
      </w:pPr>
      <w:r>
        <w:rPr>
          <w:rFonts w:ascii="B Nazanin" w:hAnsi="B Nazanin" w:cs="B Nazanin" w:hint="cs"/>
          <w:sz w:val="24"/>
          <w:szCs w:val="24"/>
          <w:rtl/>
          <w:lang w:bidi="fa-IR"/>
        </w:rPr>
        <w:t xml:space="preserve">قوی‌ترین رابطه دوتایی پژوهش، پیوند اضطراب صفتی با طرحواره‌های ناسازگار اولیه بود</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۰٫۵۰۱) با اندازه‌اثر متوسط رو به بزرگ که ۲۵٫۱ درصد واریانس طرحواره‌ها را تبیین می‌کند. این یافته، ستون فقرات مدل مفهومی پژوهش است و با مبانی نظری کاملاً سازگار است: در مدل شناختی اضطراب، سوگیری توجه و تفسیر، مواد خام تداوم طرحواره‌ها را فراهم می‌کنند (بک و کلارک، ۱۹۹۷) و نقص کنترل توجه در اضطراب، رهایی از چرخه نشخوار طرحواره‌محور را دشوار می‌سازد (آیزنک و همکاران، ۲۰۰۷). مرور میته (۲۰۰۷) نیز بر نقش پردازش شناختی در پیوند اضطراب با تصمیم‌گیری تأکید دارد.</w:t>
      </w:r>
    </w:p>
    <w:p>
      <w:pPr>
        <w:bidi w:val="1"/>
        <w:spacing w:lineRule="exact" w:line="580" w:after="0"/>
        <w:jc w:val="both"/>
      </w:pPr>
      <w:r>
        <w:rPr>
          <w:rFonts w:ascii="B Nazanin" w:hAnsi="B Nazanin" w:cs="B Nazanin" w:hint="cs"/>
          <w:sz w:val="24"/>
          <w:szCs w:val="24"/>
          <w:rtl/>
          <w:lang w:bidi="fa-IR"/>
        </w:rPr>
        <w:t xml:space="preserve">شواهد تجربی نیز هم‌جهت‌اند: هالورسن و همکاران (۲۰۰۹) و ریم و همکاران (۲۰۱۵) پیوند معنادار روان‌رنجوری با طرحواره‌های ناسازگار را نشان دادند و آرنتز و یاکوب (۲۰۱۲) تداوم طرحواره‌ها در بستر برانگیختگی هیجانی را از مفروضات بنیادین طرحواره‌درمانی می‌دانند. در پیشینه داخلی، نوری و هاشمیان (۱۳۹۶) رابطه طرحواره‌های ناسازگار با اضطراب اجتماعی و امیدی و همکاران (۱۳۹۲) پیوند این طرحواره‌ها با گرایش به رفتارهای مسئله‌ساز را گزارش کرده‌اند. بزرگی نسبی این اثر در مقایسه با دو فرضیه دیگر (۰٫۵۰۱ در برابر ۰٫۳۲۷ و ۰٫۳۲۱) نشان می‌دهد که پیوند اضطراب با ساختارهای شناختی، نیرومندتر از پیوند مستقیم آن با رفتار مالی است؛ دقیقاً همان الگویی که ضرورت آزمون میانجی‌گری را موجه می‌ساخت.</w:t>
      </w:r>
    </w:p>
    <w:p>
      <w:pPr>
        <w:pStyle w:val="Heading3"/>
        <w:bidi w:val="1"/>
        <w:jc w:val="right"/>
        <w:outlineLvl w:val="2"/>
      </w:pPr>
      <w:r>
        <w:rPr>
          <w:rFonts w:ascii="B Nazanin" w:hAnsi="B Nazanin" w:cs="B Nazanin" w:hint="cs"/>
          <w:b/>
          <w:bCs/>
          <w:sz w:val="26"/>
          <w:szCs w:val="26"/>
          <w:rtl/>
          <w:lang w:bidi="fa-IR"/>
        </w:rPr>
        <w:t xml:space="preserve">۵-۳-۴. فرضیه چهارم: رابطه طرحواره‌های ناسازگار اولیه با رفتارهای مالی پرخطر</w:t>
      </w:r>
    </w:p>
    <w:p>
      <w:pPr>
        <w:bidi w:val="1"/>
        <w:spacing w:lineRule="exact" w:line="580" w:after="0"/>
        <w:jc w:val="both"/>
      </w:pPr>
      <w:r>
        <w:rPr>
          <w:rFonts w:ascii="B Nazanin" w:hAnsi="B Nazanin" w:cs="B Nazanin" w:hint="cs"/>
          <w:sz w:val="24"/>
          <w:szCs w:val="24"/>
          <w:rtl/>
          <w:lang w:bidi="fa-IR"/>
        </w:rPr>
        <w:t xml:space="preserve">رابطه مثبت معنادار میان طرحواره‌ها و رفتارهای مالی پرخطر</w:t>
      </w:r>
      <w:r>
        <w:rPr>
          <w:rFonts w:ascii="Times New Roman" w:hAnsi="Times New Roman" w:cs="Times New Roman"/>
          <w:sz w:val="22"/>
          <w:szCs w:val="22"/>
          <w:lang w:val="en-US"/>
        </w:rPr>
        <w:t xml:space="preserve"> (r = </w:t>
      </w:r>
      <w:r>
        <w:rPr>
          <w:rFonts w:ascii="B Nazanin" w:hAnsi="B Nazanin" w:cs="B Nazanin" w:hint="cs"/>
          <w:sz w:val="24"/>
          <w:szCs w:val="24"/>
          <w:rtl/>
          <w:lang w:bidi="fa-IR"/>
        </w:rPr>
        <w:t xml:space="preserve">۰٫۳۲۱) با اندازه‌اثر کوچک تا متوسط، فرضیه چهارم را تأیید کرد. این یافته را می‌توان در چارچوب نظریه چشم‌انداز خواند: طرحواره‌هایی مانند آسیب‌پذیری، استحقاق یا خویشتن‌داری ناکافی می‌توانند چارچوب مرجع تصمیم‌گیرنده را جابه‌جا کنند و او را در ناحیه زیان به ریسک‌پذیری بیشتر یا در پی جبران، به معاملات پرخطر سوق دهند (کانمن و تورسکی، ۱۹۷۹). ادبیات مالی-رفتاری نیز سرشار از سازوکارهایی است که با فعال‌سازی طرحواره‌ها هم‌خوان‌اند: تمایل به فروش زودهنگام برندگان و نگه‌داشتن بازندگان (شفرین و استاتمن، ۱۹۸۵)، معامله بیش‌ازحد زیان‌بار (باربر و اودین، ۲۰۰۰) و رفتار توده‌وار در استرس بازار (هوانگ و سالمون، ۲۰۰۴) همگی الگوهایی‌اند که ریشه شناختی-هیجانی دارند (بیکر و نافسینگر، ۲۰۱۰؛ تیلر، ۲۰۱۶).</w:t>
      </w:r>
    </w:p>
    <w:p>
      <w:pPr>
        <w:bidi w:val="1"/>
        <w:spacing w:lineRule="exact" w:line="580" w:after="0"/>
        <w:jc w:val="both"/>
      </w:pPr>
      <w:r>
        <w:rPr>
          <w:rFonts w:ascii="B Nazanin" w:hAnsi="B Nazanin" w:cs="B Nazanin" w:hint="cs"/>
          <w:sz w:val="24"/>
          <w:szCs w:val="24"/>
          <w:rtl/>
          <w:lang w:bidi="fa-IR"/>
        </w:rPr>
        <w:t xml:space="preserve">در سطح رفتاری-اعتیادی نیز شواهد همسوست: شوری و همکاران (۲۰۱۲) پیوند طرحواره‌ها با قمار مسئله‌ساز و ویرا و همکاران (۲۰۲۳) پیوند آن‌ها با اعتیادهای رفتاری را مستند کردند که با توجه به شباهت معامله‌گری پُرریسک با رفتارهای اعتیادی، قابل تعمیم به بستر پژوهش حاضر است. در پیشینه داخلی، بهدیو و همکاران (۱۳۹۸) اثر ریسک‌پذیری و ویژگی‌های فردی بر رفتار توده‌وار سرمایه‌گذاران و فروغی و تهرانی (۱۳۹۷) نقش تعدیل‌گر سواد مالی در رابطه سوگیری‌های رفتاری با عملکرد را نشان دادند که بر اهمیت بستر شناختی تصمیم مالی تأکید دارد. همچنین پدیده ترس از جاماندن و جنبه‌های تاریک معامله‌گری اجتماعی (آور و شوماخر، ۲۰۲۳) نمونه معاصری از همین مسیر طرحواره-به-رفتار است. در مجموع، یافته فرضیه چهارم نشان می‌دهد که طرحواره‌های ناسازگار، صرفاً یک متغیر بالینی نیستند، بلکه در بستر بازارهای مالی نیز با رفتار عینی معامله‌گر پیوند می‌خورند.</w:t>
      </w:r>
    </w:p>
    <w:p>
      <w:pPr>
        <w:pStyle w:val="Heading3"/>
        <w:bidi w:val="1"/>
        <w:jc w:val="right"/>
        <w:outlineLvl w:val="2"/>
      </w:pPr>
      <w:r>
        <w:rPr>
          <w:rFonts w:ascii="B Nazanin" w:hAnsi="B Nazanin" w:cs="B Nazanin" w:hint="cs"/>
          <w:b/>
          <w:bCs/>
          <w:sz w:val="26"/>
          <w:szCs w:val="26"/>
          <w:rtl/>
          <w:lang w:bidi="fa-IR"/>
        </w:rPr>
        <w:t xml:space="preserve">۵-۳-۵. جمع‌بندی نظری بحث</w:t>
      </w:r>
    </w:p>
    <w:p>
      <w:pPr>
        <w:bidi w:val="1"/>
        <w:spacing w:lineRule="exact" w:line="580" w:after="0"/>
        <w:jc w:val="both"/>
      </w:pPr>
      <w:r>
        <w:rPr>
          <w:rFonts w:ascii="B Nazanin" w:hAnsi="B Nazanin" w:cs="B Nazanin" w:hint="cs"/>
          <w:sz w:val="24"/>
          <w:szCs w:val="24"/>
          <w:rtl/>
          <w:lang w:bidi="fa-IR"/>
        </w:rPr>
        <w:t xml:space="preserve">در کنار هم، یافته‌های چهار فرضیه زنجیره نظری پژوهش را پشتیبانی می‌کنند: اضطراب صفتی نیرومندترین پیوند را با طرحواره‌ها دارد (۰٫۵۰۱)، طرحواره‌ها با رفتار پرخطر پیوند معنادار دارند (۰٫۳۲۱) و بخشی از اثر اضطراب بر رفتار (۰٫۳۲۷) از مسیر طرحواره‌ها می‌گذرد (اثر غیرمستقیم ۰٫۰۷۰). این الگو با منطق مدل آسیب‌پذیری-استرس سازگار است که در آن ویژگی زمینه‌ای از مسیر سازوکار شناختی به پیامد می‌رسد (زاکرمن، ۱۹۹۹). در عین حال، میانجی‌گری جزئی و اندازه‌اثرهای کوچک تا متوسط در سطح رفتار، یادآوری می‌کند که رفتار مالی پرخطر پدیده‌ای چندعاملی است و مدل حاضر تنها برشی از شبکه علّی آن را روشن می‌کند.</w:t>
      </w:r>
    </w:p>
    <w:p>
      <w:pPr>
        <w:pStyle w:val="Heading2"/>
        <w:bidi w:val="1"/>
        <w:jc w:val="right"/>
        <w:outlineLvl w:val="1"/>
      </w:pPr>
      <w:r>
        <w:rPr>
          <w:rFonts w:ascii="B Nazanin" w:hAnsi="B Nazanin" w:cs="B Nazanin" w:hint="cs"/>
          <w:b/>
          <w:bCs/>
          <w:sz w:val="28"/>
          <w:szCs w:val="28"/>
          <w:rtl/>
          <w:lang w:bidi="fa-IR"/>
        </w:rPr>
        <w:t xml:space="preserve">۵-۴. همسویی و ناهمسویی یافته‌ها با پیشینه پژوهش</w:t>
      </w:r>
    </w:p>
    <w:p>
      <w:pPr>
        <w:bidi w:val="1"/>
        <w:spacing w:lineRule="exact" w:line="580" w:after="0"/>
        <w:jc w:val="both"/>
      </w:pPr>
      <w:r>
        <w:rPr>
          <w:rFonts w:ascii="B Nazanin" w:hAnsi="B Nazanin" w:cs="B Nazanin" w:hint="cs"/>
          <w:sz w:val="24"/>
          <w:szCs w:val="24"/>
          <w:rtl/>
          <w:lang w:bidi="fa-IR"/>
        </w:rPr>
        <w:t xml:space="preserve">الگوی کلی یافته‌ها با پیشینه نظری و تجربی همسوست. در سطح نظری، زنجیره اضطراب-طرحواره-رفتار با مدل شناختی اضطراب (بک و کلارک، ۱۹۹۷)، نظریه کنترل توجه (آیزنک و همکاران، ۲۰۰۷)، مدل طرحواره (یانگ و همکاران، ۲۰۰۳) و منطق آسیب‌پذیری-استرس (زاکرمن، ۱۹۹۹) سازگار است و قوی‌ترین حلقه آن (رابطه ۰٫۵۰۱ اضطراب با طرحواره‌ها) دقیقاً همان پیوندی است که این نظریه‌ها کانونی می‌دانند. در سطح تجربی خارجی، یافته میانجی‌گری با سابقه اثر غیرمستقیم عوامل روانی از مسیر تحمل ریسک (سافیتری و همکاران، ۲۰۲۵) و شکل‌پذیری نگرش به ریسک در مداخله‌های شناختی (اولولو و همکاران، ۲۰۲۴) هم‌جهت است و پیوند طرحواره‌ها با رفتارهای پرخطر نیز با شواهد شوری و همکاران (۲۰۱۲) و مرور ویرا و همکاران (۲۰۲۳) همسوست. در پیشینه داخلی نیز هر چهار یافته، همتای همسو دارند: پیوند شخصیت با رفتار معاملاتی (ستایش و همکاران، ۱۳۹۹)، اثر ویژگی‌های فردی بر رفتار توده‌وار (بهدیو و همکاران، ۱۳۹۸)، پیوند سبک تصمیم‌گیری با عملکرد (فلاح و خدایی، ۱۳۹۸)، نقش سواد مالی (فروغی و تهرانی، ۱۳۹۷) و پیوند طرحواره‌ها با اضطراب و رفتار مسئله‌ساز (نوری و هاشمیان، ۱۳۹۶؛ امیدی و همکاران، ۱۳۹۲).</w:t>
      </w:r>
    </w:p>
    <w:p>
      <w:pPr>
        <w:bidi w:val="1"/>
        <w:spacing w:lineRule="exact" w:line="580" w:after="0"/>
        <w:jc w:val="both"/>
      </w:pPr>
      <w:r>
        <w:rPr>
          <w:rFonts w:ascii="B Nazanin" w:hAnsi="B Nazanin" w:cs="B Nazanin" w:hint="cs"/>
          <w:sz w:val="24"/>
          <w:szCs w:val="24"/>
          <w:rtl/>
          <w:lang w:bidi="fa-IR"/>
        </w:rPr>
        <w:t xml:space="preserve">ناهمسویی اصلی، در فرضیه دوم و در اندازه‌اثرهای سطح رفتار دیده می‌شود. اثر منفی اضطراب صفتی بر تصمیم سرمایه‌گذاری (ماهاتو و همکاران، ۲۰۲۵)، اجتناب از ریسک در افراد مضطرب (منر و اشمیت، ۲۰۰۶) و مشروط بودن پیوند صفات با تصمیم پرخطر (لاوریولا و لوین، ۲۰۰۱) با رابطه مثبت ۰٫۳۲۷ این پژوهش در تنش‌اند. این تنش، چنان‌که در بخش ۵-۳-۲ بحث شد، با تفکیک «نگرش به ریسک» از «رفتار پرخطر» قابل رفع است: اضطراب می‌تواند همزمان نگرش را محتاط و رفتار معاملاتی را تکانشی کند. همچنین کوچک تا متوسط بودن اثرها در سطح رفتار (۰٫۳۲۷ و ۰٫۳۲۱ در برابر ۰٫۵۰۱ در سطح شناخت) خود یک یافته مرزی است: مدل‌های شناختی-هیجانی، رفتار مالی را تبیین می‌کنند اما به‌تنهایی آن را تعیین نمی‌کنند. در سطح سنجش نیز یافته‌ها با خوانش عملیاتی مقیاس گرابل و لایتون (۱۹۹۹) سازگارند: نمره بالاتر به معنای تحمل ریسک بیشتر و تمایل بالاتر به رفتار پرخطر است و همبستگی‌های مثبت معنادار و الگوی میانجی‌گری به‌دست‌آمده با همین خوانش هم‌جهت‌اند.</w:t>
      </w:r>
    </w:p>
    <w:p>
      <w:pPr>
        <w:pStyle w:val="Heading2"/>
        <w:bidi w:val="1"/>
        <w:jc w:val="right"/>
        <w:outlineLvl w:val="1"/>
      </w:pPr>
      <w:r>
        <w:rPr>
          <w:rFonts w:ascii="B Nazanin" w:hAnsi="B Nazanin" w:cs="B Nazanin" w:hint="cs"/>
          <w:b/>
          <w:bCs/>
          <w:sz w:val="28"/>
          <w:szCs w:val="28"/>
          <w:rtl/>
          <w:lang w:bidi="fa-IR"/>
        </w:rPr>
        <w:t xml:space="preserve">۵-۵. دلالت‌های کاربردی</w:t>
      </w:r>
    </w:p>
    <w:p>
      <w:pPr>
        <w:bidi w:val="1"/>
        <w:spacing w:lineRule="exact" w:line="580" w:after="0"/>
        <w:jc w:val="both"/>
      </w:pPr>
      <w:r>
        <w:rPr>
          <w:rFonts w:ascii="B Nazanin" w:hAnsi="B Nazanin" w:cs="B Nazanin" w:hint="cs"/>
          <w:sz w:val="24"/>
          <w:szCs w:val="24"/>
          <w:rtl/>
          <w:lang w:bidi="fa-IR"/>
        </w:rPr>
        <w:t xml:space="preserve">نخست، یافته‌ها بر ارزش خودارزیابی روان‌شناختی برای معامله‌گران دلالت دارند: آگاهی از سطح اضطراب صفتی و الگوهای طرحواره‌ای می‌تواند به معامله‌گر کمک کند تا موقعیت‌های آسیب‌پذیری خود (مانند معاملات جبران‌جویانه پس از زیان یا تصمیم‌گیری در اوج برانگیختگی) را بشناسد و راهبردهای وقفه و بازبینی را به کار بندد. دوم، اثربخشی مداخله‌های شناختی-رفتاری بر نگرش به ریسک مالی (اولولو و همکاران، ۲۰۲۴) و مبانی طرحواره‌درمانی (آرنتز و یاکوب، ۲۰۱۲) نشان می‌دهند که مسیر میانجی شناسایی‌شده در این پژوهش، هدفی شدنی برای مداخله است؛ کارگاه‌های تنظیم هیجان و بازسازی شناختی ویژه معامله‌گران می‌توانند همین مسیر را هدف بگیرند. این پیشنهاد با یافته‌های فنتون-اوکریوی و همکاران (۲۰۱۲) درباره پیوند تنظیم هیجان با تخصص معامله‌گری همسوست. سوم، نقش تعدیل‌گر سواد مالی در رابطه سوگیری‌های رفتاری با عملکرد (فروغی و تهرانی، ۱۳۹۷) یادآوری می‌کند که آموزش‌های مالی-رفتاریِ توأم با آموزش روان‌شناختی، از آموزش صرفاً فنی اثربخش‌تر است. چهارم، کارگزاری‌ها و نهادهای ناظر می‌توانند با سازوکارهایی مانند هشدار خودکار در الگوهای معاملاتی پرریسک یا دوره‌های انتظار پیش از معاملات بزرگ، لایه‌ای محافظتی برای معامله‌گران آسیب‌پذیر فراهم کنند.</w:t>
      </w:r>
    </w:p>
    <w:p>
      <w:pPr>
        <w:pStyle w:val="Heading2"/>
        <w:bidi w:val="1"/>
        <w:jc w:val="right"/>
        <w:outlineLvl w:val="1"/>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و مهم‌ترین محدودیت، مقطعی بودن طرح پژوهش است: همه متغیرها در یک مقطع زمانی سنجیده شدند و هیچ‌یک از روابط به‌دست‌آمده، رابطه علّی را اثبات نمی‌کنند. این احتیاط درباره تحلیل میانجی‌گری جدی‌تر است، زیرا استنباط میانجی‌گری بر پیش‌فرض‌های علّی و ترتیبی استوار است که با داده مقطعی به‌طور کامل قابل احراز نیستند (هایز، ۲۰۱۸). دوم، همه داده‌ها خودگزارشی و از طریق پرسشنامه آنلاین گردآوری شدند که آن‌ها را در معرض سوگیری مطلوب‌نمایی اجتماعی و خطای حافظه قرار می‌دهد. سوم، نمونه‌گیری در دسترس و آنلاین بود و نمونه نهایی (۱۸۵ نفر) از حداقل ۲۰۰ نفرِ مورد نیاز برای مدل‌سازی معادلات ساختاری کمتر است (کلاین، ۲۰۱۶)؛ از این رو نتایج تحلیل مسیر جنبه تکمیلی و مقدماتی دارند. چهارم، پیامد پژوهش تنها با یک ابزار (مقیاس تحمل ریسک گرابل و لایتون) سنجیده شد؛ هرچند روایی این مقیاس برای رفتار مالی در مرورهای روان‌سنجی پشتیبانی شده است (گرابل، ۲۰۱۷)، سنجش چندروشی پیامد (مانند داده‌های واقعی معاملات در کنار خودگزارشی) اعتبار یافته‌ها را تقویت می‌کرد. پنجم، نقش میانجی در سطح نمره کل طرحواره‌ها آزمون شد و سهم طرحواره‌های خاص (مانند آسیب‌پذیری یا خویشتن‌داری ناکافی) به‌طور جداگانه بررسی نشد.</w:t>
      </w:r>
    </w:p>
    <w:p>
      <w:pPr>
        <w:pStyle w:val="Heading2"/>
        <w:bidi w:val="1"/>
        <w:jc w:val="right"/>
        <w:outlineLvl w:val="1"/>
      </w:pPr>
      <w:r>
        <w:rPr>
          <w:rFonts w:ascii="B Nazanin" w:hAnsi="B Nazanin" w:cs="B Nazanin" w:hint="cs"/>
          <w:b/>
          <w:bCs/>
          <w:sz w:val="28"/>
          <w:szCs w:val="28"/>
          <w:rtl/>
          <w:lang w:bidi="fa-IR"/>
        </w:rPr>
        <w:t xml:space="preserve">۵-۷. پیشنهادها برای پژوهش‌های آینده</w:t>
      </w:r>
    </w:p>
    <w:p>
      <w:pPr>
        <w:bidi w:val="1"/>
        <w:spacing w:lineRule="exact" w:line="580" w:after="0"/>
        <w:jc w:val="both"/>
      </w:pPr>
      <w:r>
        <w:rPr>
          <w:rFonts w:ascii="B Nazanin" w:hAnsi="B Nazanin" w:cs="B Nazanin" w:hint="cs"/>
          <w:sz w:val="24"/>
          <w:szCs w:val="24"/>
          <w:rtl/>
          <w:lang w:bidi="fa-IR"/>
        </w:rPr>
        <w:t xml:space="preserve">پژوهش‌های آینده می‌توانند نخست با طرح‌های طولی یا تجربی، جهت علّی زنجیره اضطراب-طرحواره-رفتار را بیازمایند. دوم، با نمونه‌های بزرگ‌تر (دست‌کم ۲۰۰ نفر) و نمونه‌گیری تصادفی‌تر، پایداری الگوی میانجی‌گری و برازش مدل مسیر را محک بزنند. سوم، نگرش به ریسک و رفتار پرخطر را با ابزارهای جداگانه بسنجند تا تناقض ظاهری میان احتیاط نگرشی و خطرپذیری رفتاری در افراد مضطرب روشن شود. چهارم، پس از نهایی شدن کلید رسمی حوزه‌بندی، مسیرهای اختصاصی هر حوزه یا هر طرحواره را جداگانه آزمون کنند تا مشخص شود کدام الگوهای شناختی، قوی‌ترین حامل اثر اضطراب بر رفتار مالی‌اند. پنجم، اثربخشی مداخله‌های مبتنی بر طرحواره‌درمانی یا آموزش شناختی-رفتاری را بر رفتار واقعی معامله‌گران در کارآزمایی‌های بالینی بیازمایند. ششم، نقش متغیرهای تعدیل‌گر و کنترل مانند سابقه معامله‌گری، حجم سرمایه، سواد مالی و نوع بازار را در الگوی میانجی‌گری وارد کنند.</w:t>
      </w:r>
    </w:p>
    <w:p>
      <w:pPr>
        <w:pStyle w:val="Heading2"/>
        <w:bidi w:val="1"/>
        <w:jc w:val="right"/>
        <w:outlineLvl w:val="1"/>
      </w:pPr>
      <w:r>
        <w:rPr>
          <w:rFonts w:ascii="B Nazanin" w:hAnsi="B Nazanin" w:cs="B Nazanin" w:hint="cs"/>
          <w:b/>
          <w:bCs/>
          <w:sz w:val="28"/>
          <w:szCs w:val="28"/>
          <w:rtl/>
          <w:lang w:bidi="fa-IR"/>
        </w:rPr>
        <w:t xml:space="preserve">۵-۸. جمع‌بندی نهایی</w:t>
      </w:r>
    </w:p>
    <w:p>
      <w:pPr>
        <w:bidi w:val="1"/>
        <w:spacing w:lineRule="exact" w:line="580" w:after="0"/>
        <w:jc w:val="both"/>
      </w:pPr>
      <w:r>
        <w:rPr>
          <w:rFonts w:ascii="B Nazanin" w:hAnsi="B Nazanin" w:cs="B Nazanin" w:hint="cs"/>
          <w:sz w:val="24"/>
          <w:szCs w:val="24"/>
          <w:rtl/>
          <w:lang w:bidi="fa-IR"/>
        </w:rPr>
        <w:t xml:space="preserve">این پژوهش با آزمون الگوی میانجی‌گری طرحواره‌های ناسازگار اولیه در رابطه اضطراب صفتی با رفتارهای مالی پرخطر، گامی در جهت شناخت سازوکارهای روان‌شناختی تصمیم مالی برداشت. یافته‌ها نشان دادند که اضطراب صفتی از دو مسیر به رفتار پرخطر می‌رسد: مسیر مستقیم و مسیر غیرمستقیمِ گذرنده از طرحواره‌ها که حدود یک‌سوم اثر کل را حمل می‌کند. این الگوی میانجی‌گری جزئی، هم بر اهمیت سازوکارهای شناختی در مالی-رفتاری دلالت دارد و هم یادآوری می‌کند که رفتار معامله‌گر، محصول تعامل پیچیده هیجان، شناخت و بستر بازار است. امید است یافته‌های این پژوهش، مبنایی برای پژوهش‌های علّی‌تر، مداخله‌های مؤثرتر و معامله‌گری آگاهانه‌تر فراهم کند.</w:t>
      </w:r>
    </w:p>
    <w:p>
      <w:r>
        <w:br w:type="page"/>
      </w:r>
    </w:p>
    <w:p>
      <w:pPr>
        <w:bidi/>
        <w:jc w:val="right"/>
        <w:outlineLvl w:val="0"/>
        <w:spacing w:line="580" w:lineRule="exact"/>
      </w:pPr>
      <w:r>
        <w:rPr>
          <w:rFonts w:ascii="B Nazanin" w:hAnsi="B Nazanin" w:cs="B Nazanin"/>
          <w:b/>
          <w:bCs/>
          <w:sz w:val="28"/>
          <w:szCs w:val="28"/>
        </w:rPr>
        <w:t>منابع و مآخذ</w:t>
      </w:r>
    </w:p>
    <w:p>
      <w:pPr>
        <w:bidi/>
        <w:jc w:val="right"/>
        <w:spacing w:line="580" w:lineRule="exact"/>
      </w:pPr>
      <w:r>
        <w:rPr>
          <w:rFonts w:ascii="B Nazanin" w:hAnsi="B Nazanin" w:cs="B Nazanin"/>
          <w:b/>
          <w:bCs/>
          <w:sz w:val="28"/>
          <w:szCs w:val="28"/>
        </w:rPr>
        <w:t>الف) منابع فارسی</w:t>
      </w:r>
    </w:p>
    <w:p>
      <w:pPr>
        <w:bidi/>
        <w:jc w:val="right"/>
        <w:spacing w:line="580" w:lineRule="exact" w:after="40"/>
      </w:pPr>
      <w:r>
        <w:rPr>
          <w:rFonts w:ascii="B Nazanin" w:hAnsi="B Nazanin" w:cs="B Nazanin"/>
          <w:sz w:val="24"/>
          <w:szCs w:val="24"/>
        </w:rPr>
        <w:t>امیدی، ع.، کدیور، پ.، و فرزاد، و. (۱۳۹۲). رابطه بین طرحواره‌های ناسازگار اولیه، سبک‌های فرزندپروری و سبک‌های هویت با گرایش به اعتیاد. اعتیاد پژوهی، ۷(۲۷)، ۹-۲۶.</w:t>
      </w:r>
    </w:p>
    <w:p>
      <w:pPr>
        <w:bidi/>
        <w:jc w:val="right"/>
        <w:spacing w:line="580" w:lineRule="exact" w:after="40"/>
      </w:pPr>
      <w:r>
        <w:rPr>
          <w:rFonts w:ascii="B Nazanin" w:hAnsi="B Nazanin" w:cs="B Nazanin"/>
          <w:sz w:val="24"/>
          <w:szCs w:val="24"/>
        </w:rPr>
        <w:t>امیدی، ع.، کدیور، پ.، و فرزاد، و. (۱۳۹۲). رابطه بین طرحواره‌های ناسازگار اولیه، سبک‌های فرزندپروری و سبک‌های هویت با گرایش به اعتیاد. اعتیادپژوهی، ۷(۲۷)، ۹-۲۶.</w:t>
      </w:r>
    </w:p>
    <w:p>
      <w:pPr>
        <w:bidi/>
        <w:jc w:val="right"/>
        <w:spacing w:line="580" w:lineRule="exact" w:after="40"/>
      </w:pPr>
      <w:r>
        <w:rPr>
          <w:rFonts w:ascii="B Nazanin" w:hAnsi="B Nazanin" w:cs="B Nazanin"/>
          <w:sz w:val="24"/>
          <w:szCs w:val="24"/>
        </w:rPr>
        <w:t>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jc w:val="right"/>
        <w:spacing w:line="580" w:lineRule="exact" w:after="40"/>
      </w:pPr>
      <w:r>
        <w:rPr>
          <w:rFonts w:ascii="B Nazanin" w:hAnsi="B Nazanin" w:cs="B Nazanin"/>
          <w:sz w:val="24"/>
          <w:szCs w:val="24"/>
        </w:rPr>
        <w:t>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jc w:val="right"/>
        <w:spacing w:line="580" w:lineRule="exact" w:after="40"/>
      </w:pPr>
      <w:r>
        <w:rPr>
          <w:rFonts w:ascii="B Nazanin" w:hAnsi="B Nazanin" w:cs="B Nazanin"/>
          <w:sz w:val="24"/>
          <w:szCs w:val="24"/>
        </w:rPr>
        <w:t>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jc w:val="right"/>
        <w:spacing w:line="580" w:lineRule="exact" w:after="40"/>
      </w:pPr>
      <w:r>
        <w:rPr>
          <w:rFonts w:ascii="B Nazanin" w:hAnsi="B Nazanin" w:cs="B Nazanin"/>
          <w:sz w:val="24"/>
          <w:szCs w:val="24"/>
        </w:rPr>
        <w:t>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jc w:val="right"/>
        <w:spacing w:line="580" w:lineRule="exact" w:after="40"/>
      </w:pPr>
      <w:r>
        <w:rPr>
          <w:rFonts w:ascii="B Nazanin" w:hAnsi="B Nazanin" w:cs="B Nazanin"/>
          <w:sz w:val="24"/>
          <w:szCs w:val="24"/>
        </w:rPr>
        <w:t>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jc w:val="right"/>
        <w:spacing w:line="580" w:lineRule="exact" w:after="40"/>
      </w:pPr>
      <w:r>
        <w:rPr>
          <w:rFonts w:ascii="B Nazanin" w:hAnsi="B Nazanin" w:cs="B Nazanin"/>
          <w:sz w:val="24"/>
          <w:szCs w:val="24"/>
        </w:rPr>
        <w:t>فروغی، د.، و تهرانی، ر. (۱۳۹۷). نقش سواد مالی در تعدیل رابطه بین سوگیری های رفتاری و عملکرد سرمایه گذاری در بورس اوراق بهادار تهران. تحقیقات مالی، ۲۰(۲)، ۱۸۹-۲۰۸.</w:t>
      </w:r>
    </w:p>
    <w:p>
      <w:pPr>
        <w:bidi/>
        <w:jc w:val="right"/>
        <w:spacing w:line="580" w:lineRule="exact" w:after="40"/>
      </w:pPr>
      <w:r>
        <w:rPr>
          <w:rFonts w:ascii="B Nazanin" w:hAnsi="B Nazanin" w:cs="B Nazanin"/>
          <w:sz w:val="24"/>
          <w:szCs w:val="24"/>
        </w:rPr>
        <w:t>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jc w:val="right"/>
        <w:spacing w:line="580" w:lineRule="exact" w:after="40"/>
      </w:pPr>
      <w:r>
        <w:rPr>
          <w:rFonts w:ascii="B Nazanin" w:hAnsi="B Nazanin" w:cs="B Nazanin"/>
          <w:sz w:val="24"/>
          <w:szCs w:val="24"/>
        </w:rPr>
        <w:t>فلاح، م.، و خدایی، ا. (۱۳۹۸). رابطه هوش هیجانی و سبک های تصمیم گیری با عملکرد سرمایه گذاری در بورس اوراق بهادار تهران. فصلنامه علمی-پژوهشی دانش مالی تحلیل اوراق بهادار، ۱۲(۴۲)، ۱-۱۶.</w:t>
      </w:r>
    </w:p>
    <w:p>
      <w:pPr>
        <w:bidi/>
        <w:jc w:val="right"/>
        <w:spacing w:line="580" w:lineRule="exact" w:after="40"/>
      </w:pPr>
      <w:r>
        <w:rPr>
          <w:rFonts w:ascii="B Nazanin" w:hAnsi="B Nazanin" w:cs="B Nazanin"/>
          <w:sz w:val="24"/>
          <w:szCs w:val="24"/>
        </w:rPr>
        <w:t>نوری، ر.، و هاشمیان، ک. (۱۳۹۶). رابطه بین طرحواره های ناسازگار اولیه و اضطراب اجتماعی در دانشجویان. مطالعات روانشناختی، ۱۳(۲)، ۱۴۱-۱۵۸.</w:t>
      </w:r>
    </w:p>
    <w:p>
      <w:pPr>
        <w:bidi/>
        <w:jc w:val="right"/>
        <w:spacing w:line="580" w:lineRule="exact" w:after="40"/>
      </w:pPr>
      <w:r>
        <w:rPr>
          <w:rFonts w:ascii="B Nazanin" w:hAnsi="B Nazanin" w:cs="B Nazanin"/>
          <w:sz w:val="24"/>
          <w:szCs w:val="24"/>
        </w:rPr>
        <w:t>یوسفی، ناصر. (۱۳۹۶). ویژگی‌های روان‌سنجی نسخه فارسی پرسشنامه طرحواره یانگ (فرم کوتاه) در نمونه غیربالینی. مجله روانشناسی بالینی، ۹(۲)، ۹۱-۱۰۲.</w:t>
      </w:r>
    </w:p>
    <w:p>
      <w:pPr>
        <w:bidi/>
        <w:jc w:val="right"/>
        <w:spacing w:line="580" w:lineRule="exact"/>
      </w:pPr>
      <w:r>
        <w:rPr>
          <w:rFonts w:ascii="B Nazanin" w:hAnsi="B Nazanin" w:cs="B Nazanin"/>
          <w:b/>
          <w:bCs/>
          <w:sz w:val="28"/>
          <w:szCs w:val="28"/>
        </w:rPr>
        <w:t>ب) منابع لاتین</w:t>
      </w:r>
    </w:p>
    <w:p>
      <w:pPr>
        <w:bidi/>
        <w:jc w:val="left"/>
        <w:spacing w:line="580" w:lineRule="exact" w:after="40"/>
        <w:ind w:left="720" w:hanging="720"/>
      </w:pPr>
      <w:r>
        <w:rPr>
          <w:rFonts w:ascii="Times New Roman" w:hAnsi="Times New Roman" w:cs="Times New Roman"/>
          <w:sz w:val="22"/>
          <w:szCs w:val="22"/>
        </w:rPr>
        <w:t>American Psychiatric Association. (2013). Diagnostic and statistical manual of mental disorders</w:t>
      </w:r>
    </w:p>
    <w:p>
      <w:pPr>
        <w:bidi/>
        <w:jc w:val="left"/>
        <w:spacing w:line="580" w:lineRule="exact" w:after="40"/>
        <w:ind w:left="720" w:hanging="720"/>
      </w:pPr>
      <w:r>
        <w:rPr>
          <w:rFonts w:ascii="Times New Roman" w:hAnsi="Times New Roman" w:cs="Times New Roman"/>
          <w:sz w:val="22"/>
          <w:szCs w:val="22"/>
        </w:rPr>
        <w:t>An, H., Li, M., &amp; Wu, W. (2021). The impact of financial anxiety on individual investor's risky asset holdings: Evidence from China. Emerging Markets Finance and Trade, 57(11), 3217-3232.</w:t>
      </w:r>
    </w:p>
    <w:p>
      <w:pPr>
        <w:bidi/>
        <w:jc w:val="left"/>
        <w:spacing w:line="580" w:lineRule="exact" w:after="40"/>
        <w:ind w:left="720" w:hanging="720"/>
      </w:pPr>
      <w:r>
        <w:rPr>
          <w:rFonts w:ascii="Times New Roman" w:hAnsi="Times New Roman" w:cs="Times New Roman"/>
          <w:sz w:val="22"/>
          <w:szCs w:val="22"/>
        </w:rPr>
        <w:t>Arena, M., Sbai, E., &amp; Soriya, S. (2022). Personality traits and behaviour biases: The moderating role of risk-tolerance. Frontiers in Psychology, 13, 949638.</w:t>
      </w:r>
    </w:p>
    <w:p>
      <w:pPr>
        <w:bidi/>
        <w:jc w:val="left"/>
        <w:spacing w:line="580" w:lineRule="exact" w:after="40"/>
        <w:ind w:left="720" w:hanging="720"/>
      </w:pPr>
      <w:r>
        <w:rPr>
          <w:rFonts w:ascii="Times New Roman" w:hAnsi="Times New Roman" w:cs="Times New Roman"/>
          <w:sz w:val="22"/>
          <w:szCs w:val="22"/>
        </w:rPr>
        <w:t>Arntz, A., &amp; Jacob, G. (2012). Schema therapy in practice: An introductory guide to the schema mode approach. John Wiley &amp; Sons.</w:t>
      </w:r>
    </w:p>
    <w:p>
      <w:pPr>
        <w:bidi/>
        <w:jc w:val="left"/>
        <w:spacing w:line="580" w:lineRule="exact" w:after="40"/>
        <w:ind w:left="720" w:hanging="720"/>
      </w:pPr>
      <w:r>
        <w:rPr>
          <w:rFonts w:ascii="Times New Roman" w:hAnsi="Times New Roman" w:cs="Times New Roman"/>
          <w:sz w:val="22"/>
          <w:szCs w:val="22"/>
        </w:rPr>
        <w:t>Auer, B. R., &amp; Schuhmacher, F. (2023). FOMO and the dark side of social trading. Finance Research Letters, 54, 103759.</w:t>
      </w:r>
    </w:p>
    <w:p>
      <w:pPr>
        <w:bidi/>
        <w:jc w:val="left"/>
        <w:spacing w:line="580" w:lineRule="exact" w:after="40"/>
        <w:ind w:left="720" w:hanging="720"/>
      </w:pPr>
      <w:r>
        <w:rPr>
          <w:rFonts w:ascii="Times New Roman" w:hAnsi="Times New Roman" w:cs="Times New Roman"/>
          <w:sz w:val="22"/>
          <w:szCs w:val="22"/>
        </w:rPr>
        <w:t>Baddeley, A. D., Eysenck, M. W., &amp; Anderson, M. C. (2021). Memory (3rd ed.). Routledge.</w:t>
      </w:r>
    </w:p>
    <w:p>
      <w:pPr>
        <w:bidi/>
        <w:jc w:val="left"/>
        <w:spacing w:line="580" w:lineRule="exact" w:after="40"/>
        <w:ind w:left="720" w:hanging="720"/>
      </w:pPr>
      <w:r>
        <w:rPr>
          <w:rFonts w:ascii="Times New Roman" w:hAnsi="Times New Roman" w:cs="Times New Roman"/>
          <w:sz w:val="22"/>
          <w:szCs w:val="22"/>
        </w:rPr>
        <w:t>Baker, H. K., &amp; Nofsinger, J. R. (Eds.). (2010). Behavioral finance: Investors, corporations, and markets. John Wiley &amp; Sons.</w:t>
      </w:r>
    </w:p>
    <w:p>
      <w:pPr>
        <w:bidi/>
        <w:jc w:val="left"/>
        <w:spacing w:line="580" w:lineRule="exact" w:after="40"/>
        <w:ind w:left="720" w:hanging="720"/>
      </w:pPr>
      <w:r>
        <w:rPr>
          <w:rFonts w:ascii="Times New Roman" w:hAnsi="Times New Roman" w:cs="Times New Roman"/>
          <w:sz w:val="22"/>
          <w:szCs w:val="22"/>
        </w:rPr>
        <w:t>Barber, B. M., &amp; Odean, T. (2000). Trading is hazardous to your wealth: The common stock investment performance of individual investors. The Journal of Finance, 55(2), 773-806.</w:t>
      </w:r>
    </w:p>
    <w:p>
      <w:pPr>
        <w:bidi/>
        <w:jc w:val="left"/>
        <w:spacing w:line="580" w:lineRule="exact" w:after="40"/>
        <w:ind w:left="720" w:hanging="720"/>
      </w:pPr>
      <w:r>
        <w:rPr>
          <w:rFonts w:ascii="Times New Roman" w:hAnsi="Times New Roman" w:cs="Times New Roman"/>
          <w:sz w:val="22"/>
          <w:szCs w:val="22"/>
        </w:rPr>
        <w:t>Barlow, D. H. (2002). Anxiety and its disorders: The nature and treatment of anxiety and panic. Guilford Press.</w:t>
      </w:r>
    </w:p>
    <w:p>
      <w:pPr>
        <w:bidi/>
        <w:jc w:val="left"/>
        <w:spacing w:line="580" w:lineRule="exact" w:after="40"/>
        <w:ind w:left="720" w:hanging="720"/>
      </w:pPr>
      <w:r>
        <w:rPr>
          <w:rFonts w:ascii="Times New Roman" w:hAnsi="Times New Roman" w:cs="Times New Roman"/>
          <w:sz w:val="22"/>
          <w:szCs w:val="22"/>
        </w:rPr>
        <w:t>Beck, A. T. (1976). Cognitive therapy and the emotional disorders. International Universities Press.</w:t>
      </w:r>
    </w:p>
    <w:p>
      <w:pPr>
        <w:bidi/>
        <w:jc w:val="left"/>
        <w:spacing w:line="580" w:lineRule="exact" w:after="40"/>
        <w:ind w:left="720" w:hanging="720"/>
      </w:pPr>
      <w:r>
        <w:rPr>
          <w:rFonts w:ascii="Times New Roman" w:hAnsi="Times New Roman" w:cs="Times New Roman"/>
          <w:sz w:val="22"/>
          <w:szCs w:val="22"/>
        </w:rPr>
        <w:t>Beck, A. T., &amp; Clark, D. A. (1997). An information processing model of anxiety: Automatic and strategic processes. Behaviour Research and Therapy, 35(1), 49–58. https://doi.org/10.1016/s0005-7967(96)00069-1</w:t>
      </w:r>
    </w:p>
    <w:p>
      <w:pPr>
        <w:bidi/>
        <w:jc w:val="left"/>
        <w:spacing w:line="580" w:lineRule="exact" w:after="40"/>
        <w:ind w:left="720" w:hanging="720"/>
      </w:pPr>
      <w:r>
        <w:rPr>
          <w:rFonts w:ascii="Times New Roman" w:hAnsi="Times New Roman" w:cs="Times New Roman"/>
          <w:sz w:val="22"/>
          <w:szCs w:val="22"/>
        </w:rPr>
        <w:t>Bishop, S. J. (2007). Neurocognitive mechanisms of anxiety: an integrative account. Trends in Cognitive Sciences, 11(7), 307-316.</w:t>
      </w:r>
    </w:p>
    <w:p>
      <w:pPr>
        <w:bidi/>
        <w:jc w:val="left"/>
        <w:spacing w:line="580" w:lineRule="exact" w:after="40"/>
        <w:ind w:left="720" w:hanging="720"/>
      </w:pPr>
      <w:r>
        <w:rPr>
          <w:rFonts w:ascii="Times New Roman" w:hAnsi="Times New Roman" w:cs="Times New Roman"/>
          <w:sz w:val="22"/>
          <w:szCs w:val="22"/>
        </w:rPr>
        <w:t>Bodie, Z., Kane, A., &amp; Marcus, A. J. (2018). Investments (11th ed.). McGraw-Hill Education.</w:t>
      </w:r>
    </w:p>
    <w:p>
      <w:pPr>
        <w:bidi/>
        <w:jc w:val="left"/>
        <w:spacing w:line="580" w:lineRule="exact" w:after="40"/>
        <w:ind w:left="720" w:hanging="720"/>
      </w:pPr>
      <w:r>
        <w:rPr>
          <w:rFonts w:ascii="Times New Roman" w:hAnsi="Times New Roman" w:cs="Times New Roman"/>
          <w:sz w:val="22"/>
          <w:szCs w:val="22"/>
        </w:rPr>
        <w:t>Borkovec, T. D. (1994). The nature, functions, and origins of worry. In G. C. L. Davey &amp; F. Tallis (Eds.), Worrying: Perspectives on theory, assessment and treatment (pp. 5–33). Wiley.</w:t>
      </w:r>
    </w:p>
    <w:p>
      <w:pPr>
        <w:bidi/>
        <w:jc w:val="left"/>
        <w:spacing w:line="580" w:lineRule="exact" w:after="40"/>
        <w:ind w:left="720" w:hanging="720"/>
      </w:pPr>
      <w:r>
        <w:rPr>
          <w:rFonts w:ascii="Times New Roman" w:hAnsi="Times New Roman" w:cs="Times New Roman"/>
          <w:sz w:val="22"/>
          <w:szCs w:val="22"/>
        </w:rPr>
        <w:t>Charles, V., &amp; Kasilingam, R. (2022). The role of anxiety in financial decisions. Review of Behavioral Finance, 14(5), 720-735.</w:t>
      </w:r>
    </w:p>
    <w:p>
      <w:pPr>
        <w:bidi/>
        <w:jc w:val="left"/>
        <w:spacing w:line="580" w:lineRule="exact" w:after="40"/>
        <w:ind w:left="720" w:hanging="720"/>
      </w:pPr>
      <w:r>
        <w:rPr>
          <w:rFonts w:ascii="Times New Roman" w:hAnsi="Times New Roman" w:cs="Times New Roman"/>
          <w:sz w:val="22"/>
          <w:szCs w:val="22"/>
        </w:rPr>
        <w:t>Daniel, K., Hirshleifer, D., &amp; Subrahmanyam, A. (1998). Investor psychology and security market under- and overreactions. The Journal of Finance, 53(6), 1839–1885. https://doi.org/10.1111/0022-1082.00077</w:t>
      </w:r>
    </w:p>
    <w:p>
      <w:pPr>
        <w:bidi/>
        <w:jc w:val="left"/>
        <w:spacing w:line="580" w:lineRule="exact" w:after="40"/>
        <w:ind w:left="720" w:hanging="720"/>
      </w:pPr>
      <w:r>
        <w:rPr>
          <w:rFonts w:ascii="Times New Roman" w:hAnsi="Times New Roman" w:cs="Times New Roman"/>
          <w:sz w:val="22"/>
          <w:szCs w:val="22"/>
        </w:rPr>
        <w:t>De Martino, B., et al. (2006) Frames, biases, and rational decision-making in the human brain. Science, 313 (5787), 684–687.</w:t>
      </w:r>
    </w:p>
    <w:p>
      <w:pPr>
        <w:bidi/>
        <w:jc w:val="left"/>
        <w:spacing w:line="580" w:lineRule="exact" w:after="40"/>
        <w:ind w:left="720" w:hanging="720"/>
      </w:pPr>
      <w:r>
        <w:rPr>
          <w:rFonts w:ascii="Times New Roman" w:hAnsi="Times New Roman" w:cs="Times New Roman"/>
          <w:sz w:val="22"/>
          <w:szCs w:val="22"/>
        </w:rPr>
        <w:t>Dhingra, J., &amp; Aggarwal, N. (2025). Exploring Trait Anxiety as a Psychological Construct: Impacts of Gender, Educational Attainment and Financial Training. Indian Journal of Positive Psychology, 16(1), 45-58.</w:t>
      </w:r>
    </w:p>
    <w:p>
      <w:pPr>
        <w:bidi/>
        <w:jc w:val="left"/>
        <w:spacing w:line="580" w:lineRule="exact" w:after="40"/>
        <w:ind w:left="720" w:hanging="720"/>
      </w:pPr>
      <w:r>
        <w:rPr>
          <w:rFonts w:ascii="Times New Roman" w:hAnsi="Times New Roman" w:cs="Times New Roman"/>
          <w:sz w:val="22"/>
          <w:szCs w:val="22"/>
        </w:rPr>
        <w:t>Estévez, A., et al. (2024). Association between gambling motives, violence and early maladaptive schemas in women with gambling disorder. Journal of Gambling Studies. https://doi.org/10.1007/s10899-024-10285-8</w:t>
      </w:r>
    </w:p>
    <w:p>
      <w:pPr>
        <w:bidi/>
        <w:jc w:val="left"/>
        <w:spacing w:line="580" w:lineRule="exact" w:after="40"/>
        <w:ind w:left="720" w:hanging="720"/>
      </w:pPr>
      <w:r>
        <w:rPr>
          <w:rFonts w:ascii="Times New Roman" w:hAnsi="Times New Roman" w:cs="Times New Roman"/>
          <w:sz w:val="22"/>
          <w:szCs w:val="22"/>
        </w:rPr>
        <w:t>Eysenck, M. W., Derakshan, N., Santos, R., &amp; Calvo, M. G. (2007). Anxiety and cognitive performance: attentional control theory. Emotion, 7(2), 336–353.</w:t>
      </w:r>
    </w:p>
    <w:p>
      <w:pPr>
        <w:bidi/>
        <w:jc w:val="left"/>
        <w:spacing w:line="580" w:lineRule="exact" w:after="40"/>
        <w:ind w:left="720" w:hanging="720"/>
      </w:pPr>
      <w:r>
        <w:rPr>
          <w:rFonts w:ascii="Times New Roman" w:hAnsi="Times New Roman" w:cs="Times New Roman"/>
          <w:sz w:val="22"/>
          <w:szCs w:val="22"/>
        </w:rPr>
        <w:t>Fenton-O'Creevy, M., et al. (2012). Emotion regulation and trader expertise: Heart rate variability on the trading floor. Journal of Neuroscience, Psychology, and Economics, 5(4), 227-237.</w:t>
      </w:r>
    </w:p>
    <w:p>
      <w:pPr>
        <w:bidi/>
        <w:jc w:val="left"/>
        <w:spacing w:line="580" w:lineRule="exact" w:after="40"/>
        <w:ind w:left="720" w:hanging="720"/>
      </w:pPr>
      <w:r>
        <w:rPr>
          <w:rFonts w:ascii="Times New Roman" w:hAnsi="Times New Roman" w:cs="Times New Roman"/>
          <w:sz w:val="22"/>
          <w:szCs w:val="22"/>
        </w:rPr>
        <w:t>Fenton-O'Creevy, M., Soane, E., Nicholson, N., &amp; Willman, P. (2011). Thinking, feeling and deciding: The influence of emotions on the decision making and performance of traders. Journal of Organizational Behavior, 32(8), 1044-1061. https://doi.org/10.1002/job.720</w:t>
      </w:r>
    </w:p>
    <w:p>
      <w:pPr>
        <w:bidi/>
        <w:jc w:val="left"/>
        <w:spacing w:line="580" w:lineRule="exact" w:after="40"/>
        <w:ind w:left="720" w:hanging="720"/>
      </w:pPr>
      <w:r>
        <w:rPr>
          <w:rFonts w:ascii="Times New Roman" w:hAnsi="Times New Roman" w:cs="Times New Roman"/>
          <w:sz w:val="22"/>
          <w:szCs w:val="22"/>
        </w:rPr>
        <w:t>Fenton-O’Creevy, M., et al. (2012) Emotion regulation and trader expertise: Heart rate variability on the trading floor. Journal of Neuroscience, Psychology, and Economics, 5 (4), 227–237</w:t>
      </w:r>
    </w:p>
    <w:p>
      <w:pPr>
        <w:bidi/>
        <w:jc w:val="left"/>
        <w:spacing w:line="580" w:lineRule="exact" w:after="40"/>
        <w:ind w:left="720" w:hanging="720"/>
      </w:pPr>
      <w:r>
        <w:rPr>
          <w:rFonts w:ascii="Times New Roman" w:hAnsi="Times New Roman" w:cs="Times New Roman"/>
          <w:sz w:val="22"/>
          <w:szCs w:val="22"/>
        </w:rPr>
        <w:t>Gambetti, E., &amp; Giusberti, F. (2012). The effect of anger and anxiety on investment decisions. Journal of Economic Psychology, 33 (5), 1059–1069</w:t>
      </w:r>
    </w:p>
    <w:p>
      <w:pPr>
        <w:bidi/>
        <w:jc w:val="left"/>
        <w:spacing w:line="580" w:lineRule="exact" w:after="40"/>
        <w:ind w:left="720" w:hanging="720"/>
      </w:pPr>
      <w:r>
        <w:rPr>
          <w:rFonts w:ascii="Times New Roman" w:hAnsi="Times New Roman" w:cs="Times New Roman"/>
          <w:sz w:val="22"/>
          <w:szCs w:val="22"/>
        </w:rPr>
        <w:t>Goetzmann, W. N., &amp; Kumar, A. (2008). Equity portfolio diversification. Review of Finance, 12(3), 433-463.</w:t>
      </w:r>
    </w:p>
    <w:p>
      <w:pPr>
        <w:bidi/>
        <w:jc w:val="left"/>
        <w:spacing w:line="580" w:lineRule="exact" w:after="40"/>
        <w:ind w:left="720" w:hanging="720"/>
      </w:pPr>
      <w:r>
        <w:rPr>
          <w:rFonts w:ascii="Times New Roman" w:hAnsi="Times New Roman" w:cs="Times New Roman"/>
          <w:sz w:val="22"/>
          <w:szCs w:val="22"/>
        </w:rPr>
        <w:t>Grable, J. E. (2017). Financial risk tolerance: A psychometric review. Financial Services Review, 26(2), 1-18.</w:t>
      </w:r>
    </w:p>
    <w:p>
      <w:pPr>
        <w:bidi/>
        <w:jc w:val="left"/>
        <w:spacing w:line="580" w:lineRule="exact" w:after="40"/>
        <w:ind w:left="720" w:hanging="720"/>
      </w:pPr>
      <w:r>
        <w:rPr>
          <w:rFonts w:ascii="Times New Roman" w:hAnsi="Times New Roman" w:cs="Times New Roman"/>
          <w:sz w:val="22"/>
          <w:szCs w:val="22"/>
        </w:rPr>
        <w:t>Grable, J. E., &amp; Lytton, R. H. (1999). Financial risk tolerance revisited: The development of a risk assessment instrument. Financial Services Review, 8(3), 163-181.</w:t>
      </w:r>
    </w:p>
    <w:p>
      <w:pPr>
        <w:bidi/>
        <w:jc w:val="left"/>
        <w:spacing w:line="580" w:lineRule="exact" w:after="40"/>
        <w:ind w:left="720" w:hanging="720"/>
      </w:pPr>
      <w:r>
        <w:rPr>
          <w:rFonts w:ascii="Times New Roman" w:hAnsi="Times New Roman" w:cs="Times New Roman"/>
          <w:sz w:val="22"/>
          <w:szCs w:val="22"/>
        </w:rPr>
        <w:t>Grall-Bronnec, M., et al. (2025). Development and validation of the Trading Disorder Scale for assessing problematic trading behaviors. Journal of Behavioral Addictions, 14(1), 112-128.</w:t>
      </w:r>
    </w:p>
    <w:p>
      <w:pPr>
        <w:bidi/>
        <w:jc w:val="left"/>
        <w:spacing w:line="580" w:lineRule="exact" w:after="40"/>
        <w:ind w:left="720" w:hanging="720"/>
      </w:pPr>
      <w:r>
        <w:rPr>
          <w:rFonts w:ascii="Times New Roman" w:hAnsi="Times New Roman" w:cs="Times New Roman"/>
          <w:sz w:val="22"/>
          <w:szCs w:val="22"/>
        </w:rPr>
        <w:t>Grupe, D. W., &amp; Nitschke, J. B. (2013). Uncertainty and anticipation in anxiety: an integrated neurobiological and psychological perspective. Nature Reviews Neuroscience, 14(7), 488-501.</w:t>
      </w:r>
    </w:p>
    <w:p>
      <w:pPr>
        <w:bidi/>
        <w:jc w:val="left"/>
        <w:spacing w:line="580" w:lineRule="exact" w:after="40"/>
        <w:ind w:left="720" w:hanging="720"/>
      </w:pPr>
      <w:r>
        <w:rPr>
          <w:rFonts w:ascii="Times New Roman" w:hAnsi="Times New Roman" w:cs="Times New Roman"/>
          <w:sz w:val="22"/>
          <w:szCs w:val="22"/>
        </w:rPr>
        <w:t>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jc w:val="left"/>
        <w:spacing w:line="580" w:lineRule="exact" w:after="40"/>
        <w:ind w:left="720" w:hanging="720"/>
      </w:pPr>
      <w:r>
        <w:rPr>
          <w:rFonts w:ascii="Times New Roman" w:hAnsi="Times New Roman" w:cs="Times New Roman"/>
          <w:sz w:val="22"/>
          <w:szCs w:val="22"/>
        </w:rPr>
        <w:t>Hartley, C. A., &amp; Phelps, E. A. (2012). Anxiety and decision-making. Biological Psychiatry, 72 (2), 113–118</w:t>
      </w:r>
    </w:p>
    <w:p>
      <w:pPr>
        <w:bidi/>
        <w:jc w:val="left"/>
        <w:spacing w:line="580" w:lineRule="exact" w:after="40"/>
        <w:ind w:left="720" w:hanging="720"/>
      </w:pPr>
      <w:r>
        <w:rPr>
          <w:rFonts w:ascii="Times New Roman" w:hAnsi="Times New Roman" w:cs="Times New Roman"/>
          <w:sz w:val="22"/>
          <w:szCs w:val="22"/>
        </w:rPr>
        <w:t>Hayes, A. F. (2018). Introduction to mediation, moderation, and conditional process analysis: A regression-based approach (2nd ed.). Guilford Press.</w:t>
      </w:r>
    </w:p>
    <w:p>
      <w:pPr>
        <w:bidi/>
        <w:jc w:val="left"/>
        <w:spacing w:line="580" w:lineRule="exact" w:after="40"/>
        <w:ind w:left="720" w:hanging="720"/>
      </w:pPr>
      <w:r>
        <w:rPr>
          <w:rFonts w:ascii="Times New Roman" w:hAnsi="Times New Roman" w:cs="Times New Roman"/>
          <w:sz w:val="22"/>
          <w:szCs w:val="22"/>
        </w:rPr>
        <w:t>Hwang, S., &amp; Salmon, M. (2004). Market stress and herding. Journal of Empirical Finance, 11(4), 585-616.</w:t>
      </w:r>
    </w:p>
    <w:p>
      <w:pPr>
        <w:bidi/>
        <w:jc w:val="left"/>
        <w:spacing w:line="580" w:lineRule="exact" w:after="40"/>
        <w:ind w:left="720" w:hanging="720"/>
      </w:pPr>
      <w:r>
        <w:rPr>
          <w:rFonts w:ascii="Times New Roman" w:hAnsi="Times New Roman" w:cs="Times New Roman"/>
          <w:sz w:val="22"/>
          <w:szCs w:val="22"/>
        </w:rPr>
        <w:t>Kahneman, D. (2011). Thinking, fast and slow. Farrar, Straus and Giroux.</w:t>
      </w:r>
    </w:p>
    <w:p>
      <w:pPr>
        <w:bidi/>
        <w:jc w:val="left"/>
        <w:spacing w:line="580" w:lineRule="exact" w:after="40"/>
        <w:ind w:left="720" w:hanging="720"/>
      </w:pPr>
      <w:r>
        <w:rPr>
          <w:rFonts w:ascii="Times New Roman" w:hAnsi="Times New Roman" w:cs="Times New Roman"/>
          <w:sz w:val="22"/>
          <w:szCs w:val="22"/>
        </w:rPr>
        <w:t>Kahneman, D., &amp; Tversky, A. (1979). Prospect theory: An analysis of decision under risk. Econometrica, 47(2), 263-291.</w:t>
      </w:r>
    </w:p>
    <w:p>
      <w:pPr>
        <w:bidi/>
        <w:jc w:val="left"/>
        <w:spacing w:line="580" w:lineRule="exact" w:after="40"/>
        <w:ind w:left="720" w:hanging="720"/>
      </w:pPr>
      <w:r>
        <w:rPr>
          <w:rFonts w:ascii="Times New Roman" w:hAnsi="Times New Roman" w:cs="Times New Roman"/>
          <w:sz w:val="22"/>
          <w:szCs w:val="22"/>
        </w:rPr>
        <w:t>Kaplan, H. I., &amp; Sadock, B. J. (2015) Synopsis of Psychiatry: Behavioral Sciences/Clinical Psychiatry. Wolters Kluwer.</w:t>
      </w:r>
    </w:p>
    <w:p>
      <w:pPr>
        <w:bidi/>
        <w:jc w:val="left"/>
        <w:spacing w:line="580" w:lineRule="exact" w:after="40"/>
        <w:ind w:left="720" w:hanging="720"/>
      </w:pPr>
      <w:r>
        <w:rPr>
          <w:rFonts w:ascii="Times New Roman" w:hAnsi="Times New Roman" w:cs="Times New Roman"/>
          <w:sz w:val="22"/>
          <w:szCs w:val="22"/>
        </w:rPr>
        <w:t>Kline, R. B. (2016). Principles and practice of structural equation modeling (4th ed.). Guilford Press.</w:t>
      </w:r>
    </w:p>
    <w:p>
      <w:pPr>
        <w:bidi/>
        <w:jc w:val="left"/>
        <w:spacing w:line="580" w:lineRule="exact" w:after="40"/>
        <w:ind w:left="720" w:hanging="720"/>
      </w:pPr>
      <w:r>
        <w:rPr>
          <w:rFonts w:ascii="Times New Roman" w:hAnsi="Times New Roman" w:cs="Times New Roman"/>
          <w:sz w:val="22"/>
          <w:szCs w:val="22"/>
        </w:rPr>
        <w:t>Kuhnen, C. M., &amp; Chiao, J. Y. (2009). Genetic determinants of financial risk taking. PLOS ONE, 4 (2), e4362</w:t>
      </w:r>
    </w:p>
    <w:p>
      <w:pPr>
        <w:bidi/>
        <w:jc w:val="left"/>
        <w:spacing w:line="580" w:lineRule="exact" w:after="40"/>
        <w:ind w:left="720" w:hanging="720"/>
      </w:pPr>
      <w:r>
        <w:rPr>
          <w:rFonts w:ascii="Times New Roman" w:hAnsi="Times New Roman" w:cs="Times New Roman"/>
          <w:sz w:val="22"/>
          <w:szCs w:val="22"/>
        </w:rPr>
        <w:t>Lauriola, M., &amp; Levin, I. P. (2001). Personality traits and risky decision-making in a controlled experimental task: An exploratory study. Personality and Individual Differences, 31(2), 215-226.</w:t>
      </w:r>
    </w:p>
    <w:p>
      <w:pPr>
        <w:bidi/>
        <w:jc w:val="left"/>
        <w:spacing w:line="580" w:lineRule="exact" w:after="40"/>
        <w:ind w:left="720" w:hanging="720"/>
      </w:pPr>
      <w:r>
        <w:rPr>
          <w:rFonts w:ascii="Times New Roman" w:hAnsi="Times New Roman" w:cs="Times New Roman"/>
          <w:sz w:val="22"/>
          <w:szCs w:val="22"/>
        </w:rPr>
        <w:t>Lindberg, N., et al. (2011). Early maladaptive schemas in pathological gambling. Journal of Gambling Studies, 27(2), 277-287.</w:t>
      </w:r>
    </w:p>
    <w:p>
      <w:pPr>
        <w:bidi/>
        <w:jc w:val="left"/>
        <w:spacing w:line="580" w:lineRule="exact" w:after="40"/>
        <w:ind w:left="720" w:hanging="720"/>
      </w:pPr>
      <w:r>
        <w:rPr>
          <w:rFonts w:ascii="Times New Roman" w:hAnsi="Times New Roman" w:cs="Times New Roman"/>
          <w:sz w:val="22"/>
          <w:szCs w:val="22"/>
        </w:rPr>
        <w:t>Lo, A. W., &amp; Repin, D. V. (2002). The psychophysiology of real-time financial risk processing. Journal of Cognitive Neuroscience, 14(3), 323-339.</w:t>
      </w:r>
    </w:p>
    <w:p>
      <w:pPr>
        <w:bidi/>
        <w:jc w:val="left"/>
        <w:spacing w:line="580" w:lineRule="exact" w:after="40"/>
        <w:ind w:left="720" w:hanging="720"/>
      </w:pPr>
      <w:r>
        <w:rPr>
          <w:rFonts w:ascii="Times New Roman" w:hAnsi="Times New Roman" w:cs="Times New Roman"/>
          <w:sz w:val="22"/>
          <w:szCs w:val="22"/>
        </w:rPr>
        <w:t>Lo, A. W., Repin, D. V., &amp; Steenbarger, B. N. (2005). Fear and Greed in Financial Markets: A Clinical Study of Day-Traders. American Economic Review, 95 (2), 352–359.</w:t>
      </w:r>
    </w:p>
    <w:p>
      <w:pPr>
        <w:bidi/>
        <w:jc w:val="left"/>
        <w:spacing w:line="580" w:lineRule="exact" w:after="40"/>
        <w:ind w:left="720" w:hanging="720"/>
      </w:pPr>
      <w:r>
        <w:rPr>
          <w:rFonts w:ascii="Times New Roman" w:hAnsi="Times New Roman" w:cs="Times New Roman"/>
          <w:sz w:val="22"/>
          <w:szCs w:val="22"/>
        </w:rPr>
        <w:t>Lo, A. W., Repin, D. V., &amp; Steenbarger, B. N. (2005). Fear and Greed in Financial Markets: A Clinical Study of Day-Traders. American Economic Review, 95 (2), 352–359. https://doi.org/10.1257/000282805774670095</w:t>
      </w:r>
    </w:p>
    <w:p>
      <w:pPr>
        <w:bidi/>
        <w:jc w:val="left"/>
        <w:spacing w:line="580" w:lineRule="exact" w:after="40"/>
        <w:ind w:left="720" w:hanging="720"/>
      </w:pPr>
      <w:r>
        <w:rPr>
          <w:rFonts w:ascii="Times New Roman" w:hAnsi="Times New Roman" w:cs="Times New Roman"/>
          <w:sz w:val="22"/>
          <w:szCs w:val="22"/>
        </w:rPr>
        <w:t>Mahato, S., et al. (2025). Millennials and zoomers as investors: Behavioral factors shaping financial choices. All Finance Journal, 3(2), 15-29.</w:t>
      </w:r>
    </w:p>
    <w:p>
      <w:pPr>
        <w:bidi/>
        <w:jc w:val="left"/>
        <w:spacing w:line="580" w:lineRule="exact" w:after="40"/>
        <w:ind w:left="720" w:hanging="720"/>
      </w:pPr>
      <w:r>
        <w:rPr>
          <w:rFonts w:ascii="Times New Roman" w:hAnsi="Times New Roman" w:cs="Times New Roman"/>
          <w:sz w:val="22"/>
          <w:szCs w:val="22"/>
        </w:rPr>
        <w:t>Mahato, S., et al. (2025). Millennials and zoomers as investors: Behavioral factors shaping financial choices. International Journal of Research in Finance and Management, 8(2), 147-150. https://doi.org/10.33545/26175754.2025.v8.i2b.539</w:t>
      </w:r>
    </w:p>
    <w:p>
      <w:pPr>
        <w:bidi/>
        <w:jc w:val="left"/>
        <w:spacing w:line="580" w:lineRule="exact" w:after="40"/>
        <w:ind w:left="720" w:hanging="720"/>
      </w:pPr>
      <w:r>
        <w:rPr>
          <w:rFonts w:ascii="Times New Roman" w:hAnsi="Times New Roman" w:cs="Times New Roman"/>
          <w:sz w:val="22"/>
          <w:szCs w:val="22"/>
        </w:rPr>
        <w:t>Malkiel, B. G. (2003). The efficient market hypothesis and its critics. Journal of Economic Perspectives, 17(1), 59-82.</w:t>
      </w:r>
    </w:p>
    <w:p>
      <w:pPr>
        <w:bidi/>
        <w:jc w:val="left"/>
        <w:spacing w:line="580" w:lineRule="exact" w:after="40"/>
        <w:ind w:left="720" w:hanging="720"/>
      </w:pPr>
      <w:r>
        <w:rPr>
          <w:rFonts w:ascii="Times New Roman" w:hAnsi="Times New Roman" w:cs="Times New Roman"/>
          <w:sz w:val="22"/>
          <w:szCs w:val="22"/>
        </w:rPr>
        <w:t>Maner, J. K., &amp; Schmidt, N. B. (2006). The role of risk avoidance in anxiety. Behavior Therapy, 37 (3), 290–305.</w:t>
      </w:r>
    </w:p>
    <w:p>
      <w:pPr>
        <w:bidi/>
        <w:jc w:val="left"/>
        <w:spacing w:line="580" w:lineRule="exact" w:after="40"/>
        <w:ind w:left="720" w:hanging="720"/>
      </w:pPr>
      <w:r>
        <w:rPr>
          <w:rFonts w:ascii="Times New Roman" w:hAnsi="Times New Roman" w:cs="Times New Roman"/>
          <w:sz w:val="22"/>
          <w:szCs w:val="22"/>
        </w:rPr>
        <w:t>Mishkin, F. S. (2019). The economics of money, banking and financial markets (12th ed.). Pearson.</w:t>
      </w:r>
    </w:p>
    <w:p>
      <w:pPr>
        <w:bidi/>
        <w:jc w:val="left"/>
        <w:spacing w:line="580" w:lineRule="exact" w:after="40"/>
        <w:ind w:left="720" w:hanging="720"/>
      </w:pPr>
      <w:r>
        <w:rPr>
          <w:rFonts w:ascii="Times New Roman" w:hAnsi="Times New Roman" w:cs="Times New Roman"/>
          <w:sz w:val="22"/>
          <w:szCs w:val="22"/>
        </w:rPr>
        <w:t>Mitte, K. (2007). Anxiety and risky decision-making: The role of cognitive processing. Psychological Review, 114 (4), 893-912.</w:t>
      </w:r>
    </w:p>
    <w:p>
      <w:pPr>
        <w:bidi/>
        <w:jc w:val="left"/>
        <w:spacing w:line="580" w:lineRule="exact" w:after="40"/>
        <w:ind w:left="720" w:hanging="720"/>
      </w:pPr>
      <w:r>
        <w:rPr>
          <w:rFonts w:ascii="Times New Roman" w:hAnsi="Times New Roman" w:cs="Times New Roman"/>
          <w:sz w:val="22"/>
          <w:szCs w:val="22"/>
        </w:rPr>
        <w:t>Nguyen, M. T. T., Nguyen, L. H., &amp; Ho, T. H. (2019). Personality traits and stock investment of individuals. Sustainability, 11(19), 5474.</w:t>
      </w:r>
    </w:p>
    <w:p>
      <w:pPr>
        <w:bidi/>
        <w:jc w:val="left"/>
        <w:spacing w:line="580" w:lineRule="exact" w:after="40"/>
        <w:ind w:left="720" w:hanging="720"/>
      </w:pPr>
      <w:r>
        <w:rPr>
          <w:rFonts w:ascii="Times New Roman" w:hAnsi="Times New Roman" w:cs="Times New Roman"/>
          <w:sz w:val="22"/>
          <w:szCs w:val="22"/>
        </w:rPr>
        <w:t>OECD. (2021). Retail investors in capital markets: Key findings and main messages. OECD Publishing.</w:t>
      </w:r>
    </w:p>
    <w:p>
      <w:pPr>
        <w:bidi/>
        <w:jc w:val="left"/>
        <w:spacing w:line="580" w:lineRule="exact" w:after="40"/>
        <w:ind w:left="720" w:hanging="720"/>
      </w:pPr>
      <w:r>
        <w:rPr>
          <w:rFonts w:ascii="Times New Roman" w:hAnsi="Times New Roman" w:cs="Times New Roman"/>
          <w:sz w:val="22"/>
          <w:szCs w:val="22"/>
        </w:rPr>
        <w:t>Ololo, K., et al. (2024). Rational Emotive and Cognitive Behavior Coaching Intervention for Promoting College Students’ Financial Risk Tolerance and Attitudes Towards Financial Risk. Journal of Rational-Emotive &amp; Cognitive-Behavior Therapy, 42(2), 398-418. https://doi.org/10.1007/s10942-023-00523-0</w:t>
      </w:r>
    </w:p>
    <w:p>
      <w:pPr>
        <w:bidi/>
        <w:jc w:val="left"/>
        <w:spacing w:line="580" w:lineRule="exact" w:after="40"/>
        <w:ind w:left="720" w:hanging="720"/>
      </w:pPr>
      <w:r>
        <w:rPr>
          <w:rFonts w:ascii="Times New Roman" w:hAnsi="Times New Roman" w:cs="Times New Roman"/>
          <w:sz w:val="22"/>
          <w:szCs w:val="22"/>
        </w:rPr>
        <w:t>Ololo, K., et al. (2024). Rational Emotive and Cognitive Behavior Coaching Intervention for Promoting College Students’ Financial Risk Tolerance. Journal of Rational-Emotive &amp; Cognitive-Behavior Therapy, 42, 398-418.</w:t>
      </w:r>
    </w:p>
    <w:p>
      <w:pPr>
        <w:bidi/>
        <w:jc w:val="left"/>
        <w:spacing w:line="580" w:lineRule="exact" w:after="40"/>
        <w:ind w:left="720" w:hanging="720"/>
      </w:pPr>
      <w:r>
        <w:rPr>
          <w:rFonts w:ascii="Times New Roman" w:hAnsi="Times New Roman" w:cs="Times New Roman"/>
          <w:sz w:val="22"/>
          <w:szCs w:val="22"/>
        </w:rPr>
        <w:t>Pak, O., &amp; Mahmood, M. (2019). Personality traits and investor profile analysis: A behavioral finance study. PLoS ONE, 14(3), e0213626.</w:t>
      </w:r>
    </w:p>
    <w:p>
      <w:pPr>
        <w:bidi/>
        <w:jc w:val="left"/>
        <w:spacing w:line="580" w:lineRule="exact" w:after="40"/>
        <w:ind w:left="720" w:hanging="720"/>
      </w:pPr>
      <w:r>
        <w:rPr>
          <w:rFonts w:ascii="Times New Roman" w:hAnsi="Times New Roman" w:cs="Times New Roman"/>
          <w:sz w:val="22"/>
          <w:szCs w:val="22"/>
        </w:rPr>
        <w:t>Rehm, I. C., et al. (2015). Neuroticism and its facets in relation to early maladaptive schemas. Journal of Affective Disorders, 172, 424-431.</w:t>
      </w:r>
    </w:p>
    <w:p>
      <w:pPr>
        <w:bidi/>
        <w:jc w:val="left"/>
        <w:spacing w:line="580" w:lineRule="exact" w:after="40"/>
        <w:ind w:left="720" w:hanging="720"/>
      </w:pPr>
      <w:r>
        <w:rPr>
          <w:rFonts w:ascii="Times New Roman" w:hAnsi="Times New Roman" w:cs="Times New Roman"/>
          <w:sz w:val="22"/>
          <w:szCs w:val="22"/>
        </w:rPr>
        <w:t>Safitri, H., Giriati, G., &amp; Wendy, W. (2025). Socio-Psychological Effect in Investment Decision-Making Mediated by Risk Tolerance. Journal of Information Systems Engineering and Management, 10(49s), 461-474. https://doi.org/10.52783/jisem.v10i49s.9897</w:t>
      </w:r>
    </w:p>
    <w:p>
      <w:pPr>
        <w:bidi/>
        <w:jc w:val="left"/>
        <w:spacing w:line="580" w:lineRule="exact" w:after="40"/>
        <w:ind w:left="720" w:hanging="720"/>
      </w:pPr>
      <w:r>
        <w:rPr>
          <w:rFonts w:ascii="Times New Roman" w:hAnsi="Times New Roman" w:cs="Times New Roman"/>
          <w:sz w:val="22"/>
          <w:szCs w:val="22"/>
        </w:rPr>
        <w:t>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jc w:val="left"/>
        <w:spacing w:line="580" w:lineRule="exact" w:after="40"/>
        <w:ind w:left="720" w:hanging="720"/>
      </w:pPr>
      <w:r>
        <w:rPr>
          <w:rFonts w:ascii="Times New Roman" w:hAnsi="Times New Roman" w:cs="Times New Roman"/>
          <w:sz w:val="22"/>
          <w:szCs w:val="22"/>
        </w:rPr>
        <w:t>Schmidt, N. B., Joiner, T. E., Young, J. E., &amp; Telch, M. J. (1995). The schema questionnaire: Investigation of psychometric properties and the hierarchical structure of a measure of maladaptive schemas. Cognitive Therapy and Research, 19(3), 295–321. https://doi.org/10.1007/bf02230402</w:t>
      </w:r>
    </w:p>
    <w:p>
      <w:pPr>
        <w:bidi/>
        <w:jc w:val="left"/>
        <w:spacing w:line="580" w:lineRule="exact" w:after="40"/>
        <w:ind w:left="720" w:hanging="720"/>
      </w:pPr>
      <w:r>
        <w:rPr>
          <w:rFonts w:ascii="Times New Roman" w:hAnsi="Times New Roman" w:cs="Times New Roman"/>
          <w:sz w:val="22"/>
          <w:szCs w:val="22"/>
        </w:rPr>
        <w:t>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jc w:val="left"/>
        <w:spacing w:line="580" w:lineRule="exact" w:after="40"/>
        <w:ind w:left="720" w:hanging="720"/>
      </w:pPr>
      <w:r>
        <w:rPr>
          <w:rFonts w:ascii="Times New Roman" w:hAnsi="Times New Roman" w:cs="Times New Roman"/>
          <w:sz w:val="22"/>
          <w:szCs w:val="22"/>
        </w:rPr>
        <w:t>Shefrin, H., &amp; Statman, M. (1985). The disposition to sell winners too early and ride losers too long: Theory and evidence. The Journal of Finance, 40(3), 777-790.</w:t>
      </w:r>
    </w:p>
    <w:p>
      <w:pPr>
        <w:bidi/>
        <w:jc w:val="left"/>
        <w:spacing w:line="580" w:lineRule="exact" w:after="40"/>
        <w:ind w:left="720" w:hanging="720"/>
      </w:pPr>
      <w:r>
        <w:rPr>
          <w:rFonts w:ascii="Times New Roman" w:hAnsi="Times New Roman" w:cs="Times New Roman"/>
          <w:sz w:val="22"/>
          <w:szCs w:val="22"/>
        </w:rPr>
        <w:t>Shiller, R. J. (2015). Irrational exuberance (3rd ed.). Princeton University Press.</w:t>
      </w:r>
    </w:p>
    <w:p>
      <w:pPr>
        <w:bidi/>
        <w:jc w:val="left"/>
        <w:spacing w:line="580" w:lineRule="exact" w:after="40"/>
        <w:ind w:left="720" w:hanging="720"/>
      </w:pPr>
      <w:r>
        <w:rPr>
          <w:rFonts w:ascii="Times New Roman" w:hAnsi="Times New Roman" w:cs="Times New Roman"/>
          <w:sz w:val="22"/>
          <w:szCs w:val="22"/>
        </w:rPr>
        <w:t>Shorey, R. C., et al. (2012). Gambling and early maladaptive schemas in a treatment seeking sample of male alcohol users: A preliminary investigation. Addictive Disorders &amp; Their Treatment, 11(4), 173-182. https://doi.org/10.1097/adt.0b013e31823eda8f</w:t>
      </w:r>
    </w:p>
    <w:p>
      <w:pPr>
        <w:bidi/>
        <w:jc w:val="left"/>
        <w:spacing w:line="580" w:lineRule="exact" w:after="40"/>
        <w:ind w:left="720" w:hanging="720"/>
      </w:pPr>
      <w:r>
        <w:rPr>
          <w:rFonts w:ascii="Times New Roman" w:hAnsi="Times New Roman" w:cs="Times New Roman"/>
          <w:sz w:val="22"/>
          <w:szCs w:val="22"/>
        </w:rPr>
        <w:t>Spielberger, C. D. (1983). Manual for the State-Trait Anxiety Inventory. Consulting Psychologists Press.</w:t>
      </w:r>
    </w:p>
    <w:p>
      <w:pPr>
        <w:bidi/>
        <w:jc w:val="left"/>
        <w:spacing w:line="580" w:lineRule="exact" w:after="40"/>
        <w:ind w:left="720" w:hanging="720"/>
      </w:pPr>
      <w:r>
        <w:rPr>
          <w:rFonts w:ascii="Times New Roman" w:hAnsi="Times New Roman" w:cs="Times New Roman"/>
          <w:sz w:val="22"/>
          <w:szCs w:val="22"/>
        </w:rPr>
        <w:t>Spielberger, C. D., Gorsuch, R. L., &amp; Lushene, R. E. (1970). Manual for the State-Trait Anxiety Inventory. Consulting Psychologists Press.</w:t>
      </w:r>
    </w:p>
    <w:p>
      <w:pPr>
        <w:bidi/>
        <w:jc w:val="left"/>
        <w:spacing w:line="580" w:lineRule="exact" w:after="40"/>
        <w:ind w:left="720" w:hanging="720"/>
      </w:pPr>
      <w:r>
        <w:rPr>
          <w:rFonts w:ascii="Times New Roman" w:hAnsi="Times New Roman" w:cs="Times New Roman"/>
          <w:sz w:val="22"/>
          <w:szCs w:val="22"/>
        </w:rPr>
        <w:t>Thaler, R. H. (2016). Behavioral finance: Past, present, and future. American Economic Review, 106(7), 1577-1600.</w:t>
      </w:r>
    </w:p>
    <w:p>
      <w:pPr>
        <w:bidi/>
        <w:jc w:val="left"/>
        <w:spacing w:line="580" w:lineRule="exact" w:after="40"/>
        <w:ind w:left="720" w:hanging="720"/>
      </w:pPr>
      <w:r>
        <w:rPr>
          <w:rFonts w:ascii="Times New Roman" w:hAnsi="Times New Roman" w:cs="Times New Roman"/>
          <w:sz w:val="22"/>
          <w:szCs w:val="22"/>
        </w:rPr>
        <w:t>Vieira, C., Kuss, D. J., &amp; Griffiths, M. D. (2023). Early maladaptive schemas and behavioural addictions: A systematic literature review. Clinical Psychology Review, 105, 102340. https://doi.org/10.1016/j.cpr.2023.102340</w:t>
      </w:r>
    </w:p>
    <w:p>
      <w:pPr>
        <w:bidi/>
        <w:jc w:val="left"/>
        <w:spacing w:line="580" w:lineRule="exact" w:after="40"/>
        <w:ind w:left="720" w:hanging="720"/>
      </w:pPr>
      <w:r>
        <w:rPr>
          <w:rFonts w:ascii="Times New Roman" w:hAnsi="Times New Roman" w:cs="Times New Roman"/>
          <w:sz w:val="22"/>
          <w:szCs w:val="22"/>
        </w:rPr>
        <w:t>Yalom, I. D. (1980). Existential Psychotherapy. Basic Books</w:t>
      </w:r>
    </w:p>
    <w:p>
      <w:pPr>
        <w:bidi/>
        <w:jc w:val="left"/>
        <w:spacing w:line="580" w:lineRule="exact" w:after="40"/>
        <w:ind w:left="720" w:hanging="720"/>
      </w:pPr>
      <w:r>
        <w:rPr>
          <w:rFonts w:ascii="Times New Roman" w:hAnsi="Times New Roman" w:cs="Times New Roman"/>
          <w:sz w:val="22"/>
          <w:szCs w:val="22"/>
        </w:rPr>
        <w:t>Young, J. E. (1998). Young Schema Questionnaire - Short Form. Schema Therapy Institute.</w:t>
      </w:r>
    </w:p>
    <w:p>
      <w:pPr>
        <w:bidi/>
        <w:jc w:val="left"/>
        <w:spacing w:line="580" w:lineRule="exact" w:after="40"/>
        <w:ind w:left="720" w:hanging="720"/>
      </w:pPr>
      <w:r>
        <w:rPr>
          <w:rFonts w:ascii="Times New Roman" w:hAnsi="Times New Roman" w:cs="Times New Roman"/>
          <w:sz w:val="22"/>
          <w:szCs w:val="22"/>
        </w:rPr>
        <w:t>Young, J. E., Klosko, J. S., &amp; Weishaar, M. E. (2003). Schema Therapy: A Practitioner's Guide. Guilford Press.</w:t>
      </w:r>
    </w:p>
    <w:p>
      <w:pPr>
        <w:bidi/>
        <w:jc w:val="left"/>
        <w:spacing w:line="580" w:lineRule="exact" w:after="40"/>
        <w:ind w:left="720" w:hanging="720"/>
      </w:pPr>
      <w:r>
        <w:rPr>
          <w:rFonts w:ascii="Times New Roman" w:hAnsi="Times New Roman" w:cs="Times New Roman"/>
          <w:sz w:val="22"/>
          <w:szCs w:val="22"/>
        </w:rPr>
        <w:t>Zuckerman, M. (1999). Vulnerability to psychopathology: A biosocial model. American Psychological Association.</w:t>
      </w:r>
    </w:p>
    <w:sectPr>
      <w:footerReference w:type="default" r:id="rId22"/>
      <w:footnotePr>
        <w:numFmt w:val="hindi"/>
        <w:numRestart w:val="eachPage"/>
      </w:footnotePr>
      <w:pgSz w:w="11906" w:h="16838"/>
      <w:pgMar w:top="1701" w:right="2268" w:bottom="1417" w:left="1417" w:header="720" w:footer="567" w:gutter="0"/>
      <w:pgNumType w:fmt="hindi"/>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ftr>
</file>

<file path=word/footer2.xml><?xml version="1.0" encoding="utf-8"?>
<w:ftr xmlns:w="http://schemas.openxmlformats.org/wordprocessingml/2006/main">
  <w:p>
    <w:pPr>
      <w:pStyle w:val="Footer"/>
      <w:bidi/>
      <w:jc w:val="center"/>
    </w:pPr>
    <w:fldSimple w:instr=" PAGE ">
      <w:r>
        <w:rPr>
          <w:rFonts w:ascii="B Nazanin" w:hAnsi="B Nazanin" w:cs="B Nazanin"/>
          <w:sz w:val="24"/>
          <w:szCs w:val="24"/>
        </w:rPr>
        <w:t>i</w:t>
      </w:r>
    </w:fldSimple>
  </w:p>
</w:ftr>
</file>

<file path=word/footer3.xml><?xml version="1.0" encoding="utf-8"?>
<w:ftr xmlns:w="http://schemas.openxmlformats.org/wordprocessingml/2006/main">
  <w:p>
    <w:pPr>
      <w:pStyle w:val="Footer"/>
      <w:bidi/>
      <w:jc w:val="center"/>
    </w:pPr>
    <w:fldSimple w:instr=" PAGE ">
      <w:r>
        <w:rPr>
          <w:rFonts w:ascii="B Nazanin" w:hAnsi="B Nazanin" w:cs="B Nazanin"/>
          <w:sz w:val="24"/>
          <w:szCs w:val="24"/>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r>
        <w:rPr>
          <w:vertAlign w:val="superscript"/>
        </w:rPr>
        <w:footnoteRef/>
      </w:r>
      <w:r>
        <w:rPr>
          <w:rFonts w:ascii="B Nazanin" w:hAnsi="B Nazanin" w:cs="B Nazanin"/>
          <w:sz w:val="20"/>
          <w:szCs w:val="20"/>
        </w:rPr>
        <w:t xml:space="preserve"> نخست مسیر a و سپس مسیر b</w:t>
      </w:r>
    </w:p>
  </w:footnote>
  <w:footnote w:id="38">
    <w:p>
      <w:pPr>
        <w:bidi w:val="0"/>
      </w:pPr>
      <w:r>
        <w:rPr>
          <w:vertAlign w:val="superscript"/>
        </w:rPr>
        <w:footnoteRef/>
      </w:r>
      <w:r>
        <w:rPr>
          <w:rFonts w:ascii="Times New Roman" w:hAnsi="Times New Roman" w:cs="Times New Roman"/>
          <w:sz w:val="20"/>
          <w:szCs w:val="20"/>
        </w:rPr>
        <w:t xml:space="preserve"> Applied Research</w:t>
      </w:r>
    </w:p>
  </w:footnote>
  <w:footnote w:id="39">
    <w:p>
      <w:pPr>
        <w:bidi w:val="0"/>
      </w:pPr>
      <w:r>
        <w:rPr>
          <w:vertAlign w:val="superscript"/>
        </w:rPr>
        <w:footnoteRef/>
      </w:r>
      <w:r>
        <w:rPr>
          <w:rFonts w:ascii="Times New Roman" w:hAnsi="Times New Roman" w:cs="Times New Roman"/>
          <w:sz w:val="20"/>
          <w:szCs w:val="20"/>
        </w:rPr>
        <w:t xml:space="preserve"> Descriptive-Correlational</w:t>
      </w:r>
    </w:p>
  </w:footnote>
  <w:footnote w:id="40">
    <w:p>
      <w:pPr>
        <w:bidi w:val="0"/>
      </w:pPr>
      <w:r>
        <w:rPr>
          <w:vertAlign w:val="superscript"/>
        </w:rPr>
        <w:footnoteRef/>
      </w:r>
      <w:r>
        <w:rPr>
          <w:rFonts w:ascii="Times New Roman" w:hAnsi="Times New Roman" w:cs="Times New Roman"/>
          <w:sz w:val="20"/>
          <w:szCs w:val="20"/>
        </w:rPr>
        <w:t xml:space="preserve"> Mediation Model</w:t>
      </w:r>
    </w:p>
  </w:footnote>
  <w:footnote w:id="41">
    <w:p>
      <w:pPr>
        <w:bidi w:val="0"/>
      </w:pPr>
      <w:r>
        <w:rPr>
          <w:vertAlign w:val="superscript"/>
        </w:rPr>
        <w:footnoteRef/>
      </w:r>
      <w:r>
        <w:rPr>
          <w:rFonts w:ascii="Times New Roman" w:hAnsi="Times New Roman" w:cs="Times New Roman"/>
          <w:sz w:val="20"/>
          <w:szCs w:val="20"/>
        </w:rPr>
        <w:t xml:space="preserve"> Convenience Sampling</w:t>
      </w:r>
    </w:p>
  </w:footnote>
  <w:footnote w:id="42">
    <w:p>
      <w:pPr>
        <w:bidi w:val="0"/>
      </w:pPr>
      <w:r>
        <w:rPr>
          <w:vertAlign w:val="superscript"/>
        </w:rPr>
        <w:footnoteRef/>
      </w:r>
      <w:r>
        <w:rPr>
          <w:rFonts w:ascii="Times New Roman" w:hAnsi="Times New Roman" w:cs="Times New Roman"/>
          <w:sz w:val="20"/>
          <w:szCs w:val="20"/>
        </w:rPr>
        <w:t xml:space="preserve"> Snowball Sampling</w:t>
      </w:r>
    </w:p>
  </w:footnote>
  <w:footnote w:id="43">
    <w:p>
      <w:pPr>
        <w:bidi w:val="0"/>
      </w:pPr>
      <w:r>
        <w:rPr>
          <w:vertAlign w:val="superscript"/>
        </w:rPr>
        <w:footnoteRef/>
      </w:r>
      <w:r>
        <w:rPr>
          <w:rFonts w:ascii="Times New Roman" w:hAnsi="Times New Roman" w:cs="Times New Roman"/>
          <w:sz w:val="20"/>
          <w:szCs w:val="20"/>
        </w:rPr>
        <w:t xml:space="preserve"> Financial Risk Tolerance Scale (GL-RTS)</w:t>
      </w:r>
    </w:p>
  </w:footnote>
  <w:footnote w:id="44">
    <w:p>
      <w:pPr>
        <w:bidi w:val="0"/>
      </w:pPr>
      <w:r>
        <w:rPr>
          <w:vertAlign w:val="superscript"/>
        </w:rPr>
        <w:footnoteRef/>
      </w:r>
      <w:r>
        <w:rPr>
          <w:rFonts w:ascii="Times New Roman" w:hAnsi="Times New Roman" w:cs="Times New Roman"/>
          <w:sz w:val="20"/>
          <w:szCs w:val="20"/>
        </w:rPr>
        <w:t xml:space="preserve"> Proxy Measure</w:t>
      </w:r>
    </w:p>
  </w:footnote>
  <w:footnote w:id="45">
    <w:p>
      <w:pPr>
        <w:bidi w:val="0"/>
      </w:pPr>
      <w:r>
        <w:rPr>
          <w:vertAlign w:val="superscript"/>
        </w:rPr>
        <w:footnoteRef/>
      </w:r>
      <w:r>
        <w:rPr>
          <w:rFonts w:ascii="Times New Roman" w:hAnsi="Times New Roman" w:cs="Times New Roman"/>
          <w:sz w:val="20"/>
          <w:szCs w:val="20"/>
        </w:rPr>
        <w:t xml:space="preserve"> Multivariate Normality</w:t>
      </w:r>
    </w:p>
  </w:footnote>
  <w:footnote w:id="46">
    <w:p>
      <w:pPr>
        <w:bidi w:val="0"/>
      </w:pPr>
      <w:r>
        <w:rPr>
          <w:vertAlign w:val="superscript"/>
        </w:rPr>
        <w:footnoteRef/>
      </w:r>
      <w:r>
        <w:rPr>
          <w:rFonts w:ascii="Times New Roman" w:hAnsi="Times New Roman" w:cs="Times New Roman"/>
          <w:sz w:val="20"/>
          <w:szCs w:val="20"/>
        </w:rPr>
        <w:t xml:space="preserve"> Mahalanobis Distance</w:t>
      </w:r>
    </w:p>
  </w:footnote>
  <w:footnote w:id="47">
    <w:p>
      <w:pPr>
        <w:bidi w:val="0"/>
      </w:pPr>
      <w:r>
        <w:rPr>
          <w:vertAlign w:val="superscript"/>
        </w:rPr>
        <w:footnoteRef/>
      </w:r>
      <w:r>
        <w:rPr>
          <w:rFonts w:ascii="Times New Roman" w:hAnsi="Times New Roman" w:cs="Times New Roman"/>
          <w:sz w:val="20"/>
          <w:szCs w:val="20"/>
        </w:rPr>
        <w:t xml:space="preserve"> Maximum Likelihood - ML</w:t>
      </w:r>
    </w:p>
  </w:footnote>
  <w:footnote w:id="48">
    <w:p>
      <w:pPr>
        <w:bidi w:val="0"/>
      </w:pPr>
      <w:r>
        <w:rPr>
          <w:vertAlign w:val="superscript"/>
        </w:rPr>
        <w:footnoteRef/>
      </w:r>
      <w:r>
        <w:rPr>
          <w:rFonts w:ascii="Times New Roman" w:hAnsi="Times New Roman" w:cs="Times New Roman"/>
          <w:sz w:val="20"/>
          <w:szCs w:val="20"/>
        </w:rPr>
        <w:t xml:space="preserve"> OECD, 2021</w:t>
      </w:r>
    </w:p>
  </w:footnote>
  <w:footnote w:id="49">
    <w:p>
      <w:pPr>
        <w:bidi w:val="0"/>
      </w:pPr>
      <w:r>
        <w:rPr>
          <w:vertAlign w:val="superscript"/>
        </w:rPr>
        <w:footnoteRef/>
      </w:r>
      <w:r>
        <w:rPr>
          <w:rFonts w:ascii="Times New Roman" w:hAnsi="Times New Roman" w:cs="Times New Roman"/>
          <w:sz w:val="20"/>
          <w:szCs w:val="20"/>
        </w:rPr>
        <w:t xml:space="preserve"> Mahato et al.</w:t>
      </w:r>
    </w:p>
  </w:footnote>
  <w:footnote w:id="50">
    <w:p>
      <w:pPr>
        <w:bidi w:val="0"/>
      </w:pPr>
      <w:r>
        <w:rPr>
          <w:vertAlign w:val="superscript"/>
        </w:rPr>
        <w:footnoteRef/>
      </w:r>
      <w:r>
        <w:rPr>
          <w:rFonts w:ascii="Times New Roman" w:hAnsi="Times New Roman" w:cs="Times New Roman"/>
          <w:sz w:val="20"/>
          <w:szCs w:val="20"/>
        </w:rPr>
        <w:t xml:space="preserve"> Grall-Bronnec et al.</w:t>
      </w:r>
    </w:p>
  </w:footnote>
  <w:footnote w:id="51">
    <w:p>
      <w:pPr>
        <w:bidi w:val="0"/>
      </w:pPr>
      <w:r>
        <w:rPr>
          <w:vertAlign w:val="superscript"/>
        </w:rPr>
        <w:footnoteRef/>
      </w:r>
      <w:r>
        <w:rPr>
          <w:rFonts w:ascii="Times New Roman" w:hAnsi="Times New Roman" w:cs="Times New Roman"/>
          <w:sz w:val="20"/>
          <w:szCs w:val="20"/>
        </w:rPr>
        <w:t xml:space="preserve"> Mishkin</w:t>
      </w:r>
    </w:p>
  </w:footnote>
  <w:footnote w:id="52">
    <w:p>
      <w:pPr>
        <w:bidi w:val="0"/>
      </w:pPr>
      <w:r>
        <w:rPr>
          <w:vertAlign w:val="superscript"/>
        </w:rPr>
        <w:footnoteRef/>
      </w:r>
      <w:r>
        <w:rPr>
          <w:rFonts w:ascii="Times New Roman" w:hAnsi="Times New Roman" w:cs="Times New Roman"/>
          <w:sz w:val="20"/>
          <w:szCs w:val="20"/>
        </w:rPr>
        <w:t xml:space="preserve"> Bodie, Kane, &amp; Marcus</w:t>
      </w:r>
    </w:p>
  </w:footnote>
  <w:footnote w:id="53">
    <w:p>
      <w:pPr>
        <w:bidi w:val="0"/>
      </w:pPr>
      <w:r>
        <w:rPr>
          <w:vertAlign w:val="superscript"/>
        </w:rPr>
        <w:footnoteRef/>
      </w:r>
      <w:r>
        <w:rPr>
          <w:rFonts w:ascii="Times New Roman" w:hAnsi="Times New Roman" w:cs="Times New Roman"/>
          <w:sz w:val="20"/>
          <w:szCs w:val="20"/>
        </w:rPr>
        <w:t xml:space="preserve"> Shiller</w:t>
      </w:r>
    </w:p>
  </w:footnote>
  <w:footnote w:id="54">
    <w:p>
      <w:pPr>
        <w:bidi w:val="0"/>
      </w:pPr>
      <w:r>
        <w:rPr>
          <w:vertAlign w:val="superscript"/>
        </w:rPr>
        <w:footnoteRef/>
      </w:r>
      <w:r>
        <w:rPr>
          <w:rFonts w:ascii="Times New Roman" w:hAnsi="Times New Roman" w:cs="Times New Roman"/>
          <w:sz w:val="20"/>
          <w:szCs w:val="20"/>
        </w:rPr>
        <w:t xml:space="preserve"> Malkiel</w:t>
      </w:r>
    </w:p>
  </w:footnote>
  <w:footnote w:id="55">
    <w:p>
      <w:pPr>
        <w:bidi w:val="0"/>
      </w:pPr>
      <w:r>
        <w:rPr>
          <w:vertAlign w:val="superscript"/>
        </w:rPr>
        <w:footnoteRef/>
      </w:r>
      <w:r>
        <w:rPr>
          <w:rFonts w:ascii="Times New Roman" w:hAnsi="Times New Roman" w:cs="Times New Roman"/>
          <w:sz w:val="20"/>
          <w:szCs w:val="20"/>
        </w:rPr>
        <w:t xml:space="preserve"> Thaler</w:t>
      </w:r>
    </w:p>
  </w:footnote>
  <w:footnote w:id="56">
    <w:p>
      <w:pPr>
        <w:bidi w:val="0"/>
      </w:pPr>
      <w:r>
        <w:rPr>
          <w:vertAlign w:val="superscript"/>
        </w:rPr>
        <w:footnoteRef/>
      </w:r>
      <w:r>
        <w:rPr>
          <w:rFonts w:ascii="Times New Roman" w:hAnsi="Times New Roman" w:cs="Times New Roman"/>
          <w:sz w:val="20"/>
          <w:szCs w:val="20"/>
        </w:rPr>
        <w:t xml:space="preserve"> Kahneman &amp; Tversky</w:t>
      </w:r>
    </w:p>
  </w:footnote>
  <w:footnote w:id="57">
    <w:p>
      <w:pPr>
        <w:bidi w:val="0"/>
      </w:pPr>
      <w:r>
        <w:rPr>
          <w:vertAlign w:val="superscript"/>
        </w:rPr>
        <w:footnoteRef/>
      </w:r>
      <w:r>
        <w:rPr>
          <w:rFonts w:ascii="Times New Roman" w:hAnsi="Times New Roman" w:cs="Times New Roman"/>
          <w:sz w:val="20"/>
          <w:szCs w:val="20"/>
        </w:rPr>
        <w:t xml:space="preserve"> Kahneman</w:t>
      </w:r>
    </w:p>
  </w:footnote>
  <w:footnote w:id="58">
    <w:p>
      <w:pPr>
        <w:bidi w:val="0"/>
      </w:pPr>
      <w:r>
        <w:rPr>
          <w:vertAlign w:val="superscript"/>
        </w:rPr>
        <w:footnoteRef/>
      </w:r>
      <w:r>
        <w:rPr>
          <w:rFonts w:ascii="Times New Roman" w:hAnsi="Times New Roman" w:cs="Times New Roman"/>
          <w:sz w:val="20"/>
          <w:szCs w:val="20"/>
        </w:rPr>
        <w:t xml:space="preserve"> Auer &amp; Schuhmacher</w:t>
      </w:r>
    </w:p>
  </w:footnote>
  <w:footnote w:id="59">
    <w:p>
      <w:pPr>
        <w:bidi w:val="0"/>
      </w:pPr>
      <w:r>
        <w:rPr>
          <w:vertAlign w:val="superscript"/>
        </w:rPr>
        <w:footnoteRef/>
      </w:r>
      <w:r>
        <w:rPr>
          <w:rFonts w:ascii="Times New Roman" w:hAnsi="Times New Roman" w:cs="Times New Roman"/>
          <w:sz w:val="20"/>
          <w:szCs w:val="20"/>
        </w:rPr>
        <w:t xml:space="preserve"> Hwang &amp; Salmon</w:t>
      </w:r>
    </w:p>
  </w:footnote>
  <w:footnote w:id="60">
    <w:p>
      <w:pPr>
        <w:bidi w:val="0"/>
      </w:pPr>
      <w:r>
        <w:rPr>
          <w:vertAlign w:val="superscript"/>
        </w:rPr>
        <w:footnoteRef/>
      </w:r>
      <w:r>
        <w:rPr>
          <w:rFonts w:ascii="Times New Roman" w:hAnsi="Times New Roman" w:cs="Times New Roman"/>
          <w:sz w:val="20"/>
          <w:szCs w:val="20"/>
        </w:rPr>
        <w:t xml:space="preserve"> Spielberger</w:t>
      </w:r>
    </w:p>
  </w:footnote>
  <w:footnote w:id="61">
    <w:p>
      <w:pPr>
        <w:bidi w:val="0"/>
      </w:pPr>
      <w:r>
        <w:rPr>
          <w:vertAlign w:val="superscript"/>
        </w:rPr>
        <w:footnoteRef/>
      </w:r>
      <w:r>
        <w:rPr>
          <w:rFonts w:ascii="Times New Roman" w:hAnsi="Times New Roman" w:cs="Times New Roman"/>
          <w:sz w:val="20"/>
          <w:szCs w:val="20"/>
        </w:rPr>
        <w:t xml:space="preserve"> Beck</w:t>
      </w:r>
    </w:p>
  </w:footnote>
  <w:footnote w:id="62">
    <w:p>
      <w:pPr>
        <w:bidi w:val="0"/>
      </w:pPr>
      <w:r>
        <w:rPr>
          <w:vertAlign w:val="superscript"/>
        </w:rPr>
        <w:footnoteRef/>
      </w:r>
      <w:r>
        <w:rPr>
          <w:rFonts w:ascii="Times New Roman" w:hAnsi="Times New Roman" w:cs="Times New Roman"/>
          <w:sz w:val="20"/>
          <w:szCs w:val="20"/>
        </w:rPr>
        <w:t xml:space="preserve"> Bishop</w:t>
      </w:r>
    </w:p>
  </w:footnote>
  <w:footnote w:id="63">
    <w:p>
      <w:pPr>
        <w:bidi w:val="0"/>
      </w:pPr>
      <w:r>
        <w:rPr>
          <w:vertAlign w:val="superscript"/>
        </w:rPr>
        <w:footnoteRef/>
      </w:r>
      <w:r>
        <w:rPr>
          <w:rFonts w:ascii="Times New Roman" w:hAnsi="Times New Roman" w:cs="Times New Roman"/>
          <w:sz w:val="20"/>
          <w:szCs w:val="20"/>
        </w:rPr>
        <w:t xml:space="preserve"> Beck &amp; Clark</w:t>
      </w:r>
    </w:p>
  </w:footnote>
  <w:footnote w:id="64">
    <w:p>
      <w:pPr>
        <w:bidi w:val="0"/>
      </w:pPr>
      <w:r>
        <w:rPr>
          <w:vertAlign w:val="superscript"/>
        </w:rPr>
        <w:footnoteRef/>
      </w:r>
      <w:r>
        <w:rPr>
          <w:rFonts w:ascii="Times New Roman" w:hAnsi="Times New Roman" w:cs="Times New Roman"/>
          <w:sz w:val="20"/>
          <w:szCs w:val="20"/>
        </w:rPr>
        <w:t xml:space="preserve"> Grupe &amp; Nitschke</w:t>
      </w:r>
    </w:p>
  </w:footnote>
  <w:footnote w:id="65">
    <w:p>
      <w:pPr>
        <w:bidi w:val="0"/>
      </w:pPr>
      <w:r>
        <w:rPr>
          <w:vertAlign w:val="superscript"/>
        </w:rPr>
        <w:footnoteRef/>
      </w:r>
      <w:r>
        <w:rPr>
          <w:rFonts w:ascii="Times New Roman" w:hAnsi="Times New Roman" w:cs="Times New Roman"/>
          <w:sz w:val="20"/>
          <w:szCs w:val="20"/>
        </w:rPr>
        <w:t xml:space="preserve"> Eysenck et al.</w:t>
      </w:r>
    </w:p>
  </w:footnote>
  <w:footnote w:id="66">
    <w:p>
      <w:pPr>
        <w:bidi w:val="0"/>
      </w:pPr>
      <w:r>
        <w:rPr>
          <w:vertAlign w:val="superscript"/>
        </w:rPr>
        <w:footnoteRef/>
      </w:r>
      <w:r>
        <w:rPr>
          <w:rFonts w:ascii="Times New Roman" w:hAnsi="Times New Roman" w:cs="Times New Roman"/>
          <w:sz w:val="20"/>
          <w:szCs w:val="20"/>
        </w:rPr>
        <w:t xml:space="preserve"> Baddeley, Eysenck, &amp; Anderson</w:t>
      </w:r>
    </w:p>
  </w:footnote>
  <w:footnote w:id="67">
    <w:p>
      <w:pPr>
        <w:bidi w:val="0"/>
      </w:pPr>
      <w:r>
        <w:rPr>
          <w:vertAlign w:val="superscript"/>
        </w:rPr>
        <w:footnoteRef/>
      </w:r>
      <w:r>
        <w:rPr>
          <w:rFonts w:ascii="Times New Roman" w:hAnsi="Times New Roman" w:cs="Times New Roman"/>
          <w:sz w:val="20"/>
          <w:szCs w:val="20"/>
        </w:rPr>
        <w:t xml:space="preserve"> Young et al.</w:t>
      </w:r>
    </w:p>
  </w:footnote>
  <w:footnote w:id="68">
    <w:p>
      <w:pPr>
        <w:bidi w:val="0"/>
      </w:pPr>
      <w:r>
        <w:rPr>
          <w:vertAlign w:val="superscript"/>
        </w:rPr>
        <w:footnoteRef/>
      </w:r>
      <w:r>
        <w:rPr>
          <w:rFonts w:ascii="Times New Roman" w:hAnsi="Times New Roman" w:cs="Times New Roman"/>
          <w:sz w:val="20"/>
          <w:szCs w:val="20"/>
        </w:rPr>
        <w:t xml:space="preserve"> Arntz &amp; Jacob</w:t>
      </w:r>
    </w:p>
  </w:footnote>
  <w:footnote w:id="69">
    <w:p>
      <w:pPr>
        <w:bidi w:val="0"/>
      </w:pPr>
      <w:r>
        <w:rPr>
          <w:vertAlign w:val="superscript"/>
        </w:rPr>
        <w:footnoteRef/>
      </w:r>
      <w:r>
        <w:rPr>
          <w:rFonts w:ascii="Times New Roman" w:hAnsi="Times New Roman" w:cs="Times New Roman"/>
          <w:sz w:val="20"/>
          <w:szCs w:val="20"/>
        </w:rPr>
        <w:t xml:space="preserve"> Shorey et al.</w:t>
      </w:r>
    </w:p>
  </w:footnote>
  <w:footnote w:id="70">
    <w:p>
      <w:pPr>
        <w:bidi w:val="0"/>
      </w:pPr>
      <w:r>
        <w:rPr>
          <w:vertAlign w:val="superscript"/>
        </w:rPr>
        <w:footnoteRef/>
      </w:r>
      <w:r>
        <w:rPr>
          <w:rFonts w:ascii="Times New Roman" w:hAnsi="Times New Roman" w:cs="Times New Roman"/>
          <w:sz w:val="20"/>
          <w:szCs w:val="20"/>
        </w:rPr>
        <w:t xml:space="preserve"> Lindberg et al.</w:t>
      </w:r>
    </w:p>
  </w:footnote>
  <w:footnote w:id="71">
    <w:p>
      <w:pPr>
        <w:bidi w:val="0"/>
      </w:pPr>
      <w:r>
        <w:rPr>
          <w:vertAlign w:val="superscript"/>
        </w:rPr>
        <w:footnoteRef/>
      </w:r>
      <w:r>
        <w:rPr>
          <w:rFonts w:ascii="Times New Roman" w:hAnsi="Times New Roman" w:cs="Times New Roman"/>
          <w:sz w:val="20"/>
          <w:szCs w:val="20"/>
        </w:rPr>
        <w:t xml:space="preserve"> Baker &amp; Nofsinger</w:t>
      </w:r>
    </w:p>
  </w:footnote>
  <w:footnote w:id="72">
    <w:p>
      <w:pPr>
        <w:bidi w:val="0"/>
      </w:pPr>
      <w:r>
        <w:rPr>
          <w:vertAlign w:val="superscript"/>
        </w:rPr>
        <w:footnoteRef/>
      </w:r>
      <w:r>
        <w:rPr>
          <w:rFonts w:ascii="Times New Roman" w:hAnsi="Times New Roman" w:cs="Times New Roman"/>
          <w:sz w:val="20"/>
          <w:szCs w:val="20"/>
        </w:rPr>
        <w:t xml:space="preserve"> Barber &amp; Odean</w:t>
      </w:r>
    </w:p>
  </w:footnote>
  <w:footnote w:id="73">
    <w:p>
      <w:pPr>
        <w:bidi w:val="0"/>
      </w:pPr>
      <w:r>
        <w:rPr>
          <w:vertAlign w:val="superscript"/>
        </w:rPr>
        <w:footnoteRef/>
      </w:r>
      <w:r>
        <w:rPr>
          <w:rFonts w:ascii="Times New Roman" w:hAnsi="Times New Roman" w:cs="Times New Roman"/>
          <w:sz w:val="20"/>
          <w:szCs w:val="20"/>
        </w:rPr>
        <w:t xml:space="preserve"> Shefrin &amp; Statman</w:t>
      </w:r>
    </w:p>
  </w:footnote>
  <w:footnote w:id="74">
    <w:p>
      <w:pPr>
        <w:bidi w:val="0"/>
      </w:pPr>
      <w:r>
        <w:rPr>
          <w:vertAlign w:val="superscript"/>
        </w:rPr>
        <w:footnoteRef/>
      </w:r>
      <w:r>
        <w:rPr>
          <w:rFonts w:ascii="Times New Roman" w:hAnsi="Times New Roman" w:cs="Times New Roman"/>
          <w:sz w:val="20"/>
          <w:szCs w:val="20"/>
        </w:rPr>
        <w:t xml:space="preserve"> Goetzmann &amp; Kumar</w:t>
      </w:r>
    </w:p>
  </w:footnote>
  <w:footnote w:id="75">
    <w:p>
      <w:pPr>
        <w:bidi w:val="0"/>
      </w:pPr>
      <w:r>
        <w:rPr>
          <w:vertAlign w:val="superscript"/>
        </w:rPr>
        <w:footnoteRef/>
      </w:r>
      <w:r>
        <w:rPr>
          <w:rFonts w:ascii="Times New Roman" w:hAnsi="Times New Roman" w:cs="Times New Roman"/>
          <w:sz w:val="20"/>
          <w:szCs w:val="20"/>
        </w:rPr>
        <w:t xml:space="preserve"> Zuckerman</w:t>
      </w:r>
    </w:p>
  </w:footnote>
  <w:footnote w:id="76">
    <w:p>
      <w:pPr>
        <w:bidi w:val="0"/>
      </w:pPr>
      <w:r>
        <w:rPr>
          <w:vertAlign w:val="superscript"/>
        </w:rPr>
        <w:footnoteRef/>
      </w:r>
      <w:r>
        <w:rPr>
          <w:rFonts w:ascii="Times New Roman" w:hAnsi="Times New Roman" w:cs="Times New Roman"/>
          <w:sz w:val="20"/>
          <w:szCs w:val="20"/>
        </w:rPr>
        <w:t xml:space="preserve"> Lauriola &amp; Levin</w:t>
      </w:r>
    </w:p>
  </w:footnote>
  <w:footnote w:id="77">
    <w:p>
      <w:pPr>
        <w:bidi w:val="0"/>
      </w:pPr>
      <w:r>
        <w:rPr>
          <w:vertAlign w:val="superscript"/>
        </w:rPr>
        <w:footnoteRef/>
      </w:r>
      <w:r>
        <w:rPr>
          <w:rFonts w:ascii="Times New Roman" w:hAnsi="Times New Roman" w:cs="Times New Roman"/>
          <w:sz w:val="20"/>
          <w:szCs w:val="20"/>
        </w:rPr>
        <w:t xml:space="preserve"> Fenton-O'Creevy et al., 2012</w:t>
      </w:r>
    </w:p>
  </w:footnote>
  <w:footnote w:id="78">
    <w:p>
      <w:pPr>
        <w:bidi w:val="0"/>
      </w:pPr>
      <w:r>
        <w:rPr>
          <w:vertAlign w:val="superscript"/>
        </w:rPr>
        <w:footnoteRef/>
      </w:r>
      <w:r>
        <w:rPr>
          <w:rFonts w:ascii="Times New Roman" w:hAnsi="Times New Roman" w:cs="Times New Roman"/>
          <w:sz w:val="20"/>
          <w:szCs w:val="20"/>
        </w:rPr>
        <w:t xml:space="preserve"> Maner &amp; Schmidt</w:t>
      </w:r>
    </w:p>
  </w:footnote>
  <w:footnote w:id="79">
    <w:p>
      <w:pPr>
        <w:bidi w:val="0"/>
      </w:pPr>
      <w:r>
        <w:rPr>
          <w:vertAlign w:val="superscript"/>
        </w:rPr>
        <w:footnoteRef/>
      </w:r>
      <w:r>
        <w:rPr>
          <w:rFonts w:ascii="Times New Roman" w:hAnsi="Times New Roman" w:cs="Times New Roman"/>
          <w:sz w:val="20"/>
          <w:szCs w:val="20"/>
        </w:rPr>
        <w:t xml:space="preserve"> Young, Klosko, &amp; Weishaar</w:t>
      </w:r>
    </w:p>
  </w:footnote>
  <w:footnote w:id="80">
    <w:p>
      <w:pPr>
        <w:bidi w:val="0"/>
      </w:pPr>
      <w:r>
        <w:rPr>
          <w:vertAlign w:val="superscript"/>
        </w:rPr>
        <w:footnoteRef/>
      </w:r>
      <w:r>
        <w:rPr>
          <w:rFonts w:ascii="Times New Roman" w:hAnsi="Times New Roman" w:cs="Times New Roman"/>
          <w:sz w:val="20"/>
          <w:szCs w:val="20"/>
        </w:rPr>
        <w:t xml:space="preserve"> Young</w:t>
      </w:r>
    </w:p>
  </w:footnote>
  <w:footnote w:id="81">
    <w:p>
      <w:pPr>
        <w:bidi w:val="0"/>
      </w:pPr>
      <w:r>
        <w:rPr>
          <w:vertAlign w:val="superscript"/>
        </w:rPr>
        <w:footnoteRef/>
      </w:r>
      <w:r>
        <w:rPr>
          <w:rFonts w:ascii="Times New Roman" w:hAnsi="Times New Roman" w:cs="Times New Roman"/>
          <w:sz w:val="20"/>
          <w:szCs w:val="20"/>
        </w:rPr>
        <w:t xml:space="preserve"> Grable &amp; Lytton</w:t>
      </w:r>
    </w:p>
  </w:footnote>
  <w:footnote w:id="82">
    <w:p>
      <w:pPr>
        <w:bidi w:val="0"/>
      </w:pPr>
      <w:r>
        <w:rPr>
          <w:vertAlign w:val="superscript"/>
        </w:rPr>
        <w:footnoteRef/>
      </w:r>
      <w:r>
        <w:rPr>
          <w:rFonts w:ascii="Times New Roman" w:hAnsi="Times New Roman" w:cs="Times New Roman"/>
          <w:sz w:val="20"/>
          <w:szCs w:val="20"/>
        </w:rPr>
        <w:t xml:space="preserve"> Grable</w:t>
      </w:r>
    </w:p>
  </w:footnote>
  <w:footnote w:id="83">
    <w:p>
      <w:pPr>
        <w:bidi w:val="0"/>
      </w:pPr>
      <w:r>
        <w:rPr>
          <w:vertAlign w:val="superscript"/>
        </w:rPr>
        <w:footnoteRef/>
      </w:r>
      <w:r>
        <w:rPr>
          <w:rFonts w:ascii="Times New Roman" w:hAnsi="Times New Roman" w:cs="Times New Roman"/>
          <w:sz w:val="20"/>
          <w:szCs w:val="20"/>
        </w:rPr>
        <w:t xml:space="preserve"> Baddeley et al.</w:t>
      </w:r>
    </w:p>
  </w:footnote>
  <w:footnote w:id="84">
    <w:p>
      <w:pPr>
        <w:bidi w:val="0"/>
      </w:pPr>
      <w:r>
        <w:rPr>
          <w:vertAlign w:val="superscript"/>
        </w:rPr>
        <w:footnoteRef/>
      </w:r>
      <w:r>
        <w:rPr>
          <w:rFonts w:ascii="Times New Roman" w:hAnsi="Times New Roman" w:cs="Times New Roman"/>
          <w:sz w:val="20"/>
          <w:szCs w:val="20"/>
        </w:rPr>
        <w:t xml:space="preserve"> Barlow</w:t>
      </w:r>
    </w:p>
  </w:footnote>
  <w:footnote w:id="85">
    <w:p>
      <w:pPr>
        <w:bidi w:val="0"/>
      </w:pPr>
      <w:r>
        <w:rPr>
          <w:vertAlign w:val="superscript"/>
        </w:rPr>
        <w:footnoteRef/>
      </w:r>
      <w:r>
        <w:rPr>
          <w:rFonts w:ascii="Times New Roman" w:hAnsi="Times New Roman" w:cs="Times New Roman"/>
          <w:sz w:val="20"/>
          <w:szCs w:val="20"/>
        </w:rPr>
        <w:t xml:space="preserve"> Borkovec</w:t>
      </w:r>
    </w:p>
  </w:footnote>
  <w:footnote w:id="86">
    <w:p>
      <w:pPr>
        <w:bidi w:val="0"/>
      </w:pPr>
      <w:r>
        <w:rPr>
          <w:vertAlign w:val="superscript"/>
        </w:rPr>
        <w:footnoteRef/>
      </w:r>
      <w:r>
        <w:rPr>
          <w:rFonts w:ascii="Times New Roman" w:hAnsi="Times New Roman" w:cs="Times New Roman"/>
          <w:sz w:val="20"/>
          <w:szCs w:val="20"/>
        </w:rPr>
        <w:t xml:space="preserve"> Kaplan &amp; Sadock</w:t>
      </w:r>
    </w:p>
  </w:footnote>
  <w:footnote w:id="87">
    <w:p>
      <w:pPr>
        <w:bidi w:val="0"/>
      </w:pPr>
      <w:r>
        <w:rPr>
          <w:vertAlign w:val="superscript"/>
        </w:rPr>
        <w:footnoteRef/>
      </w:r>
      <w:r>
        <w:rPr>
          <w:rFonts w:ascii="Times New Roman" w:hAnsi="Times New Roman" w:cs="Times New Roman"/>
          <w:sz w:val="20"/>
          <w:szCs w:val="20"/>
        </w:rPr>
        <w:t xml:space="preserve"> Mitte</w:t>
      </w:r>
    </w:p>
  </w:footnote>
  <w:footnote w:id="88">
    <w:p>
      <w:pPr>
        <w:bidi w:val="0"/>
      </w:pPr>
      <w:r>
        <w:rPr>
          <w:vertAlign w:val="superscript"/>
        </w:rPr>
        <w:footnoteRef/>
      </w:r>
      <w:r>
        <w:rPr>
          <w:rFonts w:ascii="Times New Roman" w:hAnsi="Times New Roman" w:cs="Times New Roman"/>
          <w:sz w:val="20"/>
          <w:szCs w:val="20"/>
        </w:rPr>
        <w:t xml:space="preserve"> Hartley &amp; Phelps</w:t>
      </w:r>
    </w:p>
  </w:footnote>
  <w:footnote w:id="89">
    <w:p>
      <w:pPr>
        <w:bidi w:val="0"/>
      </w:pPr>
      <w:r>
        <w:rPr>
          <w:vertAlign w:val="superscript"/>
        </w:rPr>
        <w:footnoteRef/>
      </w:r>
      <w:r>
        <w:rPr>
          <w:rFonts w:ascii="Times New Roman" w:hAnsi="Times New Roman" w:cs="Times New Roman"/>
          <w:sz w:val="20"/>
          <w:szCs w:val="20"/>
        </w:rPr>
        <w:t xml:space="preserve"> American Psychiatric Association</w:t>
      </w:r>
    </w:p>
  </w:footnote>
  <w:footnote w:id="90">
    <w:p>
      <w:pPr>
        <w:bidi w:val="0"/>
      </w:pPr>
      <w:r>
        <w:rPr>
          <w:vertAlign w:val="superscript"/>
        </w:rPr>
        <w:footnoteRef/>
      </w:r>
      <w:r>
        <w:rPr>
          <w:rFonts w:ascii="Times New Roman" w:hAnsi="Times New Roman" w:cs="Times New Roman"/>
          <w:sz w:val="20"/>
          <w:szCs w:val="20"/>
        </w:rPr>
        <w:t xml:space="preserve"> Gambetti &amp; Giusberti</w:t>
      </w:r>
    </w:p>
  </w:footnote>
  <w:footnote w:id="91">
    <w:p>
      <w:pPr>
        <w:bidi w:val="0"/>
      </w:pPr>
      <w:r>
        <w:rPr>
          <w:vertAlign w:val="superscript"/>
        </w:rPr>
        <w:footnoteRef/>
      </w:r>
      <w:r>
        <w:rPr>
          <w:rFonts w:ascii="Times New Roman" w:hAnsi="Times New Roman" w:cs="Times New Roman"/>
          <w:sz w:val="20"/>
          <w:szCs w:val="20"/>
        </w:rPr>
        <w:t xml:space="preserve"> Lo et al.</w:t>
      </w:r>
    </w:p>
  </w:footnote>
  <w:footnote w:id="92">
    <w:p>
      <w:pPr>
        <w:bidi w:val="0"/>
      </w:pPr>
      <w:r>
        <w:rPr>
          <w:vertAlign w:val="superscript"/>
        </w:rPr>
        <w:footnoteRef/>
      </w:r>
      <w:r>
        <w:rPr>
          <w:rFonts w:ascii="Times New Roman" w:hAnsi="Times New Roman" w:cs="Times New Roman"/>
          <w:sz w:val="20"/>
          <w:szCs w:val="20"/>
        </w:rPr>
        <w:t xml:space="preserve"> De Martino et al.</w:t>
      </w:r>
    </w:p>
  </w:footnote>
  <w:footnote w:id="93">
    <w:p>
      <w:pPr>
        <w:bidi w:val="0"/>
      </w:pPr>
      <w:r>
        <w:rPr>
          <w:vertAlign w:val="superscript"/>
        </w:rPr>
        <w:footnoteRef/>
      </w:r>
      <w:r>
        <w:rPr>
          <w:rFonts w:ascii="Times New Roman" w:hAnsi="Times New Roman" w:cs="Times New Roman"/>
          <w:sz w:val="20"/>
          <w:szCs w:val="20"/>
        </w:rPr>
        <w:t xml:space="preserve"> Kuhnen &amp; Chiao</w:t>
      </w:r>
    </w:p>
  </w:footnote>
  <w:footnote w:id="94">
    <w:p>
      <w:pPr>
        <w:bidi w:val="0"/>
      </w:pPr>
      <w:r>
        <w:rPr>
          <w:vertAlign w:val="superscript"/>
        </w:rPr>
        <w:footnoteRef/>
      </w:r>
      <w:r>
        <w:rPr>
          <w:rFonts w:ascii="Times New Roman" w:hAnsi="Times New Roman" w:cs="Times New Roman"/>
          <w:sz w:val="20"/>
          <w:szCs w:val="20"/>
        </w:rPr>
        <w:t xml:space="preserve"> Sigmund Freud</w:t>
      </w:r>
    </w:p>
  </w:footnote>
  <w:footnote w:id="95">
    <w:p>
      <w:pPr>
        <w:bidi w:val="0"/>
      </w:pPr>
      <w:r>
        <w:rPr>
          <w:vertAlign w:val="superscript"/>
        </w:rPr>
        <w:footnoteRef/>
      </w:r>
      <w:r>
        <w:rPr>
          <w:rFonts w:ascii="Times New Roman" w:hAnsi="Times New Roman" w:cs="Times New Roman"/>
          <w:sz w:val="20"/>
          <w:szCs w:val="20"/>
        </w:rPr>
        <w:t xml:space="preserve"> Albert Ellis</w:t>
      </w:r>
    </w:p>
  </w:footnote>
  <w:footnote w:id="96">
    <w:p>
      <w:pPr>
        <w:bidi w:val="0"/>
      </w:pPr>
      <w:r>
        <w:rPr>
          <w:vertAlign w:val="superscript"/>
        </w:rPr>
        <w:footnoteRef/>
      </w:r>
      <w:r>
        <w:rPr>
          <w:rFonts w:ascii="Times New Roman" w:hAnsi="Times New Roman" w:cs="Times New Roman"/>
          <w:sz w:val="20"/>
          <w:szCs w:val="20"/>
        </w:rPr>
        <w:t xml:space="preserve"> Daniel, Hirshleifer, &amp; Subrahmanyam</w:t>
      </w:r>
    </w:p>
  </w:footnote>
  <w:footnote w:id="97">
    <w:p>
      <w:pPr>
        <w:bidi w:val="0"/>
      </w:pPr>
      <w:r>
        <w:rPr>
          <w:vertAlign w:val="superscript"/>
        </w:rPr>
        <w:footnoteRef/>
      </w:r>
      <w:r>
        <w:rPr>
          <w:rFonts w:ascii="Times New Roman" w:hAnsi="Times New Roman" w:cs="Times New Roman"/>
          <w:sz w:val="20"/>
          <w:szCs w:val="20"/>
        </w:rPr>
        <w:t xml:space="preserve"> Rollo May</w:t>
      </w:r>
    </w:p>
  </w:footnote>
  <w:footnote w:id="98">
    <w:p>
      <w:pPr>
        <w:bidi w:val="0"/>
      </w:pPr>
      <w:r>
        <w:rPr>
          <w:vertAlign w:val="superscript"/>
        </w:rPr>
        <w:footnoteRef/>
      </w:r>
      <w:r>
        <w:rPr>
          <w:rFonts w:ascii="Times New Roman" w:hAnsi="Times New Roman" w:cs="Times New Roman"/>
          <w:sz w:val="20"/>
          <w:szCs w:val="20"/>
        </w:rPr>
        <w:t xml:space="preserve"> Yalom</w:t>
      </w:r>
    </w:p>
  </w:footnote>
  <w:footnote w:id="99">
    <w:p>
      <w:pPr>
        <w:bidi w:val="0"/>
      </w:pPr>
      <w:r>
        <w:rPr>
          <w:vertAlign w:val="superscript"/>
        </w:rPr>
        <w:footnoteRef/>
      </w:r>
      <w:r>
        <w:rPr>
          <w:rFonts w:ascii="Times New Roman" w:hAnsi="Times New Roman" w:cs="Times New Roman"/>
          <w:sz w:val="20"/>
          <w:szCs w:val="20"/>
        </w:rPr>
        <w:t xml:space="preserve"> Charles &amp; Kasilingam</w:t>
      </w:r>
    </w:p>
  </w:footnote>
  <w:footnote w:id="100">
    <w:p>
      <w:pPr>
        <w:bidi w:val="0"/>
      </w:pPr>
      <w:r>
        <w:rPr>
          <w:vertAlign w:val="superscript"/>
        </w:rPr>
        <w:footnoteRef/>
      </w:r>
      <w:r>
        <w:rPr>
          <w:rFonts w:ascii="Times New Roman" w:hAnsi="Times New Roman" w:cs="Times New Roman"/>
          <w:sz w:val="20"/>
          <w:szCs w:val="20"/>
        </w:rPr>
        <w:t xml:space="preserve"> An et al.</w:t>
      </w:r>
    </w:p>
  </w:footnote>
  <w:footnote w:id="101">
    <w:p>
      <w:pPr>
        <w:bidi w:val="0"/>
      </w:pPr>
      <w:r>
        <w:rPr>
          <w:vertAlign w:val="superscript"/>
        </w:rPr>
        <w:footnoteRef/>
      </w:r>
      <w:r>
        <w:rPr>
          <w:rFonts w:ascii="Times New Roman" w:hAnsi="Times New Roman" w:cs="Times New Roman"/>
          <w:sz w:val="20"/>
          <w:szCs w:val="20"/>
        </w:rPr>
        <w:t xml:space="preserve"> Vieira et al.</w:t>
      </w:r>
    </w:p>
  </w:footnote>
  <w:footnote w:id="102">
    <w:p>
      <w:pPr>
        <w:bidi w:val="0"/>
      </w:pPr>
      <w:r>
        <w:rPr>
          <w:vertAlign w:val="superscript"/>
        </w:rPr>
        <w:footnoteRef/>
      </w:r>
      <w:r>
        <w:rPr>
          <w:rFonts w:ascii="Times New Roman" w:hAnsi="Times New Roman" w:cs="Times New Roman"/>
          <w:sz w:val="20"/>
          <w:szCs w:val="20"/>
        </w:rPr>
        <w:t xml:space="preserve"> Schmidt et al.</w:t>
      </w:r>
    </w:p>
  </w:footnote>
  <w:footnote w:id="103">
    <w:p>
      <w:pPr>
        <w:bidi w:val="0"/>
      </w:pPr>
      <w:r>
        <w:rPr>
          <w:vertAlign w:val="superscript"/>
        </w:rPr>
        <w:footnoteRef/>
      </w:r>
      <w:r>
        <w:rPr>
          <w:rFonts w:ascii="Times New Roman" w:hAnsi="Times New Roman" w:cs="Times New Roman"/>
          <w:sz w:val="20"/>
          <w:szCs w:val="20"/>
        </w:rPr>
        <w:t xml:space="preserve"> Saggino et al.</w:t>
      </w:r>
    </w:p>
  </w:footnote>
  <w:footnote w:id="104">
    <w:p>
      <w:pPr>
        <w:bidi w:val="0"/>
      </w:pPr>
      <w:r>
        <w:rPr>
          <w:vertAlign w:val="superscript"/>
        </w:rPr>
        <w:footnoteRef/>
      </w:r>
      <w:r>
        <w:rPr>
          <w:rFonts w:ascii="Times New Roman" w:hAnsi="Times New Roman" w:cs="Times New Roman"/>
          <w:sz w:val="20"/>
          <w:szCs w:val="20"/>
        </w:rPr>
        <w:t xml:space="preserve"> Hayes</w:t>
      </w:r>
    </w:p>
  </w:footnote>
  <w:footnote w:id="105">
    <w:p>
      <w:pPr>
        <w:bidi w:val="0"/>
      </w:pPr>
      <w:r>
        <w:rPr>
          <w:vertAlign w:val="superscript"/>
        </w:rPr>
        <w:footnoteRef/>
      </w:r>
      <w:r>
        <w:rPr>
          <w:rFonts w:ascii="Times New Roman" w:hAnsi="Times New Roman" w:cs="Times New Roman"/>
          <w:sz w:val="20"/>
          <w:szCs w:val="20"/>
        </w:rPr>
        <w:t xml:space="preserve"> Estévez et al.</w:t>
      </w:r>
    </w:p>
  </w:footnote>
  <w:footnote w:id="106">
    <w:p>
      <w:pPr>
        <w:bidi w:val="0"/>
      </w:pPr>
      <w:r>
        <w:rPr>
          <w:vertAlign w:val="superscript"/>
        </w:rPr>
        <w:footnoteRef/>
      </w:r>
      <w:r>
        <w:rPr>
          <w:rFonts w:ascii="Times New Roman" w:hAnsi="Times New Roman" w:cs="Times New Roman"/>
          <w:sz w:val="20"/>
          <w:szCs w:val="20"/>
        </w:rPr>
        <w:t xml:space="preserve"> Safitri et al.</w:t>
      </w:r>
    </w:p>
  </w:footnote>
  <w:footnote w:id="107">
    <w:p>
      <w:pPr>
        <w:bidi w:val="0"/>
      </w:pPr>
      <w:r>
        <w:rPr>
          <w:vertAlign w:val="superscript"/>
        </w:rPr>
        <w:footnoteRef/>
      </w:r>
      <w:r>
        <w:rPr>
          <w:rFonts w:ascii="Times New Roman" w:hAnsi="Times New Roman" w:cs="Times New Roman"/>
          <w:sz w:val="20"/>
          <w:szCs w:val="20"/>
        </w:rPr>
        <w:t xml:space="preserve"> Ololo et al.</w:t>
      </w:r>
    </w:p>
  </w:footnote>
  <w:footnote w:id="108">
    <w:p>
      <w:pPr>
        <w:bidi w:val="0"/>
      </w:pPr>
      <w:r>
        <w:rPr>
          <w:vertAlign w:val="superscript"/>
        </w:rPr>
        <w:footnoteRef/>
      </w:r>
      <w:r>
        <w:rPr>
          <w:rFonts w:ascii="Times New Roman" w:hAnsi="Times New Roman" w:cs="Times New Roman"/>
          <w:sz w:val="20"/>
          <w:szCs w:val="20"/>
        </w:rPr>
        <w:t xml:space="preserve"> Sedighi Arfaee et al.</w:t>
      </w:r>
    </w:p>
  </w:footnote>
  <w:footnote w:id="109">
    <w:p>
      <w:pPr>
        <w:bidi w:val="0"/>
      </w:pPr>
      <w:r>
        <w:rPr>
          <w:vertAlign w:val="superscript"/>
        </w:rPr>
        <w:footnoteRef/>
      </w:r>
      <w:r>
        <w:rPr>
          <w:rFonts w:ascii="Times New Roman" w:hAnsi="Times New Roman" w:cs="Times New Roman"/>
          <w:sz w:val="20"/>
          <w:szCs w:val="20"/>
        </w:rPr>
        <w:t xml:space="preserve"> Arena et al.</w:t>
      </w:r>
    </w:p>
  </w:footnote>
  <w:footnote w:id="110">
    <w:p>
      <w:pPr>
        <w:bidi w:val="0"/>
      </w:pPr>
      <w:r>
        <w:rPr>
          <w:vertAlign w:val="superscript"/>
        </w:rPr>
        <w:footnoteRef/>
      </w:r>
      <w:r>
        <w:rPr>
          <w:rFonts w:ascii="Times New Roman" w:hAnsi="Times New Roman" w:cs="Times New Roman"/>
          <w:sz w:val="20"/>
          <w:szCs w:val="20"/>
        </w:rPr>
        <w:t xml:space="preserve"> Rehm et al.</w:t>
      </w:r>
    </w:p>
  </w:footnote>
  <w:footnote w:id="111">
    <w:p>
      <w:pPr>
        <w:bidi w:val="0"/>
      </w:pPr>
      <w:r>
        <w:rPr>
          <w:vertAlign w:val="superscript"/>
        </w:rPr>
        <w:footnoteRef/>
      </w:r>
      <w:r>
        <w:rPr>
          <w:rFonts w:ascii="Times New Roman" w:hAnsi="Times New Roman" w:cs="Times New Roman"/>
          <w:sz w:val="20"/>
          <w:szCs w:val="20"/>
        </w:rPr>
        <w:t xml:space="preserve"> Fenton-O'Creevy et al., 2011</w:t>
      </w:r>
    </w:p>
  </w:footnote>
  <w:footnote w:id="112">
    <w:p>
      <w:pPr>
        <w:bidi w:val="0"/>
      </w:pPr>
      <w:r>
        <w:rPr>
          <w:vertAlign w:val="superscript"/>
        </w:rPr>
        <w:footnoteRef/>
      </w:r>
      <w:r>
        <w:rPr>
          <w:rFonts w:ascii="Times New Roman" w:hAnsi="Times New Roman" w:cs="Times New Roman"/>
          <w:sz w:val="20"/>
          <w:szCs w:val="20"/>
        </w:rPr>
        <w:t xml:space="preserve"> Halvorsen et al.</w:t>
      </w:r>
    </w:p>
  </w:footnote>
  <w:footnote w:id="113">
    <w:p>
      <w:pPr>
        <w:bidi w:val="0"/>
      </w:pPr>
      <w:r>
        <w:rPr>
          <w:vertAlign w:val="superscript"/>
        </w:rPr>
        <w:footnoteRef/>
      </w:r>
      <w:r>
        <w:rPr>
          <w:rFonts w:ascii="Times New Roman" w:hAnsi="Times New Roman" w:cs="Times New Roman"/>
          <w:sz w:val="20"/>
          <w:szCs w:val="20"/>
        </w:rPr>
        <w:t xml:space="preserve"> Lo &amp; Repin</w:t>
      </w:r>
    </w:p>
  </w:footnote>
  <w:footnote w:id="114">
    <w:p>
      <w:pPr>
        <w:bidi w:val="0"/>
      </w:pPr>
      <w:r>
        <w:rPr>
          <w:vertAlign w:val="superscript"/>
        </w:rPr>
        <w:footnoteRef/>
      </w:r>
      <w:r>
        <w:rPr>
          <w:rFonts w:ascii="Times New Roman" w:hAnsi="Times New Roman" w:cs="Times New Roman"/>
          <w:sz w:val="20"/>
          <w:szCs w:val="20"/>
        </w:rPr>
        <w:t xml:space="preserve"> Kline</w:t>
      </w:r>
    </w:p>
  </w:footnote>
  <w:footnote w:id="115">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updateField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ns1="http://schemas.openxmlformats.org/markup-compatibility/2006" xmlns:w="http://schemas.openxmlformats.org/wordprocessingml/2006/main" ns1: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TOC1">
    <w:name w:val="toc 1"/>
    <w:basedOn w:val="Normal"/>
    <w:next w:val="Normal"/>
    <w:semiHidden/>
    <w:unhideWhenUsed/>
    <w:pPr>
      <w:tabs>
        <w:tab w:val="left" w:leader="dot" w:pos="8221"/>
      </w:tabs>
      <w:jc w:val="right"/>
      <w:bidi w:val="1"/>
    </w:pPr>
    <w:rPr>
      <w:rFonts w:ascii="Times New Roman" w:hAnsi="Times New Roman" w:cs="B Nazanin"/>
      <w:b/>
      <w:bCs/>
      <w:sz w:val="24"/>
      <w:szCs w:val="24"/>
      <w:rtl/>
    </w:rPr>
  </w:style>
  <w:style w:type="paragraph" w:styleId="TOC2">
    <w:name w:val="toc 2"/>
    <w:basedOn w:val="Normal"/>
    <w:next w:val="Normal"/>
    <w:semiHidden/>
    <w:unhideWhenUsed/>
    <w:pPr>
      <w:tabs>
        <w:tab w:val="left" w:leader="dot" w:pos="8221"/>
      </w:tabs>
      <w:jc w:val="right"/>
      <w:bidi w:val="1"/>
    </w:pPr>
    <w:rPr>
      <w:rFonts w:ascii="Times New Roman" w:hAnsi="Times New Roman" w:cs="B Nazanin"/>
      <w:sz w:val="24"/>
      <w:szCs w:val="24"/>
      <w:rtl/>
    </w:rPr>
  </w:style>
  <w:style w:type="paragraph" w:styleId="TOC3">
    <w:name w:val="toc 3"/>
    <w:basedOn w:val="Normal"/>
    <w:next w:val="Normal"/>
    <w:semiHidden/>
    <w:unhideWhenUsed/>
    <w:pPr>
      <w:tabs>
        <w:tab w:val="left" w:leader="dot" w:pos="8221"/>
      </w:tabs>
      <w:jc w:val="right"/>
      <w:bidi w:val="1"/>
    </w:pPr>
    <w:rPr>
      <w:rFonts w:ascii="Times New Roman" w:hAnsi="Times New Roman" w:cs="B Nazanin"/>
      <w:sz w:val="24"/>
      <w:szCs w:val="24"/>
      <w:rtl/>
    </w:rPr>
  </w:style>
  <w:style w:type="paragraph" w:styleId="tableoffigures">
    <w:name w:val="Table of Figures"/>
    <w:basedOn w:val="Normal"/>
    <w:next w:val="Normal"/>
    <w:semiHidden/>
    <w:unhideWhenUsed/>
    <w:pPr>
      <w:tabs>
        <w:tab w:val="left" w:leader="dot" w:pos="8221"/>
      </w:tabs>
      <w:jc w:val="right"/>
      <w:bidi w:val="1"/>
    </w:pPr>
    <w:rPr>
      <w:rFonts w:ascii="Times New Roman" w:hAnsi="Times New Roman" w:cs="B Nazanin"/>
      <w:sz w:val="24"/>
      <w:szCs w:val="24"/>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ns0:Relationships xmlns:ns0="http://schemas.openxmlformats.org/package/2006/relationships"><ns0:Relationship Id="rId3" Type="http://schemas.openxmlformats.org/officeDocument/2006/relationships/styles" Target="styles.xml" /><ns0:Relationship Id="rId4" Type="http://schemas.microsoft.com/office/2007/relationships/stylesWithEffects" Target="stylesWithEffects.xml" /><ns0:Relationship Id="rId5" Type="http://schemas.openxmlformats.org/officeDocument/2006/relationships/settings" Target="settings.xml" /><ns0:Relationship Id="rId6" Type="http://schemas.openxmlformats.org/officeDocument/2006/relationships/webSettings" Target="webSettings.xml" /><ns0:Relationship Id="rId7" Type="http://schemas.openxmlformats.org/officeDocument/2006/relationships/fontTable" Target="fontTable.xml" /><ns0:Relationship Id="rId8" Type="http://schemas.openxmlformats.org/officeDocument/2006/relationships/theme" Target="theme/theme1.xml" /><ns0:Relationship Id="rId1" Type="http://schemas.openxmlformats.org/officeDocument/2006/relationships/customXml" Target="../customXml/item1.xml" /><ns0:Relationship Id="rId2" Type="http://schemas.openxmlformats.org/officeDocument/2006/relationships/numbering" Target="numbering.xml" /><ns0:Relationship Id="rId19" Type="http://schemas.openxmlformats.org/officeDocument/2006/relationships/footnotes" Target="footnotes.xml" /><ns0:Relationship Id="rId20" Type="http://schemas.openxmlformats.org/package/2006/relationships/footer" Target="footer1.xml" /><ns0:Relationship Id="rId21" Type="http://schemas.openxmlformats.org/package/2006/relationships/footer" Target="footer2.xml" /><ns0:Relationship Id="rId22" Type="http://schemas.openxmlformats.org/package/2006/relationships/footer" Target="footer3.xml" /><ns0:Relationship Id="rId23" Type="http://schemas.openxmlformats.org/package/2006/relationships/image" Target="media/image1.png"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