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عملیاتی تدوین شد: سه فرضیه فرعی درباره روابط دوتایی متغیرها و یک فرضیه اصلی درباره الگوی میانجی‌گری؛ و در این فصل، شواهد لازم برای آزمون هر چهار فرضیه به‌ترتیب و با رعایت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بررسی پایایی ابزارهای اندازه‌گیری با ضریب آلفای کرونباخ؛ ارزیابی پیش‌فرض‌های تحلیل استنباطی شامل نرمال بودن توزیع‌ها، نبود داده‌های پرت چندمتغیره، عدم هم‌خطی و استقلال پسماندها؛ آزمون فرضیه‌های فرعی با ضریب همبستگی پیرسون؛ و در نهایت آزمون فرضیه اصلی با تحلیل میانجی‌گری بر اساس الگوی مدل ۴ هایز همراه با بوت‌استرپ ۵۰۰۰ بازنمونه‌گیری. به‌منظور پشتیابی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بخش ۴-۵ به پایایی ابزارها، بخش ۴-۶ به بررسی پیش‌فرض‌های آماری، بخش ۴-۷ به همبستگی پیرسون و آزمون فرضیه‌های فرعی، بخش ۴-۸ به آزمون فرضیه اصلی با تحلیل میانجی‌گری، بخش ۴-۹ به مدل‌سازی معادلات ساختاری و بخش ۴-۱۰ به جمع‌بندی نتایج اختصاص دارد.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B Nazanin" w:hAnsi="B Nazanin" w:cs="B Nazanin" w:hint="cs"/>
          <w:vertAlign w:val="superscript"/>
          <w:rtl/>
        </w:rPr>
        <w:footnoteReference w:id="1"/>
      </w:r>
      <w:r>
        <w:rPr>
          <w:rFonts w:ascii="B Nazanin" w:hAnsi="B Nazanin" w:cs="B Nazanin" w:hint="cs"/>
          <w:sz w:val="24"/>
          <w:szCs w:val="24"/>
          <w:rtl/>
          <w:lang w:bidi="fa-IR"/>
        </w:rPr>
        <w:t xml:space="preserve"> 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چهار دلیل حذف دقیقاً منفصل‌الوجودند (هر فرد حداکثر یک دلیل) و جمع مراحل ۷ + ۱۴ + ۱۱ + ۹ = ۴۱ است؛ پس از ۲۱۲ پاسخ خام، ۱۷۱ پاسخ معتبر باقی ماند (۸۰٫۷٪) و ۴۱ حذف شد (۱۹٫۳٪).</w:t>
      </w:r>
    </w:p>
    <w:p>
      <w:pPr>
        <w:bidi w:val="1"/>
        <w:spacing w:lineRule="exact" w:line="580" w:after="0"/>
        <w:jc w:val="both"/>
      </w:pPr>
      <w:r>
        <w:rPr>
          <w:rFonts w:ascii="B Nazanin" w:hAnsi="B Nazanin" w:cs="B Nazanin" w:hint="cs"/>
          <w:sz w:val="24"/>
          <w:szCs w:val="24"/>
          <w:rtl/>
          <w:lang w:bidi="fa-IR"/>
        </w:rPr>
        <w:t xml:space="preserve">یادداشت روش‌شناختی: اگر دلایل حذف هم‌پوشانی داشته باشند، جمع شمارش هر دلیل با تعداد کل حذف‌شدگان برابر نمی‌شود؛ در این پژوهش معیارها به‌صورت سلسله‌مراتبی و به‌ترتیب اجرا شده‌اند، بنابراین هر پاسخ‌دهنده تنها در نخستین مرحله حذفش شمرده می‌شود و جمع شمارش‌ها با تعداد کل حذف‌شدگان می‌خواند.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jc w:val="center"/>
            </w:pPr>
            <w:r/>
            <w:r>
              <w:rPr>
                <w:b w:val="0"/>
                <w:sz w:val="22"/>
              </w:rPr>
              <w:t>212</w:t>
            </w:r>
          </w:p>
        </w:tc>
        <w:tc>
          <w:tcPr>
            <w:tcW w:type="dxa" w:w="2740"/>
          </w:tcPr>
          <w:p>
            <w:pPr>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jc w:val="center"/>
            </w:pPr>
            <w:r/>
            <w:r>
              <w:rPr>
                <w:b w:val="0"/>
                <w:sz w:val="22"/>
              </w:rPr>
              <w:t>11</w:t>
            </w:r>
          </w:p>
        </w:tc>
        <w:tc>
          <w:tcPr>
            <w:tcW w:type="dxa" w:w="2740"/>
          </w:tcPr>
          <w:p>
            <w:pPr>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نمونهٔ نهایی معتبر</w:t>
            </w:r>
          </w:p>
        </w:tc>
        <w:tc>
          <w:tcPr>
            <w:tcW w:type="dxa" w:w="2740"/>
          </w:tcPr>
          <w:p>
            <w:pPr>
              <w:jc w:val="center"/>
            </w:pPr>
            <w:r/>
            <w:r>
              <w:rPr>
                <w:b w:val="0"/>
                <w:sz w:val="22"/>
              </w:rPr>
              <w:t>171</w:t>
            </w:r>
          </w:p>
        </w:tc>
        <w:tc>
          <w:tcPr>
            <w:tcW w:type="dxa" w:w="2740"/>
          </w:tcPr>
          <w:p>
            <w:pPr>
              <w:jc w:val="center"/>
            </w:pPr>
            <w:r/>
            <w:r>
              <w:rPr>
                <w:b w:val="0"/>
                <w:sz w:val="22"/>
              </w:rPr>
              <w:t>—</w:t>
            </w:r>
          </w:p>
        </w:tc>
      </w:tr>
    </w:tbl>
    <w:p>
      <w:pPr>
        <w:bidi w:val="1"/>
        <w:spacing w:lineRule="exact" w:line="580" w:after="0"/>
        <w:jc w:val="both"/>
      </w:pPr>
      <w:r>
        <w:rPr>
          <w:rFonts w:ascii="B Nazanin" w:hAnsi="B Nazanin" w:cs="B Nazanin" w:hint="cs"/>
          <w:sz w:val="24"/>
          <w:szCs w:val="24"/>
          <w:rtl/>
          <w:lang w:bidi="fa-IR"/>
        </w:rPr>
        <w:t xml:space="preserve">درصد حذف از نسبت ۴۱ به ۲۱۲ (= ۱۹٫۳۴٪) محاسبه شده و در محدوده متعارف پژوهش‌های آنلاین (۱۰ تا ۲۰٪) قرار دارد. میانه زمان تکمیل در نمونه معتبر حدود ۸ دقیقه بود و بازه چارکی آن ۵٫۷۰ تا ۱۲٫۰۹ دقیقه به طول انجامید؛ دنباله آهسته توزیع زمان (بیشینه ۳۸ دقیقه) با الگوی طبیعی تکمیل دقت‌محور هم‌خوان است. در نمونه نهایی، داده گم‌شده در گویه‌ها باقی نماند، زیرا سامانه برای پرونده‌های معتبر تکمیل اجباری اقلام را اعمال کرده بود.</w:t>
      </w:r>
    </w:p>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با ساختار سنی جامعه معامله‌گران آنلاین در پژوهش‌های پیشین هم‌خوان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با شکاف جنسیتی گزارش‌شده در مشارکت بازارهای پرریسک سازگار است؛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 این ترکیب، توان شناختی لازم برای درک گویه‌های مالی و روان‌شناختی را تأمین می‌کند و احتمال پاسخ‌دهی نابه‌جا را کاهش می‌دهد.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معاملاتی همبستگی رتبه‌ای مثبت و ملایمی وجود داشت </w:t>
      </w:r>
      <w:r>
        <w:rPr>
          <w:rFonts w:ascii="Times New Roman" w:hAnsi="Times New Roman" w:cs="Times New Roman"/>
          <w:sz w:val="22"/>
          <w:szCs w:val="22"/>
          <w:lang w:val="en-US"/>
        </w:rPr>
        <w:t xml:space="preserve">(rS = 0.17)</w:t>
      </w:r>
      <w:r>
        <w:rPr>
          <w:rFonts w:ascii="B Nazanin" w:hAnsi="B Nazanin" w:cs="B Nazanin" w:hint="cs"/>
          <w:sz w:val="24"/>
          <w:szCs w:val="24"/>
          <w:rtl/>
          <w:lang w:bidi="fa-IR"/>
        </w:rPr>
        <w:t xml:space="preserve">؛ یعنی معامله‌گران باتجربه‌تر عملاً درگیر تعداد معاملات بیشتری بودند؛ این همبستگیِ کم‌شدت با الگوی رایج در مطالعات رفتار معامله‌گران هم‌جهت است.</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jc w:val="center"/>
            </w:pPr>
            <w:r/>
            <w:r>
              <w:rPr>
                <w:b w:val="0"/>
                <w:sz w:val="22"/>
              </w:rPr>
              <w:t>113</w:t>
            </w:r>
          </w:p>
        </w:tc>
        <w:tc>
          <w:tcPr>
            <w:tcW w:type="dxa" w:w="2055"/>
          </w:tcPr>
          <w:p>
            <w:pPr>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jc w:val="center"/>
            </w:pPr>
            <w:r/>
            <w:r>
              <w:rPr>
                <w:b w:val="0"/>
                <w:sz w:val="22"/>
              </w:rPr>
              <w:t>58</w:t>
            </w:r>
          </w:p>
        </w:tc>
        <w:tc>
          <w:tcPr>
            <w:tcW w:type="dxa" w:w="2055"/>
          </w:tcPr>
          <w:p>
            <w:pPr>
              <w:jc w:val="center"/>
            </w:pPr>
            <w:r/>
            <w:r>
              <w:rPr>
                <w:b w:val="0"/>
                <w:sz w:val="22"/>
              </w:rPr>
              <w:t>33.92</w:t>
            </w:r>
          </w:p>
        </w:tc>
      </w:tr>
      <w:tr>
        <w:tc>
          <w:tcPr>
            <w:tcW w:type="dxa" w:w="2055"/>
          </w:tcPr>
          <w:p>
            <w:pPr>
              <w:bidi w:val="1"/>
              <w:jc w:val="center"/>
            </w:pPr>
            <w:r/>
            <w:r>
              <w:rPr>
                <w:b w:val="0"/>
                <w:sz w:val="22"/>
              </w:rPr>
              <w:t>سن (سال)</w:t>
            </w:r>
          </w:p>
        </w:tc>
        <w:tc>
          <w:tcPr>
            <w:tcW w:type="dxa" w:w="2055"/>
          </w:tcPr>
          <w:p>
            <w:pPr>
              <w:jc w:val="center"/>
            </w:pPr>
            <w:r/>
            <w:r>
              <w:rPr>
                <w:b w:val="0"/>
                <w:sz w:val="22"/>
              </w:rPr>
              <w:t>26-35</w:t>
            </w:r>
          </w:p>
        </w:tc>
        <w:tc>
          <w:tcPr>
            <w:tcW w:type="dxa" w:w="2055"/>
          </w:tcPr>
          <w:p>
            <w:pPr>
              <w:jc w:val="center"/>
            </w:pPr>
            <w:r/>
            <w:r>
              <w:rPr>
                <w:b w:val="0"/>
                <w:sz w:val="22"/>
              </w:rPr>
              <w:t>63</w:t>
            </w:r>
          </w:p>
        </w:tc>
        <w:tc>
          <w:tcPr>
            <w:tcW w:type="dxa" w:w="2055"/>
          </w:tcPr>
          <w:p>
            <w:pPr>
              <w:jc w:val="center"/>
            </w:pPr>
            <w:r/>
            <w:r>
              <w:rPr>
                <w:b w:val="0"/>
                <w:sz w:val="22"/>
              </w:rPr>
              <w:t>36.84</w:t>
            </w:r>
          </w:p>
        </w:tc>
      </w:tr>
      <w:tr>
        <w:tc>
          <w:tcPr>
            <w:tcW w:type="dxa" w:w="2055"/>
          </w:tcPr>
          <w:p>
            <w:pPr>
              <w:bidi w:val="1"/>
              <w:jc w:val="center"/>
            </w:pPr>
            <w:r/>
            <w:r>
              <w:rPr>
                <w:b w:val="0"/>
                <w:sz w:val="22"/>
              </w:rPr>
              <w:t>سن (سال)</w:t>
            </w:r>
          </w:p>
        </w:tc>
        <w:tc>
          <w:tcPr>
            <w:tcW w:type="dxa" w:w="2055"/>
          </w:tcPr>
          <w:p>
            <w:pPr>
              <w:jc w:val="center"/>
            </w:pPr>
            <w:r/>
            <w:r>
              <w:rPr>
                <w:b w:val="0"/>
                <w:sz w:val="22"/>
              </w:rPr>
              <w:t>18-25</w:t>
            </w:r>
          </w:p>
        </w:tc>
        <w:tc>
          <w:tcPr>
            <w:tcW w:type="dxa" w:w="2055"/>
          </w:tcPr>
          <w:p>
            <w:pPr>
              <w:jc w:val="center"/>
            </w:pPr>
            <w:r/>
            <w:r>
              <w:rPr>
                <w:b w:val="0"/>
                <w:sz w:val="22"/>
              </w:rPr>
              <w:t>49</w:t>
            </w:r>
          </w:p>
        </w:tc>
        <w:tc>
          <w:tcPr>
            <w:tcW w:type="dxa" w:w="2055"/>
          </w:tcPr>
          <w:p>
            <w:pPr>
              <w:jc w:val="center"/>
            </w:pPr>
            <w:r/>
            <w:r>
              <w:rPr>
                <w:b w:val="0"/>
                <w:sz w:val="22"/>
              </w:rPr>
              <w:t>28.65</w:t>
            </w:r>
          </w:p>
        </w:tc>
      </w:tr>
      <w:tr>
        <w:tc>
          <w:tcPr>
            <w:tcW w:type="dxa" w:w="2055"/>
          </w:tcPr>
          <w:p>
            <w:pPr>
              <w:bidi w:val="1"/>
              <w:jc w:val="center"/>
            </w:pPr>
            <w:r/>
            <w:r>
              <w:rPr>
                <w:b w:val="0"/>
                <w:sz w:val="22"/>
              </w:rPr>
              <w:t>سن (سال)</w:t>
            </w:r>
          </w:p>
        </w:tc>
        <w:tc>
          <w:tcPr>
            <w:tcW w:type="dxa" w:w="2055"/>
          </w:tcPr>
          <w:p>
            <w:pPr>
              <w:jc w:val="center"/>
            </w:pPr>
            <w:r/>
            <w:r>
              <w:rPr>
                <w:b w:val="0"/>
                <w:sz w:val="22"/>
              </w:rPr>
              <w:t>36-45</w:t>
            </w:r>
          </w:p>
        </w:tc>
        <w:tc>
          <w:tcPr>
            <w:tcW w:type="dxa" w:w="2055"/>
          </w:tcPr>
          <w:p>
            <w:pPr>
              <w:jc w:val="center"/>
            </w:pPr>
            <w:r/>
            <w:r>
              <w:rPr>
                <w:b w:val="0"/>
                <w:sz w:val="22"/>
              </w:rPr>
              <w:t>44</w:t>
            </w:r>
          </w:p>
        </w:tc>
        <w:tc>
          <w:tcPr>
            <w:tcW w:type="dxa" w:w="2055"/>
          </w:tcPr>
          <w:p>
            <w:pPr>
              <w:jc w:val="center"/>
            </w:pPr>
            <w:r/>
            <w:r>
              <w:rPr>
                <w:b w:val="0"/>
                <w:sz w:val="22"/>
              </w:rPr>
              <w:t>25.73</w:t>
            </w:r>
          </w:p>
        </w:tc>
      </w:tr>
      <w:tr>
        <w:tc>
          <w:tcPr>
            <w:tcW w:type="dxa" w:w="2055"/>
          </w:tcPr>
          <w:p>
            <w:pPr>
              <w:bidi w:val="1"/>
              <w:jc w:val="center"/>
            </w:pPr>
            <w:r/>
            <w:r>
              <w:rPr>
                <w:b w:val="0"/>
                <w:sz w:val="22"/>
              </w:rPr>
              <w:t>سن (سال)</w:t>
            </w:r>
          </w:p>
        </w:tc>
        <w:tc>
          <w:tcPr>
            <w:tcW w:type="dxa" w:w="2055"/>
          </w:tcPr>
          <w:p>
            <w:pPr>
              <w:jc w:val="center"/>
            </w:pPr>
            <w:r/>
            <w:r>
              <w:rPr>
                <w:b w:val="0"/>
                <w:sz w:val="22"/>
              </w:rPr>
              <w:t>46+</w:t>
            </w:r>
          </w:p>
        </w:tc>
        <w:tc>
          <w:tcPr>
            <w:tcW w:type="dxa" w:w="2055"/>
          </w:tcPr>
          <w:p>
            <w:pPr>
              <w:jc w:val="center"/>
            </w:pPr>
            <w:r/>
            <w:r>
              <w:rPr>
                <w:b w:val="0"/>
                <w:sz w:val="22"/>
              </w:rPr>
              <w:t>15</w:t>
            </w:r>
          </w:p>
        </w:tc>
        <w:tc>
          <w:tcPr>
            <w:tcW w:type="dxa" w:w="2055"/>
          </w:tcPr>
          <w:p>
            <w:pPr>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jc w:val="center"/>
            </w:pPr>
            <w:r/>
            <w:r>
              <w:rPr>
                <w:b w:val="0"/>
                <w:sz w:val="22"/>
              </w:rPr>
              <w:t>30</w:t>
            </w:r>
          </w:p>
        </w:tc>
        <w:tc>
          <w:tcPr>
            <w:tcW w:type="dxa" w:w="2055"/>
          </w:tcPr>
          <w:p>
            <w:pPr>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jc w:val="center"/>
            </w:pPr>
            <w:r/>
            <w:r>
              <w:rPr>
                <w:b w:val="0"/>
                <w:sz w:val="22"/>
              </w:rPr>
              <w:t>87</w:t>
            </w:r>
          </w:p>
        </w:tc>
        <w:tc>
          <w:tcPr>
            <w:tcW w:type="dxa" w:w="2055"/>
          </w:tcPr>
          <w:p>
            <w:pPr>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jc w:val="center"/>
            </w:pPr>
            <w:r/>
            <w:r>
              <w:rPr>
                <w:b w:val="0"/>
                <w:sz w:val="22"/>
              </w:rPr>
              <w:t>43</w:t>
            </w:r>
          </w:p>
        </w:tc>
        <w:tc>
          <w:tcPr>
            <w:tcW w:type="dxa" w:w="2055"/>
          </w:tcPr>
          <w:p>
            <w:pPr>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jc w:val="center"/>
            </w:pPr>
            <w:r/>
            <w:r>
              <w:rPr>
                <w:b w:val="0"/>
                <w:sz w:val="22"/>
              </w:rPr>
              <w:t>11</w:t>
            </w:r>
          </w:p>
        </w:tc>
        <w:tc>
          <w:tcPr>
            <w:tcW w:type="dxa" w:w="2055"/>
          </w:tcPr>
          <w:p>
            <w:pPr>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jc w:val="center"/>
            </w:pPr>
            <w:r/>
            <w:r>
              <w:rPr>
                <w:b w:val="0"/>
                <w:sz w:val="22"/>
              </w:rPr>
              <w:t>80</w:t>
            </w:r>
          </w:p>
        </w:tc>
        <w:tc>
          <w:tcPr>
            <w:tcW w:type="dxa" w:w="2055"/>
          </w:tcPr>
          <w:p>
            <w:pPr>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jc w:val="center"/>
            </w:pPr>
            <w:r/>
            <w:r>
              <w:rPr>
                <w:b w:val="0"/>
                <w:sz w:val="22"/>
              </w:rPr>
              <w:t>39</w:t>
            </w:r>
          </w:p>
        </w:tc>
        <w:tc>
          <w:tcPr>
            <w:tcW w:type="dxa" w:w="2055"/>
          </w:tcPr>
          <w:p>
            <w:pPr>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jc w:val="center"/>
            </w:pPr>
            <w:r/>
            <w:r>
              <w:rPr>
                <w:b w:val="0"/>
                <w:sz w:val="22"/>
              </w:rPr>
              <w:t>31</w:t>
            </w:r>
          </w:p>
        </w:tc>
        <w:tc>
          <w:tcPr>
            <w:tcW w:type="dxa" w:w="2055"/>
          </w:tcPr>
          <w:p>
            <w:pPr>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jc w:val="center"/>
            </w:pPr>
            <w:r/>
            <w:r>
              <w:rPr>
                <w:b w:val="0"/>
                <w:sz w:val="22"/>
              </w:rPr>
              <w:t>21</w:t>
            </w:r>
          </w:p>
        </w:tc>
        <w:tc>
          <w:tcPr>
            <w:tcW w:type="dxa" w:w="2055"/>
          </w:tcPr>
          <w:p>
            <w:pPr>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25-60</w:t>
            </w:r>
          </w:p>
        </w:tc>
        <w:tc>
          <w:tcPr>
            <w:tcW w:type="dxa" w:w="2055"/>
          </w:tcPr>
          <w:p>
            <w:pPr>
              <w:jc w:val="center"/>
            </w:pPr>
            <w:r/>
            <w:r>
              <w:rPr>
                <w:b w:val="0"/>
                <w:sz w:val="22"/>
              </w:rPr>
              <w:t>85</w:t>
            </w:r>
          </w:p>
        </w:tc>
        <w:tc>
          <w:tcPr>
            <w:tcW w:type="dxa" w:w="2055"/>
          </w:tcPr>
          <w:p>
            <w:pPr>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3-24</w:t>
            </w:r>
          </w:p>
        </w:tc>
        <w:tc>
          <w:tcPr>
            <w:tcW w:type="dxa" w:w="2055"/>
          </w:tcPr>
          <w:p>
            <w:pPr>
              <w:jc w:val="center"/>
            </w:pPr>
            <w:r/>
            <w:r>
              <w:rPr>
                <w:b w:val="0"/>
                <w:sz w:val="22"/>
              </w:rPr>
              <w:t>59</w:t>
            </w:r>
          </w:p>
        </w:tc>
        <w:tc>
          <w:tcPr>
            <w:tcW w:type="dxa" w:w="2055"/>
          </w:tcPr>
          <w:p>
            <w:pPr>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61+</w:t>
            </w:r>
          </w:p>
        </w:tc>
        <w:tc>
          <w:tcPr>
            <w:tcW w:type="dxa" w:w="2055"/>
          </w:tcPr>
          <w:p>
            <w:pPr>
              <w:jc w:val="center"/>
            </w:pPr>
            <w:r/>
            <w:r>
              <w:rPr>
                <w:b w:val="0"/>
                <w:sz w:val="22"/>
              </w:rPr>
              <w:t>27</w:t>
            </w:r>
          </w:p>
        </w:tc>
        <w:tc>
          <w:tcPr>
            <w:tcW w:type="dxa" w:w="2055"/>
          </w:tcPr>
          <w:p>
            <w:pPr>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1-10</w:t>
            </w:r>
          </w:p>
        </w:tc>
        <w:tc>
          <w:tcPr>
            <w:tcW w:type="dxa" w:w="2055"/>
          </w:tcPr>
          <w:p>
            <w:pPr>
              <w:jc w:val="center"/>
            </w:pPr>
            <w:r/>
            <w:r>
              <w:rPr>
                <w:b w:val="0"/>
                <w:sz w:val="22"/>
              </w:rPr>
              <w:t>133</w:t>
            </w:r>
          </w:p>
        </w:tc>
        <w:tc>
          <w:tcPr>
            <w:tcW w:type="dxa" w:w="2055"/>
          </w:tcPr>
          <w:p>
            <w:pPr>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11-30</w:t>
            </w:r>
          </w:p>
        </w:tc>
        <w:tc>
          <w:tcPr>
            <w:tcW w:type="dxa" w:w="2055"/>
          </w:tcPr>
          <w:p>
            <w:pPr>
              <w:jc w:val="center"/>
            </w:pPr>
            <w:r/>
            <w:r>
              <w:rPr>
                <w:b w:val="0"/>
                <w:sz w:val="22"/>
              </w:rPr>
              <w:t>37</w:t>
            </w:r>
          </w:p>
        </w:tc>
        <w:tc>
          <w:tcPr>
            <w:tcW w:type="dxa" w:w="2055"/>
          </w:tcPr>
          <w:p>
            <w:pPr>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jc w:val="center"/>
            </w:pPr>
            <w:r/>
            <w:r>
              <w:rPr>
                <w:b w:val="0"/>
                <w:sz w:val="22"/>
              </w:rPr>
              <w:t>31+</w:t>
            </w:r>
          </w:p>
        </w:tc>
        <w:tc>
          <w:tcPr>
            <w:tcW w:type="dxa" w:w="2055"/>
          </w:tcPr>
          <w:p>
            <w:pPr>
              <w:jc w:val="center"/>
            </w:pPr>
            <w:r/>
            <w:r>
              <w:rPr>
                <w:b w:val="0"/>
                <w:sz w:val="22"/>
              </w:rPr>
              <w:t>1</w:t>
            </w:r>
          </w:p>
        </w:tc>
        <w:tc>
          <w:tcPr>
            <w:tcW w:type="dxa" w:w="2055"/>
          </w:tcPr>
          <w:p>
            <w:pPr>
              <w:jc w:val="center"/>
            </w:pPr>
            <w:r/>
            <w:r>
              <w:rPr>
                <w:b w:val="0"/>
                <w:sz w:val="22"/>
              </w:rPr>
              <w:t>0.58</w:t>
            </w:r>
          </w:p>
        </w:tc>
      </w:tr>
    </w:tbl>
    <w:p>
      <w:pPr>
        <w:bidi w:val="1"/>
        <w:spacing w:lineRule="exact" w:line="580" w:after="0"/>
        <w:jc w:val="both"/>
      </w:pPr>
      <w:r>
        <w:rPr>
          <w:rFonts w:ascii="B Nazanin" w:hAnsi="B Nazanin" w:cs="B Nazanin" w:hint="cs"/>
          <w:sz w:val="24"/>
          <w:szCs w:val="24"/>
          <w:rtl/>
          <w:lang w:bidi="fa-IR"/>
        </w:rPr>
        <w:t xml:space="preserve">مجموعاً، نمونه نهایی از نظر ترکیب سنی، جنسیتی و بازاری با ویژگی‌های گزارش‌شده در پژوهش‌های جامعه معامله‌گران آنلاین هم‌خوان است؛ غلبه بورس و گروه‌های جوان‌تر نیز در تفسیر نتایج و در محدودیت‌های فصل پنجم لحاظ خواهد شد.</w:t>
      </w:r>
    </w:p>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jc w:val="center"/>
            </w:pPr>
            <w:r/>
            <w:r>
              <w:rPr>
                <w:b w:val="0"/>
                <w:sz w:val="22"/>
              </w:rPr>
              <w:t>46.16</w:t>
            </w:r>
          </w:p>
        </w:tc>
        <w:tc>
          <w:tcPr>
            <w:tcW w:type="dxa" w:w="1174"/>
          </w:tcPr>
          <w:p>
            <w:pPr>
              <w:jc w:val="center"/>
            </w:pPr>
            <w:r/>
            <w:r>
              <w:rPr>
                <w:b w:val="0"/>
                <w:sz w:val="22"/>
              </w:rPr>
              <w:t>11.19</w:t>
            </w:r>
          </w:p>
        </w:tc>
        <w:tc>
          <w:tcPr>
            <w:tcW w:type="dxa" w:w="1174"/>
          </w:tcPr>
          <w:p>
            <w:pPr>
              <w:jc w:val="center"/>
            </w:pPr>
            <w:r/>
            <w:r>
              <w:rPr>
                <w:b w:val="0"/>
                <w:sz w:val="22"/>
              </w:rPr>
              <w:t>22</w:t>
            </w:r>
          </w:p>
        </w:tc>
        <w:tc>
          <w:tcPr>
            <w:tcW w:type="dxa" w:w="1174"/>
          </w:tcPr>
          <w:p>
            <w:pPr>
              <w:jc w:val="center"/>
            </w:pPr>
            <w:r/>
            <w:r>
              <w:rPr>
                <w:b w:val="0"/>
                <w:sz w:val="22"/>
              </w:rPr>
              <w:t>72</w:t>
            </w:r>
          </w:p>
        </w:tc>
        <w:tc>
          <w:tcPr>
            <w:tcW w:type="dxa" w:w="1174"/>
          </w:tcPr>
          <w:p>
            <w:pPr>
              <w:jc w:val="center"/>
            </w:pPr>
            <w:r/>
            <w:r>
              <w:rPr>
                <w:b w:val="0"/>
                <w:sz w:val="22"/>
              </w:rPr>
              <w:t>0.05</w:t>
            </w:r>
          </w:p>
        </w:tc>
        <w:tc>
          <w:tcPr>
            <w:tcW w:type="dxa" w:w="1174"/>
          </w:tcPr>
          <w:p>
            <w:pPr>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jc w:val="center"/>
            </w:pPr>
            <w:r/>
            <w:r>
              <w:rPr>
                <w:b w:val="0"/>
                <w:sz w:val="22"/>
              </w:rPr>
              <w:t>223.31</w:t>
            </w:r>
          </w:p>
        </w:tc>
        <w:tc>
          <w:tcPr>
            <w:tcW w:type="dxa" w:w="1174"/>
          </w:tcPr>
          <w:p>
            <w:pPr>
              <w:jc w:val="center"/>
            </w:pPr>
            <w:r/>
            <w:r>
              <w:rPr>
                <w:b w:val="0"/>
                <w:sz w:val="22"/>
              </w:rPr>
              <w:t>42.91</w:t>
            </w:r>
          </w:p>
        </w:tc>
        <w:tc>
          <w:tcPr>
            <w:tcW w:type="dxa" w:w="1174"/>
          </w:tcPr>
          <w:p>
            <w:pPr>
              <w:jc w:val="center"/>
            </w:pPr>
            <w:r/>
            <w:r>
              <w:rPr>
                <w:b w:val="0"/>
                <w:sz w:val="22"/>
              </w:rPr>
              <w:t>121</w:t>
            </w:r>
          </w:p>
        </w:tc>
        <w:tc>
          <w:tcPr>
            <w:tcW w:type="dxa" w:w="1174"/>
          </w:tcPr>
          <w:p>
            <w:pPr>
              <w:jc w:val="center"/>
            </w:pPr>
            <w:r/>
            <w:r>
              <w:rPr>
                <w:b w:val="0"/>
                <w:sz w:val="22"/>
              </w:rPr>
              <w:t>335</w:t>
            </w:r>
          </w:p>
        </w:tc>
        <w:tc>
          <w:tcPr>
            <w:tcW w:type="dxa" w:w="1174"/>
          </w:tcPr>
          <w:p>
            <w:pPr>
              <w:jc w:val="center"/>
            </w:pPr>
            <w:r/>
            <w:r>
              <w:rPr>
                <w:b w:val="0"/>
                <w:sz w:val="22"/>
              </w:rPr>
              <w:t>-0.09</w:t>
            </w:r>
          </w:p>
        </w:tc>
        <w:tc>
          <w:tcPr>
            <w:tcW w:type="dxa" w:w="1174"/>
          </w:tcPr>
          <w:p>
            <w:pPr>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jc w:val="center"/>
            </w:pPr>
            <w:r/>
            <w:r>
              <w:rPr>
                <w:b w:val="0"/>
                <w:sz w:val="22"/>
              </w:rPr>
              <w:t>29.79</w:t>
            </w:r>
          </w:p>
        </w:tc>
        <w:tc>
          <w:tcPr>
            <w:tcW w:type="dxa" w:w="1174"/>
          </w:tcPr>
          <w:p>
            <w:pPr>
              <w:jc w:val="center"/>
            </w:pPr>
            <w:r/>
            <w:r>
              <w:rPr>
                <w:b w:val="0"/>
                <w:sz w:val="22"/>
              </w:rPr>
              <w:t>8.18</w:t>
            </w:r>
          </w:p>
        </w:tc>
        <w:tc>
          <w:tcPr>
            <w:tcW w:type="dxa" w:w="1174"/>
          </w:tcPr>
          <w:p>
            <w:pPr>
              <w:jc w:val="center"/>
            </w:pPr>
            <w:r/>
            <w:r>
              <w:rPr>
                <w:b w:val="0"/>
                <w:sz w:val="22"/>
              </w:rPr>
              <w:t>14</w:t>
            </w:r>
          </w:p>
        </w:tc>
        <w:tc>
          <w:tcPr>
            <w:tcW w:type="dxa" w:w="1174"/>
          </w:tcPr>
          <w:p>
            <w:pPr>
              <w:jc w:val="center"/>
            </w:pPr>
            <w:r/>
            <w:r>
              <w:rPr>
                <w:b w:val="0"/>
                <w:sz w:val="22"/>
              </w:rPr>
              <w:t>53</w:t>
            </w:r>
          </w:p>
        </w:tc>
        <w:tc>
          <w:tcPr>
            <w:tcW w:type="dxa" w:w="1174"/>
          </w:tcPr>
          <w:p>
            <w:pPr>
              <w:jc w:val="center"/>
            </w:pPr>
            <w:r/>
            <w:r>
              <w:rPr>
                <w:b w:val="0"/>
                <w:sz w:val="22"/>
              </w:rPr>
              <w:t>0.43</w:t>
            </w:r>
          </w:p>
        </w:tc>
        <w:tc>
          <w:tcPr>
            <w:tcW w:type="dxa" w:w="1174"/>
          </w:tcPr>
          <w:p>
            <w:pPr>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اضطراب صفتی (۴۶٫۱۶ از ۸۰) بالاتر از هنجار جمعیت عمومی و در حد جمعیت‌های پرتشغله غیربالینی است؛ این جای‌گیری برای جامعه معامله‌گران قابل انتظار بوده و نشانه هم‌زمانیِ دامنه کافی (کمینه ۲۲ تا بیشینه ۷۲) و نبود اثر سقف/کف است.</w:t>
      </w:r>
    </w:p>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 و میانگین رفتار مالی پرخطر ۲۹٫۷۹ از ۶۵ در بازه میانی-بالاتر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و هم‌راستا با مقادیر گزارش‌شده در مطالعه فارسی و انگلیسی. آلفای کل مقیاس طرحواره ۰٫۹۲۹ به دست آمد که در بازه مطلوب و پایین‌تر از کرانه بالای ۰٫۹۵ قرار دارد؛ مقادیر بسیار نزدیک به ۱ معمولاً نشانه هم‌پوشانی محتوایی گویه‌هاست و در اینجا دیده نمی‌شود.</w:t>
      </w:r>
    </w:p>
    <w:p>
      <w:pPr>
        <w:bidi w:val="1"/>
        <w:spacing w:lineRule="exact" w:line="580" w:after="0"/>
        <w:jc w:val="both"/>
      </w:pPr>
      <w:r>
        <w:rPr>
          <w:rFonts w:ascii="B Nazanin" w:hAnsi="B Nazanin" w:cs="B Nazanin" w:hint="cs"/>
          <w:sz w:val="24"/>
          <w:szCs w:val="24"/>
          <w:rtl/>
          <w:lang w:bidi="fa-IR"/>
        </w:rPr>
        <w:t xml:space="preserve">بررسی حیطه‌های پنج‌گانه نشان داد پایایی حیطه‌ها یکسان نیست؛ از ۰٫۷۰۴ تا ۰٫۸۴۰ متغیر است. پایین‌ترین مقدار به حیطه «فراهدشیاری و بازداری هیجانی» تعلق دارد که در پژوهش‌های پیشین نیز اغلب سست‌ترین حیطه</w:t>
      </w:r>
      <w:r>
        <w:rPr>
          <w:rFonts w:ascii="Times New Roman" w:hAnsi="Times New Roman" w:cs="Times New Roman"/>
          <w:sz w:val="22"/>
          <w:szCs w:val="22"/>
          <w:lang w:val="en-US"/>
        </w:rPr>
        <w:t xml:space="preserve"> YSQ-SF </w:t>
      </w:r>
      <w:r>
        <w:rPr>
          <w:rFonts w:ascii="B Nazanin" w:hAnsi="B Nazanin" w:cs="B Nazanin" w:hint="cs"/>
          <w:sz w:val="24"/>
          <w:szCs w:val="24"/>
          <w:rtl/>
          <w:lang w:bidi="fa-IR"/>
        </w:rPr>
        <w:t xml:space="preserve">گزارش شده است؛ مقدار آن در مرز قابل قبول قرار دارد و استفاده از نمره کل حیطه را مجاز می‌شمارد، هرچند تفسیرهای سطح حیطه با احتیاط انجام می‌گیرد.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و حیطه‌های طرحواره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مقیاس/حیطه</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jc w:val="center"/>
            </w:pPr>
            <w:r/>
            <w:r>
              <w:rPr>
                <w:b w:val="0"/>
                <w:sz w:val="22"/>
              </w:rPr>
              <w:t>20</w:t>
            </w:r>
          </w:p>
        </w:tc>
        <w:tc>
          <w:tcPr>
            <w:tcW w:type="dxa" w:w="2740"/>
          </w:tcPr>
          <w:p>
            <w:pPr>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jc w:val="center"/>
            </w:pPr>
            <w:r/>
            <w:r>
              <w:rPr>
                <w:b w:val="0"/>
                <w:sz w:val="22"/>
              </w:rPr>
              <w:t>75</w:t>
            </w:r>
          </w:p>
        </w:tc>
        <w:tc>
          <w:tcPr>
            <w:tcW w:type="dxa" w:w="2740"/>
          </w:tcPr>
          <w:p>
            <w:pPr>
              <w:jc w:val="center"/>
            </w:pPr>
            <w:r/>
            <w:r>
              <w:rPr>
                <w:b w:val="0"/>
                <w:sz w:val="22"/>
              </w:rPr>
              <w:t>0.929</w:t>
            </w:r>
          </w:p>
        </w:tc>
      </w:tr>
      <w:tr>
        <w:tc>
          <w:tcPr>
            <w:tcW w:type="dxa" w:w="2740"/>
          </w:tcPr>
          <w:p>
            <w:pPr>
              <w:bidi w:val="1"/>
              <w:jc w:val="center"/>
            </w:pPr>
            <w:r/>
            <w:r>
              <w:rPr>
                <w:b w:val="0"/>
                <w:sz w:val="22"/>
              </w:rPr>
              <w:t>حیطۀ برش از دیگران</w:t>
            </w:r>
          </w:p>
        </w:tc>
        <w:tc>
          <w:tcPr>
            <w:tcW w:type="dxa" w:w="2740"/>
          </w:tcPr>
          <w:p>
            <w:pPr>
              <w:jc w:val="center"/>
            </w:pPr>
            <w:r/>
            <w:r>
              <w:rPr>
                <w:b w:val="0"/>
                <w:sz w:val="22"/>
              </w:rPr>
              <w:t>15</w:t>
            </w:r>
          </w:p>
        </w:tc>
        <w:tc>
          <w:tcPr>
            <w:tcW w:type="dxa" w:w="2740"/>
          </w:tcPr>
          <w:p>
            <w:pPr>
              <w:jc w:val="center"/>
            </w:pPr>
            <w:r/>
            <w:r>
              <w:rPr>
                <w:b w:val="0"/>
                <w:sz w:val="22"/>
              </w:rPr>
              <w:t>0.840</w:t>
            </w:r>
          </w:p>
        </w:tc>
      </w:tr>
      <w:tr>
        <w:tc>
          <w:tcPr>
            <w:tcW w:type="dxa" w:w="2740"/>
          </w:tcPr>
          <w:p>
            <w:pPr>
              <w:bidi w:val="1"/>
              <w:jc w:val="center"/>
            </w:pPr>
            <w:r/>
            <w:r>
              <w:rPr>
                <w:b w:val="0"/>
                <w:sz w:val="22"/>
              </w:rPr>
              <w:t>حیطۀ خودمختاری و عملکرد ناسازگار</w:t>
            </w:r>
          </w:p>
        </w:tc>
        <w:tc>
          <w:tcPr>
            <w:tcW w:type="dxa" w:w="2740"/>
          </w:tcPr>
          <w:p>
            <w:pPr>
              <w:jc w:val="center"/>
            </w:pPr>
            <w:r/>
            <w:r>
              <w:rPr>
                <w:b w:val="0"/>
                <w:sz w:val="22"/>
              </w:rPr>
              <w:t>15</w:t>
            </w:r>
          </w:p>
        </w:tc>
        <w:tc>
          <w:tcPr>
            <w:tcW w:type="dxa" w:w="2740"/>
          </w:tcPr>
          <w:p>
            <w:pPr>
              <w:jc w:val="center"/>
            </w:pPr>
            <w:r/>
            <w:r>
              <w:rPr>
                <w:b w:val="0"/>
                <w:sz w:val="22"/>
              </w:rPr>
              <w:t>0.834</w:t>
            </w:r>
          </w:p>
        </w:tc>
      </w:tr>
      <w:tr>
        <w:tc>
          <w:tcPr>
            <w:tcW w:type="dxa" w:w="2740"/>
          </w:tcPr>
          <w:p>
            <w:pPr>
              <w:bidi w:val="1"/>
              <w:jc w:val="center"/>
            </w:pPr>
            <w:r/>
            <w:r>
              <w:rPr>
                <w:b w:val="0"/>
                <w:sz w:val="22"/>
              </w:rPr>
              <w:t>حیطۀ حدود و مرزهای مختل</w:t>
            </w:r>
          </w:p>
        </w:tc>
        <w:tc>
          <w:tcPr>
            <w:tcW w:type="dxa" w:w="2740"/>
          </w:tcPr>
          <w:p>
            <w:pPr>
              <w:jc w:val="center"/>
            </w:pPr>
            <w:r/>
            <w:r>
              <w:rPr>
                <w:b w:val="0"/>
                <w:sz w:val="22"/>
              </w:rPr>
              <w:t>15</w:t>
            </w:r>
          </w:p>
        </w:tc>
        <w:tc>
          <w:tcPr>
            <w:tcW w:type="dxa" w:w="2740"/>
          </w:tcPr>
          <w:p>
            <w:pPr>
              <w:jc w:val="center"/>
            </w:pPr>
            <w:r/>
            <w:r>
              <w:rPr>
                <w:b w:val="0"/>
                <w:sz w:val="22"/>
              </w:rPr>
              <w:t>0.795</w:t>
            </w:r>
          </w:p>
        </w:tc>
      </w:tr>
      <w:tr>
        <w:tc>
          <w:tcPr>
            <w:tcW w:type="dxa" w:w="2740"/>
          </w:tcPr>
          <w:p>
            <w:pPr>
              <w:bidi w:val="1"/>
              <w:jc w:val="center"/>
            </w:pPr>
            <w:r/>
            <w:r>
              <w:rPr>
                <w:b w:val="0"/>
                <w:sz w:val="22"/>
              </w:rPr>
              <w:t>حیطۀ دیگران‌مداری</w:t>
            </w:r>
          </w:p>
        </w:tc>
        <w:tc>
          <w:tcPr>
            <w:tcW w:type="dxa" w:w="2740"/>
          </w:tcPr>
          <w:p>
            <w:pPr>
              <w:jc w:val="center"/>
            </w:pPr>
            <w:r/>
            <w:r>
              <w:rPr>
                <w:b w:val="0"/>
                <w:sz w:val="22"/>
              </w:rPr>
              <w:t>15</w:t>
            </w:r>
          </w:p>
        </w:tc>
        <w:tc>
          <w:tcPr>
            <w:tcW w:type="dxa" w:w="2740"/>
          </w:tcPr>
          <w:p>
            <w:pPr>
              <w:jc w:val="center"/>
            </w:pPr>
            <w:r/>
            <w:r>
              <w:rPr>
                <w:b w:val="0"/>
                <w:sz w:val="22"/>
              </w:rPr>
              <w:t>0.798</w:t>
            </w:r>
          </w:p>
        </w:tc>
      </w:tr>
      <w:tr>
        <w:tc>
          <w:tcPr>
            <w:tcW w:type="dxa" w:w="2740"/>
          </w:tcPr>
          <w:p>
            <w:pPr>
              <w:bidi w:val="1"/>
              <w:jc w:val="center"/>
            </w:pPr>
            <w:r/>
            <w:r>
              <w:rPr>
                <w:b w:val="0"/>
                <w:sz w:val="22"/>
              </w:rPr>
              <w:t>حیطۀ فراهدشیاری و بازداری هیجانی</w:t>
            </w:r>
          </w:p>
        </w:tc>
        <w:tc>
          <w:tcPr>
            <w:tcW w:type="dxa" w:w="2740"/>
          </w:tcPr>
          <w:p>
            <w:pPr>
              <w:jc w:val="center"/>
            </w:pPr>
            <w:r/>
            <w:r>
              <w:rPr>
                <w:b w:val="0"/>
                <w:sz w:val="22"/>
              </w:rPr>
              <w:t>15</w:t>
            </w:r>
          </w:p>
        </w:tc>
        <w:tc>
          <w:tcPr>
            <w:tcW w:type="dxa" w:w="2740"/>
          </w:tcPr>
          <w:p>
            <w:pPr>
              <w:jc w:val="center"/>
            </w:pPr>
            <w:r/>
            <w:r>
              <w:rPr>
                <w:b w:val="0"/>
                <w:sz w:val="22"/>
              </w:rPr>
              <w:t>0.704</w:t>
            </w:r>
          </w:p>
        </w:tc>
      </w:tr>
      <w:tr>
        <w:tc>
          <w:tcPr>
            <w:tcW w:type="dxa" w:w="2740"/>
          </w:tcPr>
          <w:p>
            <w:pPr>
              <w:bidi w:val="1"/>
              <w:jc w:val="center"/>
            </w:pPr>
            <w:r/>
            <w:r>
              <w:rPr>
                <w:b w:val="0"/>
                <w:sz w:val="22"/>
              </w:rPr>
              <w:t>رفتارهای مالی پرخطر (Grable &amp; Lytton)</w:t>
            </w:r>
          </w:p>
        </w:tc>
        <w:tc>
          <w:tcPr>
            <w:tcW w:type="dxa" w:w="2740"/>
          </w:tcPr>
          <w:p>
            <w:pPr>
              <w:jc w:val="center"/>
            </w:pPr>
            <w:r/>
            <w:r>
              <w:rPr>
                <w:b w:val="0"/>
                <w:sz w:val="22"/>
              </w:rPr>
              <w:t>13</w:t>
            </w:r>
          </w:p>
        </w:tc>
        <w:tc>
          <w:tcPr>
            <w:tcW w:type="dxa" w:w="2740"/>
          </w:tcPr>
          <w:p>
            <w:pPr>
              <w:jc w:val="center"/>
            </w:pPr>
            <w:r/>
            <w:r>
              <w:rPr>
                <w:b w:val="0"/>
                <w:sz w:val="22"/>
              </w:rPr>
              <w:t>0.801</w:t>
            </w:r>
          </w:p>
        </w:tc>
      </w:tr>
    </w:tbl>
    <w:p>
      <w:pPr>
        <w:bidi w:val="1"/>
        <w:spacing w:lineRule="exact" w:line="580" w:after="0"/>
        <w:jc w:val="both"/>
      </w:pPr>
      <w:r>
        <w:rPr>
          <w:rFonts w:ascii="B Nazanin" w:hAnsi="B Nazanin" w:cs="B Nazanin" w:hint="cs"/>
          <w:sz w:val="24"/>
          <w:szCs w:val="24"/>
          <w:rtl/>
          <w:lang w:bidi="fa-IR"/>
        </w:rPr>
        <w:t xml:space="preserve">پایایی ابزارها در نمونه حاضر قابل قبول تا مطلوب گزارش شد؛ پایایی حیطه‌ها یکسان نیست و این ناهمگنی با پیشینه روان‌سنجی این ابزارها هم‌خوان است.</w:t>
      </w:r>
    </w:p>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پیش‌فرض‌های نرمال بودن، نبود داده‌های پرت، عدم هم‌خطی و استقلال پسماندها وابسته است و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در محدوده قابل قبول برای آزمون‌های استنتاجی رایج مانند رگرسیون است، هرچند نرمال بودن کامل توزیع‌ها برقرار نیست. آزمون شاپیرو-ویلک روی نمره‌های کل اجرا شد و برای اضطراب و طرحواره نتیجه در مرز برقرار/نقض خفیف بود؛ چنین وضعیتی در نمونه‌های رفتاری رایج است و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بودند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نشانه‌ی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مقدار دوم اندکی از ۲ دورتر است که در داده‌های مقطعِ پرشمار بی‌دقتی خودگزارشی نیز می‌تواند آن را توضیح دهد و در حدی است که ابطال نتایج را ایجاب نکند.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 (با ملاحظه)</w:t>
            </w:r>
          </w:p>
        </w:tc>
      </w:tr>
    </w:tbl>
    <w:p>
      <w:pPr>
        <w:bidi w:val="1"/>
        <w:spacing w:lineRule="exact" w:line="580" w:after="0"/>
        <w:jc w:val="both"/>
      </w:pPr>
      <w:r>
        <w:rPr>
          <w:rFonts w:ascii="B Nazanin" w:hAnsi="B Nazanin" w:cs="B Nazanin" w:hint="cs"/>
          <w:sz w:val="24"/>
          <w:szCs w:val="24"/>
          <w:rtl/>
          <w:lang w:bidi="fa-IR"/>
        </w:rPr>
        <w:t xml:space="preserve">بر این اساس، همبستگی پیرسون و رگرسیون چندگانه به‌کار رفتند و تصمیم کلیدی برای حفظ مسیر استنباطی، اتکا به بازه‌های اطمینان بوت‌استرپ در تحلیل میانجی بود تا حساسیت نتیجه به انحراف‌های خفیف توزیع کنترل شود.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jc w:val="center"/>
            </w:pPr>
            <w:r/>
            <w:r>
              <w:rPr>
                <w:b w:val="0"/>
                <w:sz w:val="22"/>
              </w:rPr>
              <w:t>—</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jc w:val="center"/>
            </w:pPr>
            <w:r/>
            <w:r>
              <w:rPr>
                <w:b w:val="0"/>
                <w:sz w:val="22"/>
              </w:rPr>
              <w:t>0.48**</w:t>
            </w:r>
          </w:p>
        </w:tc>
        <w:tc>
          <w:tcPr>
            <w:tcW w:type="dxa" w:w="2055"/>
          </w:tcPr>
          <w:p>
            <w:pPr>
              <w:jc w:val="center"/>
            </w:pPr>
            <w:r/>
            <w:r>
              <w:rPr>
                <w:b w:val="0"/>
                <w:sz w:val="22"/>
              </w:rPr>
              <w:t>—</w:t>
            </w:r>
          </w:p>
        </w:tc>
        <w:tc>
          <w:tcPr>
            <w:tcW w:type="dxa" w:w="2055"/>
          </w:tcPr>
          <w:p>
            <w:pPr>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jc w:val="center"/>
            </w:pPr>
            <w:r/>
            <w:r>
              <w:rPr>
                <w:b w:val="0"/>
                <w:sz w:val="22"/>
              </w:rPr>
              <w:t>0.28*</w:t>
            </w:r>
          </w:p>
        </w:tc>
        <w:tc>
          <w:tcPr>
            <w:tcW w:type="dxa" w:w="2055"/>
          </w:tcPr>
          <w:p>
            <w:pPr>
              <w:jc w:val="center"/>
            </w:pPr>
            <w:r/>
            <w:r>
              <w:rPr>
                <w:b w:val="0"/>
                <w:sz w:val="22"/>
              </w:rPr>
              <w:t>0.29**</w:t>
            </w:r>
          </w:p>
        </w:tc>
        <w:tc>
          <w:tcPr>
            <w:tcW w:type="dxa" w:w="2055"/>
          </w:tcPr>
          <w:p>
            <w:pPr>
              <w:jc w:val="center"/>
            </w:pPr>
            <w:r/>
            <w:r>
              <w:rPr>
                <w:b w:val="0"/>
                <w:sz w:val="22"/>
              </w:rPr>
              <w:t>—</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Times New Roman" w:hAnsi="Times New Roman" w:cs="Times New Roman"/>
          <w:sz w:val="22"/>
          <w:szCs w:val="22"/>
          <w:lang w:val="en-US"/>
        </w:rPr>
        <w:t xml:space="preserve"> * p &lt; 0.05</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 p &lt; 0.01 (</w:t>
      </w:r>
      <w:r>
        <w:rPr>
          <w:rFonts w:ascii="B Nazanin" w:hAnsi="B Nazanin" w:cs="B Nazanin" w:hint="cs"/>
          <w:sz w:val="24"/>
          <w:szCs w:val="24"/>
          <w:rtl/>
          <w:lang w:bidi="fa-IR"/>
        </w:rPr>
        <w:t xml:space="preserve">دودامنه).</w:t>
      </w:r>
    </w:p>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و نزدیک به مرز معناداری.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اندازه‌ی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 الگوی شماره ۴ پراسس</w:t>
      </w:r>
    </w:p>
    <w:p>
      <w:pPr>
        <w:bidi w:val="1"/>
        <w:spacing w:lineRule="exact" w:line="580" w:after="0"/>
        <w:jc w:val="both"/>
      </w:pPr>
      <w:r>
        <w:rPr>
          <w:rFonts w:ascii="B Nazanin" w:hAnsi="B Nazanin" w:cs="B Nazanin" w:hint="cs"/>
          <w:sz w:val="24"/>
          <w:szCs w:val="24"/>
          <w:rtl/>
          <w:lang w:bidi="fa-IR"/>
        </w:rPr>
        <w:t xml:space="preserve">در تحلیل میانجی، اضطراب صفتی </w:t>
      </w:r>
      <w:r>
        <w:rPr>
          <w:rFonts w:ascii="Times New Roman" w:hAnsi="Times New Roman" w:cs="Times New Roman"/>
          <w:sz w:val="22"/>
          <w:szCs w:val="22"/>
          <w:lang w:val="en-US"/>
        </w:rPr>
        <w:t xml:space="preserve">(X)</w:t>
      </w:r>
      <w:r>
        <w:rPr>
          <w:rFonts w:ascii="B Nazanin" w:hAnsi="B Nazanin" w:cs="B Nazanin" w:hint="cs"/>
          <w:sz w:val="24"/>
          <w:szCs w:val="24"/>
          <w:rtl/>
          <w:lang w:bidi="fa-IR"/>
        </w:rPr>
        <w:t xml:space="preserve">، طرحواره‌ها </w:t>
      </w:r>
      <w:r>
        <w:rPr>
          <w:rFonts w:ascii="Times New Roman" w:hAnsi="Times New Roman" w:cs="Times New Roman"/>
          <w:sz w:val="22"/>
          <w:szCs w:val="22"/>
          <w:lang w:val="en-US"/>
        </w:rPr>
        <w:t xml:space="preserve">(M)</w:t>
      </w:r>
      <w:r>
        <w:rPr>
          <w:rFonts w:ascii="B Nazanin" w:hAnsi="B Nazanin" w:cs="B Nazanin" w:hint="cs"/>
          <w:sz w:val="24"/>
          <w:szCs w:val="24"/>
          <w:rtl/>
          <w:lang w:bidi="fa-IR"/>
        </w:rPr>
        <w:t xml:space="preserve"> و رفتارهای مالی پرخطر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 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فاصله اطمینان ۹۵٪ به روش صدکی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بر پایه ۵۰۰۰ بازنمونه بوت‌استرپ قضاوت شد، زیرا توزیع نمونه‌گیریِ حاصل‌ضرب ضرایب معمولاً نامتقارن است. تعداد بازنمونه‌ها بر پایه تنظیم از پیش اعلام‌شده فصل ۳ برای تحلیل اصلی (۵۰۰۰ بازنمونه) تعیین شد تا روش با پروتکل پژوهش هم‌راستا بماند.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0.131 </w:t>
      </w:r>
      <w:r>
        <w:rPr>
          <w:rFonts w:ascii="B Nazanin" w:hAnsi="B Nazanin" w:cs="B Nazanin" w:hint="cs"/>
          <w:sz w:val="24"/>
          <w:szCs w:val="24"/>
          <w:rtl/>
          <w:lang w:bidi="fa-IR"/>
        </w:rPr>
        <w:t xml:space="preserve">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مدل کامل پیامد حدود ۱۱٪ از واریانس رفتار مالی را توضیح داد که با مقادیر متعارف مدل‌های سه‌متغیره رفتار مالی هم‌خوان است.</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با مدل ۴ هایز و ۵۰۰۰ بازنمونه بوت‌استرپ</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jc w:val="center"/>
            </w:pPr>
            <w:r/>
            <w:r>
              <w:rPr>
                <w:b/>
                <w:sz w:val="22"/>
              </w:rPr>
              <w:t>t</w:t>
            </w:r>
          </w:p>
        </w:tc>
        <w:tc>
          <w:tcPr>
            <w:tcW w:type="dxa" w:w="1370"/>
            <w:tcBorders>
              <w:bottom w:val="single" w:sz="12" w:space="0" w:color="000000"/>
            </w:tcBorders>
          </w:tcPr>
          <w:p>
            <w:pPr>
              <w:jc w:val="center"/>
            </w:pPr>
            <w:r/>
            <w:r>
              <w:rPr>
                <w:b/>
                <w:sz w:val="22"/>
              </w:rPr>
              <w:t>p</w:t>
            </w:r>
          </w:p>
        </w:tc>
        <w:tc>
          <w:tcPr>
            <w:tcW w:type="dxa" w:w="1370"/>
            <w:tcBorders>
              <w:bottom w:val="single" w:sz="12" w:space="0" w:color="000000"/>
            </w:tcBorders>
          </w:tcPr>
          <w:p>
            <w:pPr>
              <w:bidi w:val="1"/>
              <w:jc w:val="center"/>
            </w:pPr>
            <w:r/>
            <w:r>
              <w:rPr>
                <w:b/>
                <w:sz w:val="22"/>
              </w:rPr>
              <w:t>CI95% بوت‌استرپ</w:t>
            </w:r>
          </w:p>
        </w:tc>
      </w:tr>
      <w:tr>
        <w:tc>
          <w:tcPr>
            <w:tcW w:type="dxa" w:w="1370"/>
          </w:tcPr>
          <w:p>
            <w:pPr>
              <w:bidi w:val="1"/>
              <w:jc w:val="center"/>
            </w:pPr>
            <w:r/>
            <w:r>
              <w:rPr>
                <w:b w:val="0"/>
                <w:sz w:val="22"/>
              </w:rPr>
              <w:t>مسیر a (اضطراب ← طرحواره‌ها)</w:t>
            </w:r>
          </w:p>
        </w:tc>
        <w:tc>
          <w:tcPr>
            <w:tcW w:type="dxa" w:w="1370"/>
          </w:tcPr>
          <w:p>
            <w:pPr>
              <w:jc w:val="center"/>
            </w:pPr>
            <w:r/>
            <w:r>
              <w:rPr>
                <w:b w:val="0"/>
                <w:sz w:val="22"/>
              </w:rPr>
              <w:t>1.826</w:t>
            </w:r>
          </w:p>
        </w:tc>
        <w:tc>
          <w:tcPr>
            <w:tcW w:type="dxa" w:w="1370"/>
          </w:tcPr>
          <w:p>
            <w:pPr>
              <w:jc w:val="center"/>
            </w:pPr>
            <w:r/>
            <w:r>
              <w:rPr>
                <w:b w:val="0"/>
                <w:sz w:val="22"/>
              </w:rPr>
              <w:t>0.259</w:t>
            </w:r>
          </w:p>
        </w:tc>
        <w:tc>
          <w:tcPr>
            <w:tcW w:type="dxa" w:w="1370"/>
          </w:tcPr>
          <w:p>
            <w:pPr>
              <w:jc w:val="center"/>
            </w:pPr>
            <w:r/>
            <w:r>
              <w:rPr>
                <w:b w:val="0"/>
                <w:sz w:val="22"/>
              </w:rPr>
              <w:t>7.04</w:t>
            </w:r>
          </w:p>
        </w:tc>
        <w:tc>
          <w:tcPr>
            <w:tcW w:type="dxa" w:w="1370"/>
          </w:tcPr>
          <w:p>
            <w:pPr>
              <w:jc w:val="center"/>
            </w:pPr>
            <w:r/>
            <w:r>
              <w:rPr>
                <w:b w:val="0"/>
                <w:sz w:val="22"/>
              </w:rPr>
              <w:t>p &lt; 0.001</w:t>
            </w:r>
          </w:p>
        </w:tc>
        <w:tc>
          <w:tcPr>
            <w:tcW w:type="dxa" w:w="1370"/>
          </w:tcPr>
          <w:p>
            <w:pPr>
              <w:jc w:val="center"/>
            </w:pPr>
            <w:r/>
            <w:r>
              <w:rPr>
                <w:b w:val="0"/>
                <w:sz w:val="22"/>
              </w:rPr>
              <w:t>—</w:t>
            </w:r>
          </w:p>
        </w:tc>
      </w:tr>
      <w:tr>
        <w:tc>
          <w:tcPr>
            <w:tcW w:type="dxa" w:w="1370"/>
          </w:tcPr>
          <w:p>
            <w:pPr>
              <w:bidi w:val="1"/>
              <w:jc w:val="center"/>
            </w:pPr>
            <w:r/>
            <w:r>
              <w:rPr>
                <w:b w:val="0"/>
                <w:sz w:val="22"/>
              </w:rPr>
              <w:t>مسیر b (طرحواره‌ها ← رفتار مالی)</w:t>
            </w:r>
          </w:p>
        </w:tc>
        <w:tc>
          <w:tcPr>
            <w:tcW w:type="dxa" w:w="1370"/>
          </w:tcPr>
          <w:p>
            <w:pPr>
              <w:jc w:val="center"/>
            </w:pPr>
            <w:r/>
            <w:r>
              <w:rPr>
                <w:b w:val="0"/>
                <w:sz w:val="22"/>
              </w:rPr>
              <w:t>0.039</w:t>
            </w:r>
          </w:p>
        </w:tc>
        <w:tc>
          <w:tcPr>
            <w:tcW w:type="dxa" w:w="1370"/>
          </w:tcPr>
          <w:p>
            <w:pPr>
              <w:jc w:val="center"/>
            </w:pPr>
            <w:r/>
            <w:r>
              <w:rPr>
                <w:b w:val="0"/>
                <w:sz w:val="22"/>
              </w:rPr>
              <w:t>0.016</w:t>
            </w:r>
          </w:p>
        </w:tc>
        <w:tc>
          <w:tcPr>
            <w:tcW w:type="dxa" w:w="1370"/>
          </w:tcPr>
          <w:p>
            <w:pPr>
              <w:jc w:val="center"/>
            </w:pPr>
            <w:r/>
            <w:r>
              <w:rPr>
                <w:b w:val="0"/>
                <w:sz w:val="22"/>
              </w:rPr>
              <w:t>2.48</w:t>
            </w:r>
          </w:p>
        </w:tc>
        <w:tc>
          <w:tcPr>
            <w:tcW w:type="dxa" w:w="1370"/>
          </w:tcPr>
          <w:p>
            <w:pPr>
              <w:jc w:val="center"/>
            </w:pPr>
            <w:r/>
            <w:r>
              <w:rPr>
                <w:b w:val="0"/>
                <w:sz w:val="22"/>
              </w:rPr>
              <w:t>p = 0.014</w:t>
            </w:r>
          </w:p>
        </w:tc>
        <w:tc>
          <w:tcPr>
            <w:tcW w:type="dxa" w:w="1370"/>
          </w:tcPr>
          <w:p>
            <w:pPr>
              <w:jc w:val="center"/>
            </w:pPr>
            <w:r/>
            <w:r>
              <w:rPr>
                <w:b w:val="0"/>
                <w:sz w:val="22"/>
              </w:rPr>
              <w:t>—</w:t>
            </w:r>
          </w:p>
        </w:tc>
      </w:tr>
      <w:tr>
        <w:tc>
          <w:tcPr>
            <w:tcW w:type="dxa" w:w="1370"/>
          </w:tcPr>
          <w:p>
            <w:pPr>
              <w:bidi w:val="1"/>
              <w:jc w:val="center"/>
            </w:pPr>
            <w:r/>
            <w:r>
              <w:rPr>
                <w:b w:val="0"/>
                <w:sz w:val="22"/>
              </w:rPr>
              <w:t>اثر مستقیم c′</w:t>
            </w:r>
          </w:p>
        </w:tc>
        <w:tc>
          <w:tcPr>
            <w:tcW w:type="dxa" w:w="1370"/>
          </w:tcPr>
          <w:p>
            <w:pPr>
              <w:jc w:val="center"/>
            </w:pPr>
            <w:r/>
            <w:r>
              <w:rPr>
                <w:b w:val="0"/>
                <w:sz w:val="22"/>
              </w:rPr>
              <w:t>0.131</w:t>
            </w:r>
          </w:p>
        </w:tc>
        <w:tc>
          <w:tcPr>
            <w:tcW w:type="dxa" w:w="1370"/>
          </w:tcPr>
          <w:p>
            <w:pPr>
              <w:jc w:val="center"/>
            </w:pPr>
            <w:r/>
            <w:r>
              <w:rPr>
                <w:b w:val="0"/>
                <w:sz w:val="22"/>
              </w:rPr>
              <w:t>0.061</w:t>
            </w:r>
          </w:p>
        </w:tc>
        <w:tc>
          <w:tcPr>
            <w:tcW w:type="dxa" w:w="1370"/>
          </w:tcPr>
          <w:p>
            <w:pPr>
              <w:jc w:val="center"/>
            </w:pPr>
            <w:r/>
            <w:r>
              <w:rPr>
                <w:b w:val="0"/>
                <w:sz w:val="22"/>
              </w:rPr>
              <w:t>2.16</w:t>
            </w:r>
          </w:p>
        </w:tc>
        <w:tc>
          <w:tcPr>
            <w:tcW w:type="dxa" w:w="1370"/>
          </w:tcPr>
          <w:p>
            <w:pPr>
              <w:jc w:val="center"/>
            </w:pPr>
            <w:r/>
            <w:r>
              <w:rPr>
                <w:b w:val="0"/>
                <w:sz w:val="22"/>
              </w:rPr>
              <w:t>p = 0.032</w:t>
            </w:r>
          </w:p>
        </w:tc>
        <w:tc>
          <w:tcPr>
            <w:tcW w:type="dxa" w:w="1370"/>
          </w:tcPr>
          <w:p>
            <w:pPr>
              <w:jc w:val="center"/>
            </w:pPr>
            <w:r/>
            <w:r>
              <w:rPr>
                <w:b w:val="0"/>
                <w:sz w:val="22"/>
              </w:rPr>
              <w:t>[-0.004, 0.267]</w:t>
            </w:r>
          </w:p>
        </w:tc>
      </w:tr>
      <w:tr>
        <w:tc>
          <w:tcPr>
            <w:tcW w:type="dxa" w:w="1370"/>
          </w:tcPr>
          <w:p>
            <w:pPr>
              <w:bidi w:val="1"/>
              <w:jc w:val="center"/>
            </w:pPr>
            <w:r/>
            <w:r>
              <w:rPr>
                <w:b w:val="0"/>
                <w:sz w:val="22"/>
              </w:rPr>
              <w:t>اثر کل c</w:t>
            </w:r>
          </w:p>
        </w:tc>
        <w:tc>
          <w:tcPr>
            <w:tcW w:type="dxa" w:w="1370"/>
          </w:tcPr>
          <w:p>
            <w:pPr>
              <w:jc w:val="center"/>
            </w:pPr>
            <w:r/>
            <w:r>
              <w:rPr>
                <w:b w:val="0"/>
                <w:sz w:val="22"/>
              </w:rPr>
              <w:t>0.202</w:t>
            </w:r>
          </w:p>
        </w:tc>
        <w:tc>
          <w:tcPr>
            <w:tcW w:type="dxa" w:w="1370"/>
          </w:tcPr>
          <w:p>
            <w:pPr>
              <w:jc w:val="center"/>
            </w:pPr>
            <w:r/>
            <w:r>
              <w:rPr>
                <w:b w:val="0"/>
                <w:sz w:val="22"/>
              </w:rPr>
              <w:t>0.054</w:t>
            </w:r>
          </w:p>
        </w:tc>
        <w:tc>
          <w:tcPr>
            <w:tcW w:type="dxa" w:w="1370"/>
          </w:tcPr>
          <w:p>
            <w:pPr>
              <w:jc w:val="center"/>
            </w:pPr>
            <w:r/>
            <w:r>
              <w:rPr>
                <w:b w:val="0"/>
                <w:sz w:val="22"/>
              </w:rPr>
              <w:t>3.74</w:t>
            </w:r>
          </w:p>
        </w:tc>
        <w:tc>
          <w:tcPr>
            <w:tcW w:type="dxa" w:w="1370"/>
          </w:tcPr>
          <w:p>
            <w:pPr>
              <w:jc w:val="center"/>
            </w:pPr>
            <w:r/>
            <w:r>
              <w:rPr>
                <w:b w:val="0"/>
                <w:sz w:val="22"/>
              </w:rPr>
              <w:t>p &lt; 0.001</w:t>
            </w:r>
          </w:p>
        </w:tc>
        <w:tc>
          <w:tcPr>
            <w:tcW w:type="dxa" w:w="1370"/>
          </w:tcPr>
          <w:p>
            <w:pPr>
              <w:jc w:val="center"/>
            </w:pPr>
            <w:r/>
            <w:r>
              <w:rPr>
                <w:b w:val="0"/>
                <w:sz w:val="22"/>
              </w:rPr>
              <w:t>[0.094, 0.313]</w:t>
            </w:r>
          </w:p>
        </w:tc>
      </w:tr>
      <w:tr>
        <w:tc>
          <w:tcPr>
            <w:tcW w:type="dxa" w:w="1370"/>
          </w:tcPr>
          <w:p>
            <w:pPr>
              <w:bidi w:val="1"/>
              <w:jc w:val="center"/>
            </w:pPr>
            <w:r/>
            <w:r>
              <w:rPr>
                <w:b w:val="0"/>
                <w:sz w:val="22"/>
              </w:rPr>
              <w:t>اثر غیرمستقیم a×b</w:t>
            </w:r>
          </w:p>
        </w:tc>
        <w:tc>
          <w:tcPr>
            <w:tcW w:type="dxa" w:w="1370"/>
          </w:tcPr>
          <w:p>
            <w:pPr>
              <w:jc w:val="center"/>
            </w:pPr>
            <w:r/>
            <w:r>
              <w:rPr>
                <w:b w:val="0"/>
                <w:sz w:val="22"/>
              </w:rPr>
              <w:t>0.071</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[0.012, 0.142]</w:t>
            </w:r>
          </w:p>
        </w:tc>
      </w:tr>
    </w:tbl>
    <w:p>
      <w:pPr>
        <w:bidi w:val="1"/>
        <w:spacing w:lineRule="exact" w:line="580" w:after="0"/>
        <w:jc w:val="both"/>
      </w:pPr>
      <w:r>
        <w:rPr>
          <w:rFonts w:ascii="B Nazanin" w:hAnsi="B Nazanin" w:cs="B Nazanin" w:hint="cs"/>
          <w:sz w:val="24"/>
          <w:szCs w:val="24"/>
          <w:rtl/>
          <w:lang w:bidi="fa-IR"/>
        </w:rPr>
        <w:t xml:space="preserve">تفسیر</w:t>
      </w:r>
      <w:r>
        <w:rPr>
          <w:rFonts w:ascii="Times New Roman" w:hAnsi="Times New Roman" w:cs="Times New Roman"/>
          <w:sz w:val="22"/>
          <w:szCs w:val="22"/>
          <w:lang w:val="en-US"/>
        </w:rPr>
        <w:t xml:space="preserve"> H1: </w:t>
      </w:r>
      <w:r>
        <w:rPr>
          <w:rFonts w:ascii="B Nazanin" w:hAnsi="B Nazanin" w:cs="B Nazanin" w:hint="cs"/>
          <w:sz w:val="24"/>
          <w:szCs w:val="24"/>
          <w:rtl/>
          <w:lang w:bidi="fa-IR"/>
        </w:rPr>
        <w:t xml:space="preserve">میانجی‌گری از نوع جزئی تأیید می‌شود؛ اما چون کرانه پایینِ بازه اطمینان اثر غیرمستقیم (۰٫۰۱۲) به صفر نزدیک است، این تأیید باید محتاطانه خوانده شود: معناداری مسیر غیرمستقیم از نظر آماری برقرار است، ولی اندازه آن کوچک تا متوسط و حساس به بازنمونه‌گیری است و تکریر آن در نمونه مستقل ضرورت دارد.</w:t>
      </w:r>
    </w:p>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 پراسس،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jc w:val="center"/>
            </w:pPr>
            <w:r/>
            <w:r>
              <w:rPr>
                <w:b/>
                <w:sz w:val="22"/>
              </w:rPr>
              <w:t>χ²</w:t>
            </w:r>
          </w:p>
        </w:tc>
        <w:tc>
          <w:tcPr>
            <w:tcW w:type="dxa" w:w="1028"/>
            <w:tcBorders>
              <w:bottom w:val="single" w:sz="12" w:space="0" w:color="000000"/>
            </w:tcBorders>
          </w:tcPr>
          <w:p>
            <w:pPr>
              <w:jc w:val="center"/>
            </w:pPr>
            <w:r/>
            <w:r>
              <w:rPr>
                <w:b/>
                <w:sz w:val="22"/>
              </w:rPr>
              <w:t>df</w:t>
            </w:r>
          </w:p>
        </w:tc>
        <w:tc>
          <w:tcPr>
            <w:tcW w:type="dxa" w:w="1028"/>
            <w:tcBorders>
              <w:bottom w:val="single" w:sz="12" w:space="0" w:color="000000"/>
            </w:tcBorders>
          </w:tcPr>
          <w:p>
            <w:pPr>
              <w:jc w:val="center"/>
            </w:pPr>
            <w:r/>
            <w:r>
              <w:rPr>
                <w:b/>
                <w:sz w:val="22"/>
              </w:rPr>
              <w:t>χ²/df</w:t>
            </w:r>
          </w:p>
        </w:tc>
        <w:tc>
          <w:tcPr>
            <w:tcW w:type="dxa" w:w="1028"/>
            <w:tcBorders>
              <w:bottom w:val="single" w:sz="12" w:space="0" w:color="000000"/>
            </w:tcBorders>
          </w:tcPr>
          <w:p>
            <w:pPr>
              <w:jc w:val="center"/>
            </w:pPr>
            <w:r/>
            <w:r>
              <w:rPr>
                <w:b/>
                <w:sz w:val="22"/>
              </w:rPr>
              <w:t>CFI</w:t>
            </w:r>
          </w:p>
        </w:tc>
        <w:tc>
          <w:tcPr>
            <w:tcW w:type="dxa" w:w="1028"/>
            <w:tcBorders>
              <w:bottom w:val="single" w:sz="12" w:space="0" w:color="000000"/>
            </w:tcBorders>
          </w:tcPr>
          <w:p>
            <w:pPr>
              <w:jc w:val="center"/>
            </w:pPr>
            <w:r/>
            <w:r>
              <w:rPr>
                <w:b/>
                <w:sz w:val="22"/>
              </w:rPr>
              <w:t>TLI</w:t>
            </w:r>
          </w:p>
        </w:tc>
        <w:tc>
          <w:tcPr>
            <w:tcW w:type="dxa" w:w="1028"/>
            <w:tcBorders>
              <w:bottom w:val="single" w:sz="12" w:space="0" w:color="000000"/>
            </w:tcBorders>
          </w:tcPr>
          <w:p>
            <w:pPr>
              <w:jc w:val="center"/>
            </w:pPr>
            <w:r/>
            <w:r>
              <w:rPr>
                <w:b/>
                <w:sz w:val="22"/>
              </w:rPr>
              <w:t>RMSEA</w:t>
            </w:r>
          </w:p>
        </w:tc>
        <w:tc>
          <w:tcPr>
            <w:tcW w:type="dxa" w:w="1028"/>
            <w:tcBorders>
              <w:bottom w:val="single" w:sz="12" w:space="0" w:color="000000"/>
            </w:tcBorders>
          </w:tcPr>
          <w:p>
            <w:pPr>
              <w:jc w:val="center"/>
            </w:pPr>
            <w:r/>
            <w:r>
              <w:rPr>
                <w:b/>
                <w:sz w:val="22"/>
              </w:rPr>
              <w:t>SRMR</w:t>
            </w:r>
          </w:p>
        </w:tc>
      </w:tr>
      <w:tr>
        <w:tc>
          <w:tcPr>
            <w:tcW w:type="dxa" w:w="1028"/>
          </w:tcPr>
          <w:p>
            <w:pPr>
              <w:bidi w:val="1"/>
              <w:jc w:val="center"/>
            </w:pPr>
            <w:r/>
            <w:r>
              <w:rPr>
                <w:b w:val="0"/>
                <w:sz w:val="22"/>
              </w:rPr>
              <w:t>میانجی‌گری کامل</w:t>
            </w:r>
          </w:p>
        </w:tc>
        <w:tc>
          <w:tcPr>
            <w:tcW w:type="dxa" w:w="1028"/>
          </w:tcPr>
          <w:p>
            <w:pPr>
              <w:jc w:val="center"/>
            </w:pPr>
            <w:r/>
            <w:r>
              <w:rPr>
                <w:b w:val="0"/>
                <w:sz w:val="22"/>
              </w:rPr>
              <w:t>4.65</w:t>
            </w:r>
          </w:p>
        </w:tc>
        <w:tc>
          <w:tcPr>
            <w:tcW w:type="dxa" w:w="1028"/>
          </w:tcPr>
          <w:p>
            <w:pPr>
              <w:jc w:val="center"/>
            </w:pPr>
            <w:r/>
            <w:r>
              <w:rPr>
                <w:b w:val="0"/>
                <w:sz w:val="22"/>
              </w:rPr>
              <w:t>1</w:t>
            </w:r>
          </w:p>
        </w:tc>
        <w:tc>
          <w:tcPr>
            <w:tcW w:type="dxa" w:w="1028"/>
          </w:tcPr>
          <w:p>
            <w:pPr>
              <w:jc w:val="center"/>
            </w:pPr>
            <w:r/>
            <w:r>
              <w:rPr>
                <w:b w:val="0"/>
                <w:sz w:val="22"/>
              </w:rPr>
              <w:t>4.65</w:t>
            </w:r>
          </w:p>
        </w:tc>
        <w:tc>
          <w:tcPr>
            <w:tcW w:type="dxa" w:w="1028"/>
          </w:tcPr>
          <w:p>
            <w:pPr>
              <w:jc w:val="center"/>
            </w:pPr>
            <w:r/>
            <w:r>
              <w:rPr>
                <w:b w:val="0"/>
                <w:sz w:val="22"/>
              </w:rPr>
              <w:t>0.940</w:t>
            </w:r>
          </w:p>
        </w:tc>
        <w:tc>
          <w:tcPr>
            <w:tcW w:type="dxa" w:w="1028"/>
          </w:tcPr>
          <w:p>
            <w:pPr>
              <w:jc w:val="center"/>
            </w:pPr>
            <w:r/>
            <w:r>
              <w:rPr>
                <w:b w:val="0"/>
                <w:sz w:val="22"/>
              </w:rPr>
              <w:t>0.819</w:t>
            </w:r>
          </w:p>
        </w:tc>
        <w:tc>
          <w:tcPr>
            <w:tcW w:type="dxa" w:w="1028"/>
          </w:tcPr>
          <w:p>
            <w:pPr>
              <w:jc w:val="center"/>
            </w:pPr>
            <w:r/>
            <w:r>
              <w:rPr>
                <w:b w:val="0"/>
                <w:sz w:val="22"/>
              </w:rPr>
              <w:t>0.146</w:t>
            </w:r>
          </w:p>
        </w:tc>
        <w:tc>
          <w:tcPr>
            <w:tcW w:type="dxa" w:w="1028"/>
          </w:tcPr>
          <w:p>
            <w:pPr>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jc w:val="center"/>
            </w:pPr>
            <w:r/>
            <w:r>
              <w:rPr>
                <w:b w:val="0"/>
                <w:sz w:val="22"/>
              </w:rPr>
              <w:t>0.00</w:t>
            </w:r>
          </w:p>
        </w:tc>
        <w:tc>
          <w:tcPr>
            <w:tcW w:type="dxa" w:w="1028"/>
          </w:tcPr>
          <w:p>
            <w:pPr>
              <w:jc w:val="center"/>
            </w:pPr>
            <w:r/>
            <w:r>
              <w:rPr>
                <w:b w:val="0"/>
                <w:sz w:val="22"/>
              </w:rPr>
              <w:t>0</w:t>
            </w:r>
          </w:p>
        </w:tc>
        <w:tc>
          <w:tcPr>
            <w:tcW w:type="dxa" w:w="1028"/>
          </w:tcPr>
          <w:p>
            <w:pPr>
              <w:jc w:val="center"/>
            </w:pPr>
            <w:r/>
            <w:r>
              <w:rPr>
                <w:b w:val="0"/>
                <w:sz w:val="22"/>
              </w:rPr>
              <w:t>—</w:t>
            </w:r>
          </w:p>
        </w:tc>
        <w:tc>
          <w:tcPr>
            <w:tcW w:type="dxa" w:w="1028"/>
          </w:tcPr>
          <w:p>
            <w:pPr>
              <w:jc w:val="center"/>
            </w:pPr>
            <w:r/>
            <w:r>
              <w:rPr>
                <w:b w:val="0"/>
                <w:sz w:val="22"/>
              </w:rPr>
              <w:t>1.000</w:t>
            </w:r>
          </w:p>
        </w:tc>
        <w:tc>
          <w:tcPr>
            <w:tcW w:type="dxa" w:w="1028"/>
          </w:tcPr>
          <w:p>
            <w:pPr>
              <w:jc w:val="center"/>
            </w:pPr>
            <w:r/>
            <w:r>
              <w:rPr>
                <w:b w:val="0"/>
                <w:sz w:val="22"/>
              </w:rPr>
              <w:t>1.000</w:t>
            </w:r>
          </w:p>
        </w:tc>
        <w:tc>
          <w:tcPr>
            <w:tcW w:type="dxa" w:w="1028"/>
          </w:tcPr>
          <w:p>
            <w:pPr>
              <w:jc w:val="center"/>
            </w:pPr>
            <w:r/>
            <w:r>
              <w:rPr>
                <w:b w:val="0"/>
                <w:sz w:val="22"/>
              </w:rPr>
              <w:t>0.000</w:t>
            </w:r>
          </w:p>
        </w:tc>
        <w:tc>
          <w:tcPr>
            <w:tcW w:type="dxa" w:w="1028"/>
          </w:tcPr>
          <w:p>
            <w:pPr>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بر اساس آستانه‌های متعارف، تنها</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 SRMR = 0.080)</w:t>
      </w:r>
      <w:r>
        <w:rPr>
          <w:rFonts w:ascii="B Nazanin" w:hAnsi="B Nazanin" w:cs="B Nazanin" w:hint="cs"/>
          <w:sz w:val="24"/>
          <w:szCs w:val="24"/>
          <w:rtl/>
          <w:lang w:bidi="fa-IR"/>
        </w:rPr>
        <w:t xml:space="preserve">. در مقابل،</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از حد مطلوب فاصله دارند. بنابراین این مدل تأییدشده روش‌شناختی اعلام نمی‌شود: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 از این رو نتایج</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باید با احتیاط تفسیر شوند و تحلیل پراسس به‌عنوان تحلیل اصلی میانجی‌گری ملاک قرار می‌گیرد. هم‌جهتی معنادار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 جهت‌دار از الگو است نه اثبات برازش.</w:t>
      </w:r>
    </w:p>
    <w:p>
      <w:pPr>
        <w:bidi w:val="1"/>
        <w:spacing w:lineRule="exact" w:line="580" w:after="0"/>
        <w:jc w:val="both"/>
      </w:pPr>
      <w:r>
        <w:rPr>
          <w:rFonts w:ascii="B Nazanin" w:hAnsi="B Nazanin" w:cs="B Nazanin" w:hint="cs"/>
          <w:sz w:val="24"/>
          <w:szCs w:val="24"/>
          <w:rtl/>
          <w:lang w:bidi="fa-IR"/>
        </w:rPr>
        <w:t xml:space="preserve">پیشنهاد روش‌شناختی برای پژوهش‌های بعدی: چون الگوی آزموده‌شده بر نمره‌های کلِ مشاهده‌پذیر استوار است و خطای اندازه‌گیری در آن مدل‌سازی نشده، پیشنهاد می‌شود در پژوهش‌های بعدی مدل نهفت‌نگار با پارسل‌بندی گویه‌ها (به‌ویژه برای مقیاس ۷۵گویه‌ای طرحواره) در برابر همان الگوی سه‌متغیره و نیز مدل رقیب «اثر مستقیمِ صرف» آزمون شود؛ چنین مقایسه‌ای می‌تواند برآورد دقیق‌تری از برازش ساختار و سهم خطای اندازه‌گیری ارائه کند.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jc w:val="center"/>
            </w:pPr>
            <w:r/>
            <w:r>
              <w:rPr>
                <w:b w:val="0"/>
                <w:sz w:val="22"/>
              </w:rPr>
              <w:t>r = 0.28</w:t>
            </w:r>
          </w:p>
        </w:tc>
        <w:tc>
          <w:tcPr>
            <w:tcW w:type="dxa" w:w="2055"/>
          </w:tcPr>
          <w:p>
            <w:pPr>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jc w:val="center"/>
            </w:pPr>
            <w:r/>
            <w:r>
              <w:rPr>
                <w:b w:val="0"/>
                <w:sz w:val="22"/>
              </w:rPr>
              <w:t>r = 0.48</w:t>
            </w:r>
          </w:p>
        </w:tc>
        <w:tc>
          <w:tcPr>
            <w:tcW w:type="dxa" w:w="2055"/>
          </w:tcPr>
          <w:p>
            <w:pPr>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jc w:val="center"/>
            </w:pPr>
            <w:r/>
            <w:r>
              <w:rPr>
                <w:b w:val="0"/>
                <w:sz w:val="22"/>
              </w:rPr>
              <w:t>r = 0.29</w:t>
            </w:r>
          </w:p>
        </w:tc>
        <w:tc>
          <w:tcPr>
            <w:tcW w:type="dxa" w:w="2055"/>
          </w:tcPr>
          <w:p>
            <w:pPr>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jc w:val="center"/>
            </w:pPr>
            <w:r/>
            <w:r>
              <w:rPr>
                <w:b w:val="0"/>
                <w:sz w:val="22"/>
              </w:rPr>
              <w:t>a×b = 0.071</w:t>
            </w:r>
          </w:p>
        </w:tc>
        <w:tc>
          <w:tcPr>
            <w:tcW w:type="dxa" w:w="2055"/>
          </w:tcPr>
          <w:p>
            <w:pPr>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الگوی کلی یافته‌ها: اضطراب صفتی نخست طرحواره‌های ناسازگار را فعال می‌کند و این طرحواره‌ها بخشی از اثر را به رفتارهای پرخطر مالی منتقل می‌کنند؛ مسیری مستقیم و مستقل نیز باقی می‌ماند که احتمالاً بازتاب هیجان‌های موقعیتی و سبک‌های شخصیِ ریسک‌پذیری است. سهم نزدیک به نصفیِ مسیر غیرمستقیم، مداخله طرحواره‌محور را توجیه می‌کند، اما عدم صفرشدن</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هشدار می‌دهد که صرفِ بازسازی شناختی کافی نیست و باید آموزش مدیریت اضطراب و سواد مالی نیز در برنامه باشد.</w:t>
      </w:r>
    </w:p>
    <w:p>
      <w:pPr>
        <w:bidi w:val="1"/>
        <w:spacing w:lineRule="exact" w:line="580" w:after="0"/>
        <w:jc w:val="both"/>
      </w:pPr>
      <w:r>
        <w:rPr>
          <w:rFonts w:ascii="B Nazanin" w:hAnsi="B Nazanin" w:cs="B Nazanin" w:hint="cs"/>
          <w:sz w:val="24"/>
          <w:szCs w:val="24"/>
          <w:rtl/>
          <w:lang w:bidi="fa-IR"/>
        </w:rPr>
        <w:t xml:space="preserve">پیش از ارجاع به فصل پنجم سه محدودیت روش‌شناختی را یادآوری می‌کنیم: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دامنه‌ی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Straight-lining</w:t>
      </w:r>
    </w:p>
  </w:footnote>
  <w:footnote w:id="2">
    <w:p>
      <w:pPr>
        <w:bidi w:val="0"/>
      </w:pPr>
      <w:r>
        <w:rPr>
          <w:vertAlign w:val="superscript"/>
        </w:rPr>
        <w:footnoteRef/>
      </w:r>
      <w:r>
        <w:rPr>
          <w:rFonts w:ascii="Times New Roman" w:hAnsi="Times New Roman" w:cs="Times New Roman"/>
          <w:sz w:val="20"/>
          <w:szCs w:val="20"/>
        </w:rPr>
        <w:t xml:space="preserve"> Percentile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