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120" w:after="240"/>
        <w:jc w:val="center"/>
      </w:pPr>
      <w:r>
        <w:rPr>
          <w:rFonts w:ascii="B Nazanin" w:hAnsi="B Nazanin" w:cs="B Nazanin" w:hint="cs"/>
          <w:b/>
          <w:bCs/>
          <w:sz w:val="32"/>
          <w:szCs w:val="32"/>
          <w:rtl/>
          <w:lang w:bidi="fa-IR"/>
        </w:rPr>
        <w:t xml:space="preserve">فصل پنجم: بحث و نتیجه‌گیری</w:t>
      </w:r>
    </w:p>
    <w:p>
      <w:pPr>
        <w:bidi w:val="1"/>
        <w:spacing w:lineRule="exact" w:line="580" w:after="120"/>
        <w:jc w:val="both"/>
      </w:pPr>
      <w:r>
        <w:rPr>
          <w:rFonts w:ascii="B Nazanin" w:hAnsi="B Nazanin" w:cs="B Nazanin" w:hint="cs"/>
          <w:sz w:val="24"/>
          <w:szCs w:val="24"/>
          <w:rtl/>
          <w:lang w:bidi="fa-IR"/>
        </w:rPr>
        <w:t xml:space="preserve">این فصل یک نمونه آموزشی است که بر پایه یافته‌های فصل چهارم شبیه‌سازی‌شده تدوین شده است و صرفاً نحوه بحث، تفسیر و نتیجه‌گیری از یافته‌ها را نمایش می‌دهد. متن نهایی فصل پنجم پس از تحلیل داده‌های واقعی پژوهش بازنویسی خواهد شد.</w:t>
      </w:r>
    </w:p>
    <w:p>
      <w:pPr>
        <w:pStyle w:val="Heading2"/>
        <w:bidi w:val="1"/>
        <w:jc w:val="right"/>
      </w:pPr>
      <w:r>
        <w:rPr>
          <w:rFonts w:ascii="B Nazanin" w:hAnsi="B Nazanin" w:cs="B Nazanin" w:hint="cs"/>
          <w:b/>
          <w:bCs/>
          <w:sz w:val="28"/>
          <w:szCs w:val="28"/>
          <w:rtl/>
          <w:lang w:bidi="fa-IR"/>
        </w:rPr>
        <w:t xml:space="preserve">۵-۱. مقدمه</w:t>
      </w:r>
    </w:p>
    <w:p>
      <w:pPr>
        <w:bidi w:val="1"/>
        <w:spacing w:lineRule="exact" w:line="580" w:after="0"/>
        <w:jc w:val="both"/>
      </w:pPr>
      <w:r>
        <w:rPr>
          <w:rFonts w:ascii="B Nazanin" w:hAnsi="B Nazanin" w:cs="B Nazanin" w:hint="cs"/>
          <w:sz w:val="24"/>
          <w:szCs w:val="24"/>
          <w:rtl/>
          <w:lang w:bidi="fa-IR"/>
        </w:rPr>
        <w:t xml:space="preserve">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وضعیت هر یک مشخص گردید.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pPr>
        <w:bidi w:val="1"/>
        <w:spacing w:lineRule="exact" w:line="580" w:after="0"/>
        <w:jc w:val="both"/>
      </w:pPr>
      <w:r>
        <w:rPr>
          <w:rFonts w:ascii="B Nazanin" w:hAnsi="B Nazanin" w:cs="B Nazanin" w:hint="cs"/>
          <w:sz w:val="24"/>
          <w:szCs w:val="24"/>
          <w:rtl/>
          <w:lang w:bidi="fa-IR"/>
        </w:rPr>
        <w:t xml:space="preserve">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pPr>
        <w:bidi w:val="1"/>
        <w:spacing w:lineRule="exact" w:line="580" w:after="0"/>
        <w:jc w:val="both"/>
      </w:pPr>
      <w:r>
        <w:rPr>
          <w:rFonts w:ascii="B Nazanin" w:hAnsi="B Nazanin" w:cs="B Nazanin" w:hint="cs"/>
          <w:sz w:val="24"/>
          <w:szCs w:val="24"/>
          <w:rtl/>
          <w:lang w:bidi="fa-IR"/>
        </w:rPr>
        <w:t xml:space="preserve">نقشه راه فصل چنین است: بخش ۵-۲ تصویر فشرده‌ای از مسئله، روش و یافته‌های پژوهش به دست می‌دهد؛ بخش ۵-۳ یافته هر فرضیه را جداگانه بحث و تبیین می‌کند و با دلالت‌های نظری به پایان می‌رسد؛ بخش ۵-۴ الگوی کلی همسویی و ناهمسویی یافته‌ها با پیشینه داخلی و خارجی را جمع‌بندی می‌کند؛ بخش ۵-۵ کاربردهای عملی، بخش ۵-۶ محدودیت‌ها و بخش ۵-۷ پیشنهادهای پژوهشی و کاربردی را ارائه می‌دهند؛ و بخش ۵-۸ با نتیجه‌گیری نهایی فصل را می‌بندد.</w:t>
      </w:r>
    </w:p>
    <w:p>
      <w:pPr>
        <w:pStyle w:val="Heading2"/>
        <w:bidi w:val="1"/>
        <w:jc w:val="right"/>
      </w:pPr>
      <w:r>
        <w:rPr>
          <w:rFonts w:ascii="B Nazanin" w:hAnsi="B Nazanin" w:cs="B Nazanin" w:hint="cs"/>
          <w:b/>
          <w:bCs/>
          <w:sz w:val="28"/>
          <w:szCs w:val="28"/>
          <w:rtl/>
          <w:lang w:bidi="fa-IR"/>
        </w:rPr>
        <w:t xml:space="preserve">۵-۲. خلاصه پژوهش</w:t>
      </w:r>
    </w:p>
    <w:p>
      <w:pPr>
        <w:bidi w:val="1"/>
        <w:spacing w:lineRule="exact" w:line="580" w:after="0"/>
        <w:jc w:val="both"/>
      </w:pPr>
      <w:r>
        <w:rPr>
          <w:rFonts w:ascii="B Nazanin" w:hAnsi="B Nazanin" w:cs="B Nazanin" w:hint="cs"/>
          <w:sz w:val="24"/>
          <w:szCs w:val="24"/>
          <w:rtl/>
          <w:lang w:bidi="fa-IR"/>
        </w:rPr>
        <w:t xml:space="preserve">مسئله محوری پژوهش حاضر، تبیین روانشناختی رفتارهای مالی پرخطر در معامله‌گران بازارهای مالی بود: چرا معامله‌گرانی با دانش فنی مشابه در مواجهه با نوسانات بازار تصمیم‌های متفاوتی می‌گیرند و تنش هیجانی از چه مسیری به رفتار پرخطر بدل می‌شود. بر این اساس، هدف اصلی پژوهش تعیین نقش میانجی طرحواره‌های ناسازگار اولیه در رابطه اضطراب صفتی با رفتارهای مالی پرخطر بود و سه هدف فرعی، تعیین روابط دوتایی میان همین سه متغیر را دنبال می‌کردند. این اهداف در قالب یک فرضیه اصلی و سه فرضیه فرعی صورت‌بندی شدند و آزمون آن‌ها بر عهده فصل چهارم نهاده شد.</w:t>
      </w:r>
    </w:p>
    <w:p>
      <w:pPr>
        <w:bidi w:val="1"/>
        <w:spacing w:lineRule="exact" w:line="580" w:after="0"/>
        <w:jc w:val="both"/>
      </w:pPr>
      <w:r>
        <w:rPr>
          <w:rFonts w:ascii="B Nazanin" w:hAnsi="B Nazanin" w:cs="B Nazanin" w:hint="cs"/>
          <w:sz w:val="24"/>
          <w:szCs w:val="24"/>
          <w:rtl/>
          <w:lang w:bidi="fa-IR"/>
        </w:rPr>
        <w:t xml:space="preserve">روش پژوهش توصیفی-همبستگی و گردآوری داده‌ها به شیوه آنلاین و با نمونه‌گیری در دسترس و گلوله‌برفی از میان معامله‌گران بازارهای داخلی و بین‌المللی انجام گرفت. از ۲۱۲ پاسخ خام، پس از چهار مرحله غربالگری — ۷ مورد عدم تکمیل یا رد رضایت آگاهانه، ۱۴ مورد پاسخ ناقص، ۱۱ مورد الگوی پاسخ یکنواخت و ۹ مورد زمان پاسخ‌دهی زیر ۱۲۰ ثانیه، در مجموع ۴۱ حذف‌شده — ۱۷۱ پاسخ معتبر وارد تحلیل شد. اضطراب صفتی با فرم صفتی اسپیلبرگر، طرحواره‌های ناسازگار اولیه با فرم کوتاه پرسشنامه طرحواره یانگ و رفتارهای مالی پرخطر با مقیاس تحمل ریسک مالی گرابل و لایتون سنجیده شدند. فرضیه‌های فرعی با همبستگی پیرسون و فرضیه اصلی با تحلیل میانجی‌گری پراسس مدل ۴ بر پایه ۵۰۰۰ بازنمونه بوت‌استرپ آزمون شدند و مدل‌سازی معادلات ساختاری نیز به‌عنوان تحلیل پشتیبان اجرا گردید.</w:t>
      </w:r>
    </w:p>
    <w:p>
      <w:pPr>
        <w:bidi w:val="1"/>
        <w:spacing w:lineRule="exact" w:line="580" w:after="0"/>
        <w:jc w:val="both"/>
      </w:pPr>
      <w:r>
        <w:rPr>
          <w:rFonts w:ascii="B Nazanin" w:hAnsi="B Nazanin" w:cs="B Nazanin" w:hint="cs"/>
          <w:sz w:val="24"/>
          <w:szCs w:val="24"/>
          <w:rtl/>
          <w:lang w:bidi="fa-IR"/>
        </w:rPr>
        <w:t xml:space="preserve">پایایی ابزارها در نمونه پژوهش مطلوب ارزیابی شد: آلفای کرونباخ اضطراب صفتی ۰٫۹۰۲، نمره کل طرحواره‌ها ۰٫۹۲۹ و تحمل ریسک مالی ۰٫۸۰۱ به دست آمد. پایایی پنج حیطه طرحواره میان ۰٫۷۰۴ تا ۰٫۸۴۰ قرار گرفت و پایین‌ترین مقدار به حیطه فراهدشیاری و بازداری هیجانی تعلق داشت که در مرز قابل قبول است؛ این ناهمگنی با پیشینه روان‌سنجی این ابزار سازگار است.</w:t>
      </w:r>
    </w:p>
    <w:p>
      <w:pPr>
        <w:bidi w:val="1"/>
        <w:spacing w:lineRule="exact" w:line="580" w:after="0"/>
        <w:jc w:val="both"/>
      </w:pPr>
      <w:r>
        <w:rPr>
          <w:rFonts w:ascii="B Nazanin" w:hAnsi="B Nazanin" w:cs="B Nazanin" w:hint="cs"/>
          <w:sz w:val="24"/>
          <w:szCs w:val="24"/>
          <w:rtl/>
          <w:lang w:bidi="fa-IR"/>
        </w:rPr>
        <w:t xml:space="preserve">نتایج آزمون فرضیه‌ها چنین بود. فرضیه دوم درباره رابطه اضطراب صفتی با رفتارهای مالی پرخطر با احتیاط تأیید شد</w:t>
      </w:r>
      <w:r>
        <w:rPr>
          <w:rFonts w:ascii="Times New Roman" w:hAnsi="Times New Roman" w:cs="Times New Roman"/>
          <w:sz w:val="22"/>
          <w:szCs w:val="22"/>
          <w:lang w:val="en-US"/>
        </w:rPr>
        <w:t xml:space="preserve"> (r = 0.28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اثری مثبت اما کوچک و در کرانه پایین اثر متوسط. فرضیه سوم درباره رابطه اضطراب صفتی با طرحواره‌های ناسازگار اولیه تأیید شد</w:t>
      </w:r>
      <w:r>
        <w:rPr>
          <w:rFonts w:ascii="Times New Roman" w:hAnsi="Times New Roman" w:cs="Times New Roman"/>
          <w:sz w:val="22"/>
          <w:szCs w:val="22"/>
          <w:lang w:val="en-US"/>
        </w:rPr>
        <w:t xml:space="preserve"> (r = 0.48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قوی‌ترین رابطه الگو با اندازه متوسط رو به بزرگ. فرضیه چهارم درباره رابطه طرحواره‌ها با رفتارهای مالی پرخطر نیز تأیید شد</w:t>
      </w:r>
      <w:r>
        <w:rPr>
          <w:rFonts w:ascii="Times New Roman" w:hAnsi="Times New Roman" w:cs="Times New Roman"/>
          <w:sz w:val="22"/>
          <w:szCs w:val="22"/>
          <w:lang w:val="en-US"/>
        </w:rPr>
        <w:t xml:space="preserve"> (r = 0.29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 </w:t>
      </w:r>
      <w:r>
        <w:rPr>
          <w:rFonts w:ascii="B Nazanin" w:hAnsi="B Nazanin" w:cs="B Nazanin" w:hint="cs"/>
          <w:sz w:val="24"/>
          <w:szCs w:val="24"/>
          <w:rtl/>
          <w:lang w:bidi="fa-IR"/>
        </w:rPr>
        <w:t xml:space="preserve">با اندازه اثر متوسط.</w:t>
      </w:r>
    </w:p>
    <w:p>
      <w:pPr>
        <w:bidi w:val="1"/>
        <w:spacing w:lineRule="exact" w:line="580" w:after="0"/>
        <w:jc w:val="both"/>
      </w:pPr>
      <w:r>
        <w:rPr>
          <w:rFonts w:ascii="B Nazanin" w:hAnsi="B Nazanin" w:cs="B Nazanin" w:hint="cs"/>
          <w:sz w:val="24"/>
          <w:szCs w:val="24"/>
          <w:rtl/>
          <w:lang w:bidi="fa-IR"/>
        </w:rPr>
        <w:t xml:space="preserve">در آزمون فرضیه اصلی، اثر غیرمستقیم اضطراب بر رفتار مالی از مسیر طرحواره‌ها برابر ۰٫۰۷۱ برآورد شد و فاصله اطمینان ۹۵٪ بوت‌استرپ آن </w:t>
      </w:r>
      <w:r>
        <w:rPr>
          <w:rFonts w:ascii="Times New Roman" w:hAnsi="Times New Roman" w:cs="Times New Roman"/>
          <w:sz w:val="22"/>
          <w:szCs w:val="22"/>
          <w:lang w:val="en-US"/>
        </w:rPr>
        <w:t xml:space="preserve">[0.012, 0.142]</w:t>
      </w:r>
      <w:r>
        <w:rPr>
          <w:rFonts w:ascii="B Nazanin" w:hAnsi="B Nazanin" w:cs="B Nazanin" w:hint="cs"/>
          <w:sz w:val="24"/>
          <w:szCs w:val="24"/>
          <w:rtl/>
          <w:lang w:bidi="fa-IR"/>
        </w:rPr>
        <w:t xml:space="preserve"> صفر را در بر نگرفت؛ هم‌زمان اثر مستقیم از ۰٫۲۰۲ به ۰٫۱۳۱ کاهش یافت اما همچنان معنادار ماند </w:t>
      </w:r>
      <w:r>
        <w:rPr>
          <w:rFonts w:ascii="Times New Roman" w:hAnsi="Times New Roman" w:cs="Times New Roman"/>
          <w:sz w:val="22"/>
          <w:szCs w:val="22"/>
          <w:lang w:val="en-US"/>
        </w:rPr>
        <w:t xml:space="preserve">(p = 0.032)</w:t>
      </w:r>
      <w:r>
        <w:rPr>
          <w:rFonts w:ascii="B Nazanin" w:hAnsi="B Nazanin" w:cs="B Nazanin" w:hint="cs"/>
          <w:sz w:val="24"/>
          <w:szCs w:val="24"/>
          <w:rtl/>
          <w:lang w:bidi="fa-IR"/>
        </w:rPr>
        <w:t xml:space="preserve">. از این رو میانجی‌گری از نوع جزئی ارزیابی شد و حدود ۳۵٪ از اثر کل از مسیر طرحواره‌ها عبور کرد. شاخص‌های برازش مدل میانجی‌گری کامل در تحلیل معادلات ساختاری عبارت بودند از نسبت کای‌دو به درجه آزادی ۴٫۶۵،</w:t>
      </w:r>
      <w:r>
        <w:rPr>
          <w:rFonts w:ascii="Times New Roman" w:hAnsi="Times New Roman" w:cs="Times New Roman"/>
          <w:sz w:val="22"/>
          <w:szCs w:val="22"/>
          <w:lang w:val="en-US"/>
        </w:rPr>
        <w:t xml:space="preserve"> CFI = 0.940</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TLI = 0.819</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RMSEA = 0.146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SRMR = 0.080. </w:t>
      </w:r>
      <w:r>
        <w:rPr>
          <w:rFonts w:ascii="B Nazanin" w:hAnsi="B Nazanin" w:cs="B Nazanin" w:hint="cs"/>
          <w:sz w:val="24"/>
          <w:szCs w:val="24"/>
          <w:rtl/>
          <w:lang w:bidi="fa-IR"/>
        </w:rPr>
        <w:t xml:space="preserve">از آنجا که تنها شاخص نخست در سطح قابل قبول قرار گرفت، مدل کامل از نظر همه شاخص‌ها برازش رضایت‌بخش نداشت و نتیجه این تحلیل با احتیاط تفسیر شد؛ داوری اصلی درباره میانجی‌گری بر تحلیل پراسس استوار گردید. جدول ۵-۱ این نتایج را یکجا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۵-۱.</w:t>
      </w:r>
      <w:r>
        <w:rPr>
          <w:rFonts w:ascii="B Nazanin" w:hAnsi="B Nazanin" w:cs="B Nazanin" w:hint="cs"/>
          <w:sz w:val="22"/>
          <w:szCs w:val="22"/>
          <w:rtl/>
          <w:lang w:bidi="fa-IR"/>
        </w:rPr>
        <w:t xml:space="preserve"> خلاصه نتایج آزمون فرضیه‌ها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644"/>
        <w:gridCol w:w="1644"/>
        <w:gridCol w:w="1644"/>
        <w:gridCol w:w="1644"/>
        <w:gridCol w:w="1644"/>
      </w:tblGrid>
      <w:tr>
        <w:tc>
          <w:tcPr>
            <w:tcW w:type="dxa" w:w="1644"/>
            <w:tcBorders>
              <w:bottom w:val="single" w:sz="12" w:space="0" w:color="000000"/>
            </w:tcBorders>
          </w:tcPr>
          <w:p>
            <w:pPr>
              <w:bidi w:val="1"/>
              <w:jc w:val="center"/>
            </w:pPr>
            <w:r/>
            <w:r>
              <w:rPr>
                <w:b/>
                <w:sz w:val="22"/>
              </w:rPr>
              <w:t>فرضیه</w:t>
            </w:r>
          </w:p>
        </w:tc>
        <w:tc>
          <w:tcPr>
            <w:tcW w:type="dxa" w:w="1644"/>
            <w:tcBorders>
              <w:bottom w:val="single" w:sz="12" w:space="0" w:color="000000"/>
            </w:tcBorders>
          </w:tcPr>
          <w:p>
            <w:pPr>
              <w:bidi w:val="1"/>
              <w:jc w:val="center"/>
            </w:pPr>
            <w:r/>
            <w:r>
              <w:rPr>
                <w:b/>
                <w:sz w:val="22"/>
              </w:rPr>
              <w:t>آزمون</w:t>
            </w:r>
          </w:p>
        </w:tc>
        <w:tc>
          <w:tcPr>
            <w:tcW w:type="dxa" w:w="1644"/>
            <w:tcBorders>
              <w:bottom w:val="single" w:sz="12" w:space="0" w:color="000000"/>
            </w:tcBorders>
          </w:tcPr>
          <w:p>
            <w:pPr>
              <w:bidi w:val="1"/>
              <w:jc w:val="center"/>
            </w:pPr>
            <w:r/>
            <w:r>
              <w:rPr>
                <w:b/>
                <w:sz w:val="22"/>
              </w:rPr>
              <w:t>نتیجهٔ شبیه‌سازی</w:t>
            </w:r>
          </w:p>
        </w:tc>
        <w:tc>
          <w:tcPr>
            <w:tcW w:type="dxa" w:w="1644"/>
            <w:tcBorders>
              <w:bottom w:val="single" w:sz="12" w:space="0" w:color="000000"/>
            </w:tcBorders>
          </w:tcPr>
          <w:p>
            <w:pPr>
              <w:bidi w:val="1"/>
              <w:jc w:val="center"/>
            </w:pPr>
            <w:r/>
            <w:r>
              <w:rPr>
                <w:b/>
                <w:sz w:val="22"/>
              </w:rPr>
              <w:t>اندازه/ضریب اثر</w:t>
            </w:r>
          </w:p>
        </w:tc>
        <w:tc>
          <w:tcPr>
            <w:tcW w:type="dxa" w:w="1644"/>
            <w:tcBorders>
              <w:bottom w:val="single" w:sz="12" w:space="0" w:color="000000"/>
            </w:tcBorders>
          </w:tcPr>
          <w:p>
            <w:pPr>
              <w:bidi w:val="1"/>
              <w:jc w:val="center"/>
            </w:pPr>
            <w:r/>
            <w:r>
              <w:rPr>
                <w:b/>
                <w:sz w:val="22"/>
              </w:rPr>
              <w:t>وضعیت</w:t>
            </w:r>
          </w:p>
        </w:tc>
      </w:tr>
      <w:tr>
        <w:tc>
          <w:tcPr>
            <w:tcW w:type="dxa" w:w="1644"/>
          </w:tcPr>
          <w:p>
            <w:pPr>
              <w:bidi w:val="1"/>
              <w:jc w:val="center"/>
            </w:pPr>
            <w:r/>
            <w:r>
              <w:rPr>
                <w:b w:val="0"/>
                <w:sz w:val="22"/>
              </w:rPr>
              <w:t>H2: اضطراب صفتی ← رفتارهای مالی پرخطر</w:t>
            </w:r>
          </w:p>
        </w:tc>
        <w:tc>
          <w:tcPr>
            <w:tcW w:type="dxa" w:w="1644"/>
          </w:tcPr>
          <w:p>
            <w:pPr>
              <w:bidi w:val="1"/>
              <w:jc w:val="center"/>
            </w:pPr>
            <w:r/>
            <w:r>
              <w:rPr>
                <w:b w:val="0"/>
                <w:sz w:val="22"/>
              </w:rPr>
              <w:t>همبستگی پیرسون</w:t>
            </w:r>
          </w:p>
        </w:tc>
        <w:tc>
          <w:tcPr>
            <w:tcW w:type="dxa" w:w="1644"/>
          </w:tcPr>
          <w:p>
            <w:pPr>
              <w:bidi w:val="1"/>
              <w:jc w:val="center"/>
            </w:pPr>
            <w:r/>
            <w:r>
              <w:rPr>
                <w:b w:val="0"/>
                <w:sz w:val="22"/>
              </w:rPr>
              <w:t>r = 0.28، p &lt; 0.001</w:t>
            </w:r>
          </w:p>
        </w:tc>
        <w:tc>
          <w:tcPr>
            <w:tcW w:type="dxa" w:w="1644"/>
          </w:tcPr>
          <w:p>
            <w:pPr>
              <w:bidi w:val="1"/>
              <w:jc w:val="center"/>
            </w:pPr>
            <w:r/>
            <w:r>
              <w:rPr>
                <w:b w:val="0"/>
                <w:sz w:val="22"/>
              </w:rPr>
              <w:t>اثر کوچک (کرانهٔ پایین متوسط)</w:t>
            </w:r>
          </w:p>
        </w:tc>
        <w:tc>
          <w:tcPr>
            <w:tcW w:type="dxa" w:w="1644"/>
          </w:tcPr>
          <w:p>
            <w:pPr>
              <w:bidi w:val="1"/>
              <w:jc w:val="center"/>
            </w:pPr>
            <w:r/>
            <w:r>
              <w:rPr>
                <w:b w:val="0"/>
                <w:sz w:val="22"/>
              </w:rPr>
              <w:t>تأیید با احتیاط</w:t>
            </w:r>
          </w:p>
        </w:tc>
      </w:tr>
      <w:tr>
        <w:tc>
          <w:tcPr>
            <w:tcW w:type="dxa" w:w="1644"/>
          </w:tcPr>
          <w:p>
            <w:pPr>
              <w:bidi w:val="1"/>
              <w:jc w:val="center"/>
            </w:pPr>
            <w:r/>
            <w:r>
              <w:rPr>
                <w:b w:val="0"/>
                <w:sz w:val="22"/>
              </w:rPr>
              <w:t>H3: اضطراب صفتی ← طرحواره‌ها</w:t>
            </w:r>
          </w:p>
        </w:tc>
        <w:tc>
          <w:tcPr>
            <w:tcW w:type="dxa" w:w="1644"/>
          </w:tcPr>
          <w:p>
            <w:pPr>
              <w:bidi w:val="1"/>
              <w:jc w:val="center"/>
            </w:pPr>
            <w:r/>
            <w:r>
              <w:rPr>
                <w:b w:val="0"/>
                <w:sz w:val="22"/>
              </w:rPr>
              <w:t>همبستگی پیرسون</w:t>
            </w:r>
          </w:p>
        </w:tc>
        <w:tc>
          <w:tcPr>
            <w:tcW w:type="dxa" w:w="1644"/>
          </w:tcPr>
          <w:p>
            <w:pPr>
              <w:bidi w:val="1"/>
              <w:jc w:val="center"/>
            </w:pPr>
            <w:r/>
            <w:r>
              <w:rPr>
                <w:b w:val="0"/>
                <w:sz w:val="22"/>
              </w:rPr>
              <w:t>r = 0.48، p &lt; 0.001</w:t>
            </w:r>
          </w:p>
        </w:tc>
        <w:tc>
          <w:tcPr>
            <w:tcW w:type="dxa" w:w="1644"/>
          </w:tcPr>
          <w:p>
            <w:pPr>
              <w:bidi w:val="1"/>
              <w:jc w:val="center"/>
            </w:pPr>
            <w:r/>
            <w:r>
              <w:rPr>
                <w:b w:val="0"/>
                <w:sz w:val="22"/>
              </w:rPr>
              <w:t>اثر متوسط رو به بزرگ</w:t>
            </w:r>
          </w:p>
        </w:tc>
        <w:tc>
          <w:tcPr>
            <w:tcW w:type="dxa" w:w="1644"/>
          </w:tcPr>
          <w:p>
            <w:pPr>
              <w:bidi w:val="1"/>
              <w:jc w:val="center"/>
            </w:pPr>
            <w:r/>
            <w:r>
              <w:rPr>
                <w:b w:val="0"/>
                <w:sz w:val="22"/>
              </w:rPr>
              <w:t>تأیید</w:t>
            </w:r>
          </w:p>
        </w:tc>
      </w:tr>
      <w:tr>
        <w:tc>
          <w:tcPr>
            <w:tcW w:type="dxa" w:w="1644"/>
          </w:tcPr>
          <w:p>
            <w:pPr>
              <w:bidi w:val="1"/>
              <w:jc w:val="center"/>
            </w:pPr>
            <w:r/>
            <w:r>
              <w:rPr>
                <w:b w:val="0"/>
                <w:sz w:val="22"/>
              </w:rPr>
              <w:t>H4: طرحواره‌ها ← رفتارهای مالی پرخطر</w:t>
            </w:r>
          </w:p>
        </w:tc>
        <w:tc>
          <w:tcPr>
            <w:tcW w:type="dxa" w:w="1644"/>
          </w:tcPr>
          <w:p>
            <w:pPr>
              <w:bidi w:val="1"/>
              <w:jc w:val="center"/>
            </w:pPr>
            <w:r/>
            <w:r>
              <w:rPr>
                <w:b w:val="0"/>
                <w:sz w:val="22"/>
              </w:rPr>
              <w:t>همبستگی پیرسون</w:t>
            </w:r>
          </w:p>
        </w:tc>
        <w:tc>
          <w:tcPr>
            <w:tcW w:type="dxa" w:w="1644"/>
          </w:tcPr>
          <w:p>
            <w:pPr>
              <w:bidi w:val="1"/>
              <w:jc w:val="center"/>
            </w:pPr>
            <w:r/>
            <w:r>
              <w:rPr>
                <w:b w:val="0"/>
                <w:sz w:val="22"/>
              </w:rPr>
              <w:t>r = 0.29، p &lt; 0.001</w:t>
            </w:r>
          </w:p>
        </w:tc>
        <w:tc>
          <w:tcPr>
            <w:tcW w:type="dxa" w:w="1644"/>
          </w:tcPr>
          <w:p>
            <w:pPr>
              <w:bidi w:val="1"/>
              <w:jc w:val="center"/>
            </w:pPr>
            <w:r/>
            <w:r>
              <w:rPr>
                <w:b w:val="0"/>
                <w:sz w:val="22"/>
              </w:rPr>
              <w:t>اثر متوسط</w:t>
            </w:r>
          </w:p>
        </w:tc>
        <w:tc>
          <w:tcPr>
            <w:tcW w:type="dxa" w:w="1644"/>
          </w:tcPr>
          <w:p>
            <w:pPr>
              <w:bidi w:val="1"/>
              <w:jc w:val="center"/>
            </w:pPr>
            <w:r/>
            <w:r>
              <w:rPr>
                <w:b w:val="0"/>
                <w:sz w:val="22"/>
              </w:rPr>
              <w:t>تأیید</w:t>
            </w:r>
          </w:p>
        </w:tc>
      </w:tr>
      <w:tr>
        <w:tc>
          <w:tcPr>
            <w:tcW w:type="dxa" w:w="1644"/>
          </w:tcPr>
          <w:p>
            <w:pPr>
              <w:bidi w:val="1"/>
              <w:jc w:val="center"/>
            </w:pPr>
            <w:r/>
            <w:r>
              <w:rPr>
                <w:b w:val="0"/>
                <w:sz w:val="22"/>
              </w:rPr>
              <w:t>H1: میانجی‌گری طرحواره‌ها</w:t>
            </w:r>
          </w:p>
        </w:tc>
        <w:tc>
          <w:tcPr>
            <w:tcW w:type="dxa" w:w="1644"/>
          </w:tcPr>
          <w:p>
            <w:pPr>
              <w:bidi w:val="1"/>
              <w:jc w:val="center"/>
            </w:pPr>
            <w:r/>
            <w:r>
              <w:rPr>
                <w:b w:val="0"/>
                <w:sz w:val="22"/>
              </w:rPr>
              <w:t>پراسس مدل ۴ + بوت‌استرپ ۵۰۰۰</w:t>
            </w:r>
          </w:p>
        </w:tc>
        <w:tc>
          <w:tcPr>
            <w:tcW w:type="dxa" w:w="1644"/>
          </w:tcPr>
          <w:p>
            <w:pPr>
              <w:bidi w:val="1"/>
              <w:jc w:val="center"/>
            </w:pPr>
            <w:r/>
            <w:r>
              <w:rPr>
                <w:b w:val="0"/>
                <w:sz w:val="22"/>
              </w:rPr>
              <w:t>a×b = 0.071؛ CI [0.012, 0.142]؛ c′ = 0.131، p = 0.032</w:t>
            </w:r>
          </w:p>
        </w:tc>
        <w:tc>
          <w:tcPr>
            <w:tcW w:type="dxa" w:w="1644"/>
          </w:tcPr>
          <w:p>
            <w:pPr>
              <w:bidi w:val="1"/>
              <w:jc w:val="center"/>
            </w:pPr>
            <w:r/>
            <w:r>
              <w:rPr>
                <w:b w:val="0"/>
                <w:sz w:val="22"/>
              </w:rPr>
              <w:t>حدود ۳۵٪ اثر کل از مسیر غیرمستقیم</w:t>
            </w:r>
          </w:p>
        </w:tc>
        <w:tc>
          <w:tcPr>
            <w:tcW w:type="dxa" w:w="1644"/>
          </w:tcPr>
          <w:p>
            <w:pPr>
              <w:bidi w:val="1"/>
              <w:jc w:val="center"/>
            </w:pPr>
            <w:r/>
            <w:r>
              <w:rPr>
                <w:b w:val="0"/>
                <w:sz w:val="22"/>
              </w:rPr>
              <w:t>میانجی‌گری جزئی</w:t>
            </w:r>
          </w:p>
        </w:tc>
      </w:tr>
    </w:tbl>
    <w:p>
      <w:pPr>
        <w:pStyle w:val="Heading2"/>
        <w:bidi w:val="1"/>
        <w:jc w:val="right"/>
      </w:pPr>
      <w:r>
        <w:rPr>
          <w:rFonts w:ascii="B Nazanin" w:hAnsi="B Nazanin" w:cs="B Nazanin" w:hint="cs"/>
          <w:b/>
          <w:bCs/>
          <w:sz w:val="28"/>
          <w:szCs w:val="28"/>
          <w:rtl/>
          <w:lang w:bidi="fa-IR"/>
        </w:rPr>
        <w:t xml:space="preserve">۵-۳. بحث و تبیین یافته‌ها</w:t>
      </w:r>
    </w:p>
    <w:p>
      <w:pPr>
        <w:bidi w:val="1"/>
        <w:spacing w:lineRule="exact" w:line="580" w:after="0"/>
        <w:jc w:val="both"/>
      </w:pPr>
      <w:r>
        <w:rPr>
          <w:rFonts w:ascii="B Nazanin" w:hAnsi="B Nazanin" w:cs="B Nazanin" w:hint="cs"/>
          <w:sz w:val="24"/>
          <w:szCs w:val="24"/>
          <w:rtl/>
          <w:lang w:bidi="fa-IR"/>
        </w:rPr>
        <w:t xml:space="preserve">در این بخش، یافته هر یک از چهار فرضیه به‌ترتیب فرضیه‌های فرعی و سپس فرضیه اصلی بحث و تبیین می‌شود. برای هر یافته نخست نتیجه به‌اختصار بازگو می‌گردد، سپس جایگاه آن در میان شواهد هم‌سو و ناهمسوی پیشینه روشن می‌شود و در پایان سازوکار نظری آن تبیین می‌گردد.</w:t>
      </w:r>
    </w:p>
    <w:p>
      <w:pPr>
        <w:pStyle w:val="Heading3"/>
        <w:bidi w:val="1"/>
        <w:jc w:val="right"/>
      </w:pPr>
      <w:r>
        <w:rPr>
          <w:rFonts w:ascii="B Nazanin" w:hAnsi="B Nazanin" w:cs="B Nazanin" w:hint="cs"/>
          <w:b/>
          <w:bCs/>
          <w:sz w:val="26"/>
          <w:szCs w:val="26"/>
          <w:rtl/>
          <w:lang w:bidi="fa-IR"/>
        </w:rPr>
        <w:t xml:space="preserve">۵-۳-۱. بحث و تبیین رابطه اضطراب صفتی و رفتارهای مالی پرخطر</w:t>
      </w:r>
    </w:p>
    <w:p>
      <w:pPr>
        <w:bidi w:val="1"/>
        <w:spacing w:lineRule="exact" w:line="580" w:after="0"/>
        <w:jc w:val="both"/>
      </w:pPr>
      <w:r>
        <w:rPr>
          <w:rFonts w:ascii="B Nazanin" w:hAnsi="B Nazanin" w:cs="B Nazanin" w:hint="cs"/>
          <w:sz w:val="24"/>
          <w:szCs w:val="24"/>
          <w:rtl/>
          <w:lang w:bidi="fa-IR"/>
        </w:rPr>
        <w:t xml:space="preserve">یافته مربوط به فرضیه دوم نشان داد که میان اضطراب صفتی و رفتارهای مالی پرخطر رابطه‌ای مثبت و معنادار وجود دارد</w:t>
      </w:r>
      <w:r>
        <w:rPr>
          <w:rFonts w:ascii="Times New Roman" w:hAnsi="Times New Roman" w:cs="Times New Roman"/>
          <w:sz w:val="22"/>
          <w:szCs w:val="22"/>
          <w:lang w:val="en-US"/>
        </w:rPr>
        <w:t xml:space="preserve"> (r = 0.28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اما اندازه این اثر کوچک و در کرانه پایین اثر متوسط است. به بیان دیگر، معامله‌گران مضطرب‌تر در این نمونه تمایل بیشتری به پذیرش ریسک مالی نشان دادند، ولی این پیوند چندان نیرومند نیست و از همان ابتدا حکایت از آن دارد که اضطراب به‌تنهایی تبیین‌کننده رفتار مالی نیست. همین ویژگی — معناداری توأم با کوچکی اثر — چارچوب بحث این بخش را تعیین می‌کند.</w:t>
      </w:r>
    </w:p>
    <w:p>
      <w:pPr>
        <w:bidi w:val="1"/>
        <w:spacing w:lineRule="exact" w:line="580" w:after="0"/>
        <w:jc w:val="both"/>
      </w:pPr>
      <w:r>
        <w:rPr>
          <w:rFonts w:ascii="B Nazanin" w:hAnsi="B Nazanin" w:cs="B Nazanin" w:hint="cs"/>
          <w:sz w:val="24"/>
          <w:szCs w:val="24"/>
          <w:rtl/>
          <w:lang w:bidi="fa-IR"/>
        </w:rPr>
        <w:t xml:space="preserve">از نظر پیوند کلی میان ویژگی‌های اضطرابی و رفتار مالی، یافته حاضر با شواهد داخلی سازگار است. ستایش و همکاران (۱۳۹۹) نشان دادند که روان‌رنجورخویی — که اضطراب صفتی مؤلفه اصلی آن است — با الگوهای رفتار معاملاتی سرمایه‌گذاران بورس تهران رابطه معنادار دارد؛ شاهدی مستقیم از جامعه ایرانی که فرض کلی پژوهش حاضر را پشتیبانی می‌کند. بهدیو و همکاران (۱۳۹۸) نیز گزارش کردند که ویژگی‌های فردی و سطح ریسک‌پذیری سرمایه‌گذاران، بروز رفتار توده‌وار را پیش‌بینی می‌کند و از این رهگذر بر نقش متغیرهای روانشناختی در رفتار مالی غیرمنطقی صحه گذاشتند. در همین راستا، فلاح و خدایی (۱۳۹۸) رابطه مثبت هوش هیجانی با عملکرد سرمایه‌گذاری را گزارش کردند که از سمت معکوس نیز معنادار است: اگر مدیریت توانمند هیجان‌ها با پیامد مالی بهتر همراه باشد، دشواری در مدیریت هیجان — که وجه مشخصه اضطراب صفتی بالاست — می‌تواند با پیامدهای نامطلوب همراه شود.</w:t>
      </w:r>
    </w:p>
    <w:p>
      <w:pPr>
        <w:bidi w:val="1"/>
        <w:spacing w:lineRule="exact" w:line="580" w:after="0"/>
        <w:jc w:val="both"/>
      </w:pPr>
      <w:r>
        <w:rPr>
          <w:rFonts w:ascii="B Nazanin" w:hAnsi="B Nazanin" w:cs="B Nazanin" w:hint="cs"/>
          <w:sz w:val="24"/>
          <w:szCs w:val="24"/>
          <w:rtl/>
          <w:lang w:bidi="fa-IR"/>
        </w:rPr>
        <w:t xml:space="preserve">در پیشینه خارجی نیز پیوند اضطراب با تصمیم مالی به‌خوبی مستند شده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پژوهش‌های تجربی تصمیم‌گیری سرمایه‌گذاری نیز اضطراب از متغیرهایی شناخته شد که الگوی انتخاب افراد را در مواجهه با انتخاب‌های پرخطر مالی تغییر می‌دهد (گامبتی و گیوسبرتی، ۲۰۱۲). سافیتری و همکاران (۲۰۲۵) نیز گزارش کردند که عوامل اضطرابی هم بر فرایند تصمیم‌گیری و هم بر ظرفیت تحمل ریسک اثر تخریبی دارند؛ یافته‌ای که مستقیماً به متغیر ملاک پژوهش حاضر مربوط می‌شود. همچنین نوین و همکاران (۲۰۱۹) نشان دادند که ثبات هیجانی، یعنی نقطه مقابل روان‌رنجورخویی، با پذیرش ریسک و نیت سرمایه‌گذاری در سهام مرتبط است و از این طریق بر تعیین‌کنندگی بعد شخصیتی مرتبط با اضطراب در ریسک‌پذیری صحه گذاشتند.</w:t>
      </w:r>
    </w:p>
    <w:p>
      <w:pPr>
        <w:bidi w:val="1"/>
        <w:spacing w:lineRule="exact" w:line="580" w:after="0"/>
        <w:jc w:val="both"/>
      </w:pPr>
      <w:r>
        <w:rPr>
          <w:rFonts w:ascii="B Nazanin" w:hAnsi="B Nazanin" w:cs="B Nazanin" w:hint="cs"/>
          <w:sz w:val="24"/>
          <w:szCs w:val="24"/>
          <w:rtl/>
          <w:lang w:bidi="fa-IR"/>
        </w:rPr>
        <w:t xml:space="preserve">دسته دیگری از شواهد، وجه تکانشی واکنش به اضطراب را برجسته می‌کنند و با جهت مثبت یافته حاضر هم‌خوان‌اند. فنتون-اکریوی و همکاران (۲۰۱۱) در مطالعه‌ای چندوجهی روی معامله‌گران حرفه‌ای بانک‌های سرمایه‌گذاری لندن گزارش کردند که اضطراب توان پردازش منطقی اطلاعات را کاهش می‌دهد و به تصمیم‌هایی می‌انجامد که خود معامله‌گران بعداً آن‌ها را غیرمنطقی ارزیابی می‌کنند. لو و همکاران (۲۰۰۵) نیز رفتارهای تکانشی و پرخطر را واکنشی برای فرار از حس ناخوشایند اضطراب توصیف کردند. قوی‌ترین شاهد این دسته، پژوهش گرال-برونک و همکاران (۲۰۲۵) است که «اقدام به معامله برای فرار از پریشانی هیجانی» را از مؤلفه‌های اصلی اختلال معامله‌گری شناسایی کردند؛ یعنی دقیقاً همان کارکردی که می‌تواند رابطه مثبت اضطراب با رفتار پرخطر را تبیین کند: معامله نه از سر محاسبه، بلکه برای تسکین موقت تنش درونی.</w:t>
      </w:r>
    </w:p>
    <w:p>
      <w:pPr>
        <w:bidi w:val="1"/>
        <w:spacing w:lineRule="exact" w:line="580" w:after="0"/>
        <w:jc w:val="both"/>
      </w:pPr>
      <w:r>
        <w:rPr>
          <w:rFonts w:ascii="B Nazanin" w:hAnsi="B Nazanin" w:cs="B Nazanin" w:hint="cs"/>
          <w:sz w:val="24"/>
          <w:szCs w:val="24"/>
          <w:rtl/>
          <w:lang w:bidi="fa-IR"/>
        </w:rPr>
        <w:t xml:space="preserve">در برابر این شواهد، دسته دیگری از پژوهش‌ها از ریسک‌گریزی ناشی از اضطراب حکایت دارند و جهت یافته حاضر با آن‌ها هم‌خوان نیست. آن و همکاران (۲۰۲۱) نشان دادند که اضطراب مالی با نگهداری کمتر دارایی‌های پرریسک و گرایش به دارایی‌های امن همراه است. پاک و محمود (۲۰۱۹) گزارش کردند که ناپایداری هیجانی بالا با پروفایل محافظه‌کارانه‌تر و تحمل ریسک پایین‌تر همراه است. ماهاتو و همکاران (۲۰۲۵) نیز اثر اضطراب صفتی را به شکل اجتناب از تصمیم‌گیری یا تصمیم‌های محافظه‌کارانه افراطی توصیف کردند. لوریولا و لوین (۲۰۰۱) نشان دادند افراد با روان‌رنجورخویی بالا در موقعیت‌های سودآور ریسک‌گریز بودند اما در موقعیت‌های زیان‌ده رفتارهای ریسکی بیشتری نشان دادند؛ الگویی شرطی که یادآور پیش‌بینی نظریه چشم‌انداز درباره تفاوت رفتار در قلمرو سود و زیان است (کانمن و تورسکی، ۱۹۷۹). چارلز و کاسیلینگام (۲۰۲۲) نیز هرچند پیوند اضطراب با تصمیم مالی را تأیید کردند، جهت آن را روی تحمل ریسک معکوس یافتند: اضطراب بالاتر با تحمل ریسک کمتر و سوگیری اثر گرایش بیشتر همراه بود. این ناهمسانی ظاهری را می‌توان چنین فهمید که اضطراب دو واکنش متفاوت را در افراد مختلف برمی‌انگیزد: اجتناب و کناره‌گیری از ریسک در برخی، و اقدام تکانشی برای فرار از تنش در برخی دیگر.</w:t>
      </w:r>
    </w:p>
    <w:p>
      <w:pPr>
        <w:bidi w:val="1"/>
        <w:spacing w:lineRule="exact" w:line="580" w:after="0"/>
        <w:jc w:val="both"/>
      </w:pPr>
      <w:r>
        <w:rPr>
          <w:rFonts w:ascii="B Nazanin" w:hAnsi="B Nazanin" w:cs="B Nazanin" w:hint="cs"/>
          <w:sz w:val="24"/>
          <w:szCs w:val="24"/>
          <w:rtl/>
          <w:lang w:bidi="fa-IR"/>
        </w:rPr>
        <w:t xml:space="preserve">تبیین شناختی و هیجانی این یافته را می‌توان در چند لایه دنبال کرد. بر اساس مدل اسپیلبرگر، افراد با اضطراب صفتی بالا به موقعیت‌های مبهم — از جمله نوسانات طبیعی بازار — با ادراک تهدید و برانگیختگی پاسخ می‌دهند (اسپیلبرگر، ۱۹۸۳). نظریه کنترل توجه نشان می‌دهد که چنین وضعیتی کارایی شناختی را مختل می‌کند: غلبه پردازش محرک‌محور و اشغال حافظه کاری توسط نگرانی، تمرکز بر راهبرد بلندمدت را دشوار می‌سازد (آیزنک و همکاران، ۲۰۰۷). مدل شناختی اضطراب نیز بر سوگیری خودکار توجه به نشانه‌های تهدید و تسهیل دسترسی به باورهای خطر تأکید دارد (بک و کلارک، ۱۹۹۷). در سطح رفتاری، این فرایندها می‌توانند به دو شکل ظاهر شوند: رفتارهای ایمنی‌طلب و اجتنابی مانند چک کردن وسواسی قیمت‌ها یا تنظیم حد ضررهای بسیار نزدیک (مانر و اشمیت، ۲۰۰۶)، یا برعکس تصمیم‌های شتاب‌زده برای پایان دادن به ابهام. از آنجا که اضطراب داوری فرد درباره کنترل و احتمال‌ها را دگرگون می‌سازد (هارتلی و فلپس، ۲۰۱۲)، تفاوت این دو واکنش به عوامل میانجی و تعدیل‌گر دیگری مربوط می‌شود.</w:t>
      </w:r>
    </w:p>
    <w:p>
      <w:pPr>
        <w:bidi w:val="1"/>
        <w:spacing w:lineRule="exact" w:line="580" w:after="0"/>
        <w:jc w:val="both"/>
      </w:pPr>
      <w:r>
        <w:rPr>
          <w:rFonts w:ascii="B Nazanin" w:hAnsi="B Nazanin" w:cs="B Nazanin" w:hint="cs"/>
          <w:sz w:val="24"/>
          <w:szCs w:val="24"/>
          <w:rtl/>
          <w:lang w:bidi="fa-IR"/>
        </w:rPr>
        <w:t xml:space="preserve">نکته پایانی این بحث، اندازه کوچک اثر است. رابطه‌ای در حد ۰٫۲۸، هرچند معنادار، نشان می‌دهد که اضطراب به‌تنهایی سهم اندکی از تفاوت‌های فردی در رفتار مالی را تبیین می‌کند و بخش عمده این تفاوت‌ها به عوامل دیگری مربوط است؛ از جمله ساختارهای شناختی عمیقی مانند طرحواره‌ها که در فرضیه اصلی بررسی می‌شوند، و متغیرهای نامسنجیده‌ای چون تنظیم هیجان، تجربه معامله‌گری و سواد مالی. همچنین با توجه به مقطعی بودن طرح، جهت این رابطه را نیز نمی‌توان قطعی دانست؛ همان‌قدر که اضطراب می‌تواند با رفتار پرخطر همراه شود، تجربه زیان‌های ناشی از رفتارهای پرخطر نیز می‌تواند سطح اضطراب معامله‌گر را بالا نگه دارد. از این رو یافته فرضیه دوم صرفاً یک همبستگی سازگار با مدل نظری تلقی می‌شود، نه شاهدی بر تقدم علی اضطراب.</w:t>
      </w:r>
    </w:p>
    <w:p>
      <w:pPr>
        <w:pStyle w:val="Heading3"/>
        <w:bidi w:val="1"/>
        <w:jc w:val="right"/>
      </w:pPr>
      <w:r>
        <w:rPr>
          <w:rFonts w:ascii="B Nazanin" w:hAnsi="B Nazanin" w:cs="B Nazanin" w:hint="cs"/>
          <w:b/>
          <w:bCs/>
          <w:sz w:val="26"/>
          <w:szCs w:val="26"/>
          <w:rtl/>
          <w:lang w:bidi="fa-IR"/>
        </w:rPr>
        <w:t xml:space="preserve">۵-۳-۲. بحث و تبیین رابطه اضطراب صفتی و طرحواره‌های ناسازگار اولیه</w:t>
      </w:r>
    </w:p>
    <w:p>
      <w:pPr>
        <w:bidi w:val="1"/>
        <w:spacing w:lineRule="exact" w:line="580" w:after="0"/>
        <w:jc w:val="both"/>
      </w:pPr>
      <w:r>
        <w:rPr>
          <w:rFonts w:ascii="B Nazanin" w:hAnsi="B Nazanin" w:cs="B Nazanin" w:hint="cs"/>
          <w:sz w:val="24"/>
          <w:szCs w:val="24"/>
          <w:rtl/>
          <w:lang w:bidi="fa-IR"/>
        </w:rPr>
        <w:t xml:space="preserve">فرضیه سوم با قاطع‌ترین یافته الگو تأیید شد: میان اضطراب صفتی و طرحواره‌های ناسازگار اولیه رابطه‌ای مثبت و معنادار با اندازه متوسط رو به بزرگ به دست آمد</w:t>
      </w:r>
      <w:r>
        <w:rPr>
          <w:rFonts w:ascii="Times New Roman" w:hAnsi="Times New Roman" w:cs="Times New Roman"/>
          <w:sz w:val="22"/>
          <w:szCs w:val="22"/>
          <w:lang w:val="en-US"/>
        </w:rPr>
        <w:t xml:space="preserve"> (r = 0.48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 </w:t>
      </w:r>
      <w:r>
        <w:rPr>
          <w:rFonts w:ascii="B Nazanin" w:hAnsi="B Nazanin" w:cs="B Nazanin" w:hint="cs"/>
          <w:sz w:val="24"/>
          <w:szCs w:val="24"/>
          <w:rtl/>
          <w:lang w:bidi="fa-IR"/>
        </w:rPr>
        <w:t xml:space="preserve">این قوی‌ترین رابطه در میان سه فرضیه فرعی است و نشان می‌دهد که معامله‌گران مضطرب‌تر، باورهای بنیادین ناسازگار نیرومندتری نیز گزارش می‌کنند. اهمیت این یافته در آن است که حلقه نخست زنجیره میانجی — مسیر اضطراب به طرحواره — را مستحکم می‌کند و بستر تحلیل فرضیه اصلی را فراهم می‌سازد.</w:t>
      </w:r>
    </w:p>
    <w:p>
      <w:pPr>
        <w:bidi w:val="1"/>
        <w:spacing w:lineRule="exact" w:line="580" w:after="0"/>
        <w:jc w:val="both"/>
      </w:pPr>
      <w:r>
        <w:rPr>
          <w:rFonts w:ascii="B Nazanin" w:hAnsi="B Nazanin" w:cs="B Nazanin" w:hint="cs"/>
          <w:sz w:val="24"/>
          <w:szCs w:val="24"/>
          <w:rtl/>
          <w:lang w:bidi="fa-IR"/>
        </w:rPr>
        <w:t xml:space="preserve">مستقیم‌ترین شاهد هم‌سو، پژوهش رایم و همکاران (۲۰۱۵) است که رابطه روان‌رنجورخویی و وجوه آن را با طرحواره‌های ناسازگار اولیه بررسی کردند. یافته آن‌ها — همبستگی مستقیم، مثبت و بسیار قوی روان‌رنجورخویی با تقریباً تمام حوزه‌های طرحواره — با یافته حاضر هم‌جهت است و نشان می‌دهد که پیوند تمایلات اضطرابی با باورهای شناختی منفی، الگویی تکرارشونده در پژوهش‌هاست، نه ویژگی خاص یک نمونه.</w:t>
      </w:r>
    </w:p>
    <w:p>
      <w:pPr>
        <w:bidi w:val="1"/>
        <w:spacing w:lineRule="exact" w:line="580" w:after="0"/>
        <w:jc w:val="both"/>
      </w:pPr>
      <w:r>
        <w:rPr>
          <w:rFonts w:ascii="B Nazanin" w:hAnsi="B Nazanin" w:cs="B Nazanin" w:hint="cs"/>
          <w:sz w:val="24"/>
          <w:szCs w:val="24"/>
          <w:rtl/>
          <w:lang w:bidi="fa-IR"/>
        </w:rPr>
        <w:t xml:space="preserve">در بافت داخلی، نوری و هاشمیان (۱۳۹۶) همبستگی مثبت و قوی نمره کل طرحواره‌ها با شدت اضطراب اجتماعی را در نمونه‌ای از دانشجویان گزارش کردند و نشان دادند که حوزه‌های بریدگی و طرد و خودگردانی مختل قوی‌ترین پیوند را با اضطراب دارند. هرچند این پژوهش بر اضطراب اجتماعی متمرکز است نه اضطراب صفتی، و نمونه آن دانشجویی است نه معامله‌گر، از نظر مفهومی شاهد مهمی برای پژوهش حاضر محسوب می‌شود؛ زیرا ارتباط بنیادین آسیب‌پذیری شناختی با تجربه هیجانی اضطراب را در نمونه‌ای ایرانی تأیید می‌کند.</w:t>
      </w:r>
    </w:p>
    <w:p>
      <w:pPr>
        <w:bidi w:val="1"/>
        <w:spacing w:lineRule="exact" w:line="580" w:after="0"/>
        <w:jc w:val="both"/>
      </w:pPr>
      <w:r>
        <w:rPr>
          <w:rFonts w:ascii="B Nazanin" w:hAnsi="B Nazanin" w:cs="B Nazanin" w:hint="cs"/>
          <w:sz w:val="24"/>
          <w:szCs w:val="24"/>
          <w:rtl/>
          <w:lang w:bidi="fa-IR"/>
        </w:rPr>
        <w:t xml:space="preserve">هالورسن و همکاران (۲۰۰۹) نیز در نمونه‌ای بالینی از مراجعان سرپایی روانپزشکی، همبستگی بسیار قوی شدت علائم اختلالات شخصیت — که اغلب با روان‌رنجورخویی و اضطراب بالا همراه‌اند — با نمرات طرحواره‌ها را گزارش کردند. هم‌گرایی یافته حاضر با این مطالعه، با وجود تفاوت آشکار نمونه‌ها، نشان می‌دهد که پیوند اضطراب و طرحواره در جمعیت‌های بالینی و غیربالینی الگویی پایدار است؛ هرچند تعمیم مستقیم از نمونه بالینی به معامله‌گران باید با احتیاط انجام گیرد.</w:t>
      </w:r>
    </w:p>
    <w:p>
      <w:pPr>
        <w:bidi w:val="1"/>
        <w:spacing w:lineRule="exact" w:line="580" w:after="0"/>
        <w:jc w:val="both"/>
      </w:pPr>
      <w:r>
        <w:rPr>
          <w:rFonts w:ascii="B Nazanin" w:hAnsi="B Nazanin" w:cs="B Nazanin" w:hint="cs"/>
          <w:sz w:val="24"/>
          <w:szCs w:val="24"/>
          <w:rtl/>
          <w:lang w:bidi="fa-IR"/>
        </w:rPr>
        <w:t xml:space="preserve">در برابر این شواهد هم‌سو، در پیشینه مرور شده در فصل دوم پژوهشی که رابطه اضطراب با طرحواره‌ها را رد کرده یا جهت معکوسی برای آن گزارش کرده باشد یافت نشد؛ از این رو یافته فرضیه سوم با هیچ شاهد ناهمسویی روبه‌رو نیست.</w:t>
      </w:r>
    </w:p>
    <w:p>
      <w:pPr>
        <w:bidi w:val="1"/>
        <w:spacing w:lineRule="exact" w:line="580" w:after="0"/>
        <w:jc w:val="both"/>
      </w:pPr>
      <w:r>
        <w:rPr>
          <w:rFonts w:ascii="B Nazanin" w:hAnsi="B Nazanin" w:cs="B Nazanin" w:hint="cs"/>
          <w:sz w:val="24"/>
          <w:szCs w:val="24"/>
          <w:rtl/>
          <w:lang w:bidi="fa-IR"/>
        </w:rPr>
        <w:t xml:space="preserve">تبیین نظری این رابطه را می‌توان از دو سو دنبال کرد. از سوی اضطراب، مدل شناختی نشان می‌دهد که نظام پردازش اطلاعات در افراد مضطرب به‌طور خودکار و راهبردی بر نشانه‌های تهدید متمرکز می‌شود و همین سوگیری، دسترسی به حافظه‌ها و باورهای مرتبط با خطر را تسهیل می‌کند (بک، ۱۹۷۶؛ بک و کلارک، ۱۹۹۷). برانگیختگی مزمن و درگیری مداوم ذهنی با تهدیدهای احتمالی، ظرفیت ارزیابی مجدد و بازداری شناختی را فرسوده می‌سازد و ذهن را برای پذیرش تفسیرهای تهدیدآمیز آماده نگه می‌دارد. از سوی طرحواره، نظریه یانگ تصریح می‌کند که موقعیت‌های تنش‌زا — به‌ویژه هنگامی که با مضمون تجربه‌های شکل‌دهنده طرحواره همخوانی دارند — نقش محرک برانگیزاننده را ایفا می‌کنند و هسته هیجانی طرحواره‌های خفته را بیدار می‌سازند (یانگ و همکاران، ۲۰۰۳). در بافت معامله‌گری، نوسانات بازار و زیان‌های پی‌درپی دقیقاً چنین کارکردی دارند: اضطراب صفتی بالا، آستانه فعال‌شدن طرحواره‌های تهدید، بی‌ثباتی و محدودیت‌های مختل را پایین می‌آورد و فرد را مستعد تجربه هم‌زمان تنش هیجانی و باورهای ناسازگار می‌کند. فعال‌شدن طرحواره در این لحظه می‌تواند واکنش‌های هیجانی شدید و رفتارهای غیرتطبیقی را به دنبال داشته باشد (آرنتز و جیکوب، ۲۰۱۲).</w:t>
      </w:r>
    </w:p>
    <w:p>
      <w:pPr>
        <w:bidi w:val="1"/>
        <w:spacing w:lineRule="exact" w:line="580" w:after="0"/>
        <w:jc w:val="both"/>
      </w:pPr>
      <w:r>
        <w:rPr>
          <w:rFonts w:ascii="B Nazanin" w:hAnsi="B Nazanin" w:cs="B Nazanin" w:hint="cs"/>
          <w:sz w:val="24"/>
          <w:szCs w:val="24"/>
          <w:rtl/>
          <w:lang w:bidi="fa-IR"/>
        </w:rPr>
        <w:t xml:space="preserve">نیرومندی نسبی این رابطه در مقایسه با دو فرضیه دیگر نیز درخور تأمل است. هم‌نشینی اضطراب و طرحواره، پیوند دو سازه درونی هیجانی-شناختی است، حال آن‌که پیوند هر یک با رفتار مالی مستلزم گذار از سطح درونی به سطح عمل عینی است؛ گذاری که عوامل موقعیتی و محیطی متعددی در آن دخالت می‌کنند. از این رو طبیعی است که همبستگی دو سازه درونی نیرومندتر از همبستگی هر یک با رفتار بیرونی باشد. همچنین برجستگی حوزه‌های بریدگی و طرد و خودگردانی مختل در پژوهش نوری و هاشمیان (۱۳۹۶) با بافت معامله‌گری خوانایی دارد: معامله‌گری فعالیتی انفرادی و سرشار از تصمیم‌های مستقل است و احساس بی‌ثباتی یا تردید در کفایت خویشتن می‌تواند در چنین بافتی با شدت بیشتری تجربه شود؛ هرچند این تفسیر در حد حدس نظری باقی می‌ماند و آزمون آن به سنجش سطح حوزه‌ها در معامله‌گران نیاز دارد.</w:t>
      </w:r>
    </w:p>
    <w:p>
      <w:pPr>
        <w:bidi w:val="1"/>
        <w:spacing w:lineRule="exact" w:line="580" w:after="0"/>
        <w:jc w:val="both"/>
      </w:pPr>
      <w:r>
        <w:rPr>
          <w:rFonts w:ascii="B Nazanin" w:hAnsi="B Nazanin" w:cs="B Nazanin" w:hint="cs"/>
          <w:sz w:val="24"/>
          <w:szCs w:val="24"/>
          <w:rtl/>
          <w:lang w:bidi="fa-IR"/>
        </w:rPr>
        <w:t xml:space="preserve">یک احتیاط نظری در اینجا ضروری است. طرحواره‌ها ساختارهای تحولی زودشکل‌گرفته‌اند که ریشه در برآورده‌نشدن نیازهای هیجانی بنیادین در کودکی دارند (یانگ و همکاران، ۲۰۰۳)؛ از این رو نمی‌توان ادعا کرد که اضطراب تجربه‌شده در بزرگسالی، طرحواره را ایجاد کرده است. آنچه یافته حاضر نشان می‌دهد، هم‌نشینی و فعال‌سازی متقابل است: زمینه اضطرابی پایدار می‌تواند با بیدار نگه‌داشتن طرحواره‌های خفته همراه باشد، و طرحواره‌های فعال نیز به نوبه خود جهان را تهدیدآمیزتر جلوه می‌دهند و اضطراب را تداوم می‌بخشند. این خوانش چرخه‌ای، با منطق مدل آسیب‌پذیری-استرس سازگار است (زاکرمن، ۱۹۹۹) و از هرگونه استنتاج علی یک‌سویه پرهیز می‌دهد.</w:t>
      </w:r>
    </w:p>
    <w:p>
      <w:pPr>
        <w:pStyle w:val="Heading3"/>
        <w:bidi w:val="1"/>
        <w:jc w:val="right"/>
      </w:pPr>
      <w:r>
        <w:rPr>
          <w:rFonts w:ascii="B Nazanin" w:hAnsi="B Nazanin" w:cs="B Nazanin" w:hint="cs"/>
          <w:b/>
          <w:bCs/>
          <w:sz w:val="26"/>
          <w:szCs w:val="26"/>
          <w:rtl/>
          <w:lang w:bidi="fa-IR"/>
        </w:rPr>
        <w:t xml:space="preserve">۵-۳-۳. بحث و تبیین رابطه طرحواره‌های ناسازگار اولیه و رفتارهای مالی پرخطر</w:t>
      </w:r>
    </w:p>
    <w:p>
      <w:pPr>
        <w:bidi w:val="1"/>
        <w:spacing w:lineRule="exact" w:line="580" w:after="0"/>
        <w:jc w:val="both"/>
      </w:pPr>
      <w:r>
        <w:rPr>
          <w:rFonts w:ascii="B Nazanin" w:hAnsi="B Nazanin" w:cs="B Nazanin" w:hint="cs"/>
          <w:sz w:val="24"/>
          <w:szCs w:val="24"/>
          <w:rtl/>
          <w:lang w:bidi="fa-IR"/>
        </w:rPr>
        <w:t xml:space="preserve">فرضیه چهارم نیز تأیید شد: میان طرحواره‌های ناسازگار اولیه و رفتارهای مالی پرخطر رابطه‌ای مثبت و معنادار با اندازه متوسط به دست آمد</w:t>
      </w:r>
      <w:r>
        <w:rPr>
          <w:rFonts w:ascii="Times New Roman" w:hAnsi="Times New Roman" w:cs="Times New Roman"/>
          <w:sz w:val="22"/>
          <w:szCs w:val="22"/>
          <w:lang w:val="en-US"/>
        </w:rPr>
        <w:t xml:space="preserve"> (r = 0.29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 </w:t>
      </w:r>
      <w:r>
        <w:rPr>
          <w:rFonts w:ascii="B Nazanin" w:hAnsi="B Nazanin" w:cs="B Nazanin" w:hint="cs"/>
          <w:sz w:val="24"/>
          <w:szCs w:val="24"/>
          <w:rtl/>
          <w:lang w:bidi="fa-IR"/>
        </w:rPr>
        <w:t xml:space="preserve">این یافته نشان می‌دهد که معامله‌گرانی با باورهای بنیادین ناسازگار نیرومندتر، تمایل بیشتری به پذیرش ریسک مالی نشان می‌دهند. اهمیت عملی این رابطه از اندازه عددی آن فراتر می‌رود؛ زیرا همان مسیری است که در مداخله‌های بازسازی شناختی هدف قرار می‌گیرد و در فرضیه اصلی به‌مثابه حلقه دوم زنجیره میانجی عمل می‌کند. قرار گرفتن این اثر در سطح متوسط نیز پیام مهمی دارد: نه آن‌قدر کوچک است که نادیده گرفته شود و نه آن‌قدر بزرگ که رفتار مالی را به طرحواره‌ها فروکاهد؛ بلکه نشان می‌دهد طرحواره‌ها یکی از تعیین‌کننده‌های معنادار رفتار مالی‌اند اما نه تنها تعیین‌کننده آن. همین جایگاه میانی، آن‌ها را به هدفی واقع‌بینانه برای مداخله بدل می‌کند.</w:t>
      </w:r>
    </w:p>
    <w:p>
      <w:pPr>
        <w:bidi w:val="1"/>
        <w:spacing w:lineRule="exact" w:line="580" w:after="0"/>
        <w:jc w:val="both"/>
      </w:pPr>
      <w:r>
        <w:rPr>
          <w:rFonts w:ascii="B Nazanin" w:hAnsi="B Nazanin" w:cs="B Nazanin" w:hint="cs"/>
          <w:sz w:val="24"/>
          <w:szCs w:val="24"/>
          <w:rtl/>
          <w:lang w:bidi="fa-IR"/>
        </w:rPr>
        <w:t xml:space="preserve">در پیشینه داخلی، امیدی و همکاران (۱۳۹۲) نشان دادند که از میان حوزه‌های طرحواره، دو حوزه محدودیت‌های مختل — به‌ویژه طرحواره خویشتن‌داری ناکافی — و بریدگی و طرد، پیش‌بینی‌کننده‌های قدرتمند گرایش به اعتیاد در نمونه‌ای از دانشجویان‌اند. یافته آن‌ها حاوی این پیام است که دشواری در کنترل تکانه‌ها و احساسات عمیق بی‌ارزشی و عدم تعلق، افراد را به راهبردهای مقابله‌ای ناسازگار سوق می‌دهد. همین سازوکار می‌تواند زیربنای رفتارهای مالی پرخطر نیز باشد: معامله‌گری که در تحمل ناکامی و به تعویق انداختن پاداش دشواری دارد، در پایبندی به قوانین مدیریت ریسک نیز با دشواری روبه‌رو می‌شود.</w:t>
      </w:r>
    </w:p>
    <w:p>
      <w:pPr>
        <w:bidi w:val="1"/>
        <w:spacing w:lineRule="exact" w:line="580" w:after="0"/>
        <w:jc w:val="both"/>
      </w:pPr>
      <w:r>
        <w:rPr>
          <w:rFonts w:ascii="B Nazanin" w:hAnsi="B Nazanin" w:cs="B Nazanin" w:hint="cs"/>
          <w:sz w:val="24"/>
          <w:szCs w:val="24"/>
          <w:rtl/>
          <w:lang w:bidi="fa-IR"/>
        </w:rPr>
        <w:t xml:space="preserve">در پیشینه خارجی، پیوند طرحواره‌ها با رفتارهای تکانشی و اعتیادگونه در چند مطالعه مستند شده است. لیندبرگ و همکاران (۲۰۱۱) گزارش کردند که قماربازان آسیب‌شناختی در بسیاری از طرحواره‌ها — به‌ویژه اطاعت، بازداری هیجانی و معیارهای سرسختانه — نمرات بالاتری از گروه کنترل کسب می‌کنند. شوری و همکاران (۲۰۱۲) نیز پیوند قمار با طرحواره‌ها را در نمونه‌ای از مردان الکلی متقاضی درمان تأیید کردند. فراتر از مطالعات منفرد، ویرا و همکاران (۲۰۲۳) در مروری نظام‌مند نشان دادند که طرحواره‌های ناسازگار اولیه با طیفی از اعتیادهای رفتاری مرتبط‌اند. استِوِز و همکاران (۲۰۲۴) نیز گزارش کردند که طرحواره‌ها — به‌ویژه در حوزه‌های بریدگی و طرد و خودگردانی مختل — نقش میانجی در انتقال اثرات تجارب ناگوار به رفتارهای تکانشی و پرخطر ایفا می‌کنند. در اینجا تصریحی روش‌شناختی لازم است: قمار و معامله‌گری یکسان دانسته نمی‌شوند و بافت، قواعد و پیامدهای آن‌ها متفاوت است؛ آنچه از این مطالعات وام گرفته می‌شود، صرفاً سازوکار مشترک تکانشگری و جستجوی پاداش فوری است، نه یکسان‌انگاری دو رفتار.</w:t>
      </w:r>
    </w:p>
    <w:p>
      <w:pPr>
        <w:bidi w:val="1"/>
        <w:spacing w:lineRule="exact" w:line="580" w:after="0"/>
        <w:jc w:val="both"/>
      </w:pPr>
      <w:r>
        <w:rPr>
          <w:rFonts w:ascii="B Nazanin" w:hAnsi="B Nazanin" w:cs="B Nazanin" w:hint="cs"/>
          <w:sz w:val="24"/>
          <w:szCs w:val="24"/>
          <w:rtl/>
          <w:lang w:bidi="fa-IR"/>
        </w:rPr>
        <w:t xml:space="preserve">دو مطالعه دیگر از زوایای متفاوت همین پیوند را تأیید می‌کنند. صدیقی ارفعی و همکاران (۲۰۲۳) اثر مستقیم، مثبت و معنادار طرحواره‌ها بر رفتارهای پرخطر را گزارش کردند و نقش واسطه‌ای تنظیم هیجان را در این فرایند تأیید نمودند؛ هرچند جامعه آن پژوهش دانش‌آموزان پسر بود و تعمیم آن به معامله‌گران بزرگسال با احتیاط انجام می‌گیرد. اولولو و همکاران (۲۰۲۴) نیز از سمت مداخله نشان دادند که اصلاح باورهای غیرمنطقی با روش‌های شناختی به بهبود تحمل ریسک مالی و تصمیم‌گیری منطقی‌تر می‌انجامد؛ شاهدی که جهت اثرگذاری از شناخت به رفتار مالی را — دست‌کم در شرایط مداخله — تقویت می‌کند.</w:t>
      </w:r>
    </w:p>
    <w:p>
      <w:pPr>
        <w:bidi w:val="1"/>
        <w:spacing w:lineRule="exact" w:line="580" w:after="0"/>
        <w:jc w:val="both"/>
      </w:pPr>
      <w:r>
        <w:rPr>
          <w:rFonts w:ascii="B Nazanin" w:hAnsi="B Nazanin" w:cs="B Nazanin" w:hint="cs"/>
          <w:sz w:val="24"/>
          <w:szCs w:val="24"/>
          <w:rtl/>
          <w:lang w:bidi="fa-IR"/>
        </w:rPr>
        <w:t xml:space="preserve">در پیشینه مرور شده، پژوهشی که رابطه طرحواره‌ها با رفتار تکانشی یا پرخطر را رد کرده باشد یافت نشد. همچنین یادآوری می‌شود که متغیر ملاک پژوهش حاضر از جنس تحمل ریسک مالی است: سازه‌ای که سطح آمادگی روانشناختی فرد برای پذیرش عدم قطعیت را منعکس می‌کند و نمرات بالاتر آن با الگوهای معاملاتی آسیب‌زا — مانند اهرم‌های نامتعارف و حجم معاملات فراتر از بهینه — همراه است (گرابل و لایتون، ۱۹۹۹؛ گرابل، ۲۰۱۷).</w:t>
      </w:r>
    </w:p>
    <w:p>
      <w:pPr>
        <w:bidi w:val="1"/>
        <w:spacing w:lineRule="exact" w:line="580" w:after="0"/>
        <w:jc w:val="both"/>
      </w:pPr>
      <w:r>
        <w:rPr>
          <w:rFonts w:ascii="B Nazanin" w:hAnsi="B Nazanin" w:cs="B Nazanin" w:hint="cs"/>
          <w:sz w:val="24"/>
          <w:szCs w:val="24"/>
          <w:rtl/>
          <w:lang w:bidi="fa-IR"/>
        </w:rPr>
        <w:t xml:space="preserve">تبیین نظری این رابطه بر مفهوم سبک‌های مقابله‌ای استوار است. فعال‌شدن یک طرحواره لزوماً به رفتار مشخصی منجر نمی‌شود؛ بلکه واکنش رفتاری به سبک مقابله‌ای غالب فرد بستگی دارد: تسلیم، اجتناب یا جبران افراطی (یانگ و همکاران، ۲۰۰۳). در قالب جبران افراطی، معامله‌گر می‌کوشد برخلاف پیام طرحواره عمل کند و با پذیرش ریسک‌های بزرگ، برتری و کنترل خود را به نمایش بگذارد؛ رفتاری که ماهیتاً به شرط‌بندی نزدیک می‌شود. در قالب اجتناب نیز معامله‌گری می‌تواند کارکرد گریز از تنش هیجانی پیدا کند و به اقدام‌های تکانشگرانه بینجامد. نکته کلیدی آن است که یک طرحواره واحد می‌تواند بسته به سبک مقابله‌ای، در فردی به ریسک‌گریزی افراطی و در فردی دیگر به ریسک‌پذیری تکانشی بینجامد؛ از این رو رفتار مشاهده‌شده بیش از آن‌که آینه مستقیم طرحواره باشد، آینه راهبرد مقابله‌ای فرد در برابر آن است (یانگ و همکاران، ۲۰۰۳؛ آرنتز و جیکوب، ۲۰۱۲). این ویژگی نظری همان چیزی است که ناهمسانی رفتار معامله‌گران هم‌سطح از نظر اضطراب را تبیین می‌کند و ضرورت سنجش هم‌زمان طرحواره‌ها و سبک‌های رفتاری را نشان می‌دهد.</w:t>
      </w:r>
    </w:p>
    <w:p>
      <w:pPr>
        <w:pStyle w:val="Heading3"/>
        <w:bidi w:val="1"/>
        <w:jc w:val="right"/>
      </w:pPr>
      <w:r>
        <w:rPr>
          <w:rFonts w:ascii="B Nazanin" w:hAnsi="B Nazanin" w:cs="B Nazanin" w:hint="cs"/>
          <w:b/>
          <w:bCs/>
          <w:sz w:val="26"/>
          <w:szCs w:val="26"/>
          <w:rtl/>
          <w:lang w:bidi="fa-IR"/>
        </w:rPr>
        <w:t xml:space="preserve">۵-۳-۴. بحث درباره نقش میانجی طرحواره‌های ناسازگار اولیه</w:t>
      </w:r>
    </w:p>
    <w:p>
      <w:pPr>
        <w:bidi w:val="1"/>
        <w:spacing w:lineRule="exact" w:line="580" w:after="0"/>
        <w:jc w:val="both"/>
      </w:pPr>
      <w:r>
        <w:rPr>
          <w:rFonts w:ascii="B Nazanin" w:hAnsi="B Nazanin" w:cs="B Nazanin" w:hint="cs"/>
          <w:sz w:val="24"/>
          <w:szCs w:val="24"/>
          <w:rtl/>
          <w:lang w:bidi="fa-IR"/>
        </w:rPr>
        <w:t xml:space="preserve">آزمون فرضیه اصلی با دو مسیر تشکیل‌دهنده اثر غیرمستقیم آغاز می‌شود. مسیر نخست — از اضطراب صفتی به طرحواره‌ها — با ضریب ۱٫۸۲۶ و در سطح معنادار </w:t>
      </w:r>
      <w:r>
        <w:rPr>
          <w:rFonts w:ascii="Times New Roman" w:hAnsi="Times New Roman" w:cs="Times New Roman"/>
          <w:sz w:val="22"/>
          <w:szCs w:val="22"/>
          <w:lang w:val="en-US"/>
        </w:rPr>
        <w:t xml:space="preserve">(p &lt; 0.001)</w:t>
      </w:r>
      <w:r>
        <w:rPr>
          <w:rFonts w:ascii="B Nazanin" w:hAnsi="B Nazanin" w:cs="B Nazanin" w:hint="cs"/>
          <w:sz w:val="24"/>
          <w:szCs w:val="24"/>
          <w:rtl/>
          <w:lang w:bidi="fa-IR"/>
        </w:rPr>
        <w:t xml:space="preserve"> برآورد شد و اضطراب حدود ۲۳٪ از واریانس طرحواره‌ها را تبیین کرد. این قوی‌ترین حلقه الگوست و با یافته فرضیه سوم هم‌خوانی کامل دارد. تبیین آن همان است که در بخش پیشین گذشت: برانگیختگی مزمن و سوگیری تهدید، آستانه بیدارشدن طرحواره‌های خفته را پایین می‌آورد (بک و کلارک، ۱۹۹۷؛ یانگ و همکاران، ۲۰۰۳). نیرومندی این مسیر نشان می‌دهد که بخش قابل‌توجهی از تفاوت‌های فردی در شدت طرحواره‌ها با سطح اضطراب صفتی همراه است؛ هرچند ریشه تحولی طرحواره‌ها را نباید از یاد برد.</w:t>
      </w:r>
    </w:p>
    <w:p>
      <w:pPr>
        <w:bidi w:val="1"/>
        <w:spacing w:lineRule="exact" w:line="580" w:after="0"/>
        <w:jc w:val="both"/>
      </w:pPr>
      <w:r>
        <w:rPr>
          <w:rFonts w:ascii="B Nazanin" w:hAnsi="B Nazanin" w:cs="B Nazanin" w:hint="cs"/>
          <w:sz w:val="24"/>
          <w:szCs w:val="24"/>
          <w:rtl/>
          <w:lang w:bidi="fa-IR"/>
        </w:rPr>
        <w:t xml:space="preserve">مسیر دوم — از طرحواره‌ها به رفتارهای مالی پرخطر — با ضریب ۰٫۰۳۹ و در سطح معنادار </w:t>
      </w:r>
      <w:r>
        <w:rPr>
          <w:rFonts w:ascii="Times New Roman" w:hAnsi="Times New Roman" w:cs="Times New Roman"/>
          <w:sz w:val="22"/>
          <w:szCs w:val="22"/>
          <w:lang w:val="en-US"/>
        </w:rPr>
        <w:t xml:space="preserve">(p = 0.014)</w:t>
      </w:r>
      <w:r>
        <w:rPr>
          <w:rFonts w:ascii="B Nazanin" w:hAnsi="B Nazanin" w:cs="B Nazanin" w:hint="cs"/>
          <w:sz w:val="24"/>
          <w:szCs w:val="24"/>
          <w:rtl/>
          <w:lang w:bidi="fa-IR"/>
        </w:rPr>
        <w:t xml:space="preserve"> برآورد شد. کوچکی عددی این ضریب نباید به بی‌اهمیتی تعبیر شود؛ مقیاس دو متغیر متفاوت است و معناداری مسیر در کنار معناداری مسیر نخست، شرط تحقق اثر غیرمستقیم را فراهم می‌آورد. تبیین این مسیر نیز بر سبک‌های مقابله‌ای استوار است: طرحواره فعال‌شده از مجرای جبران افراطی یا اجتناب به رفتار عینی بدل می‌شود و در بافت بازار به شکل نقض انضباط معاملاتی، نادیده گرفتن حد ضرر و تغییر راهبرد بر اساس هیجان لحظه‌ای ظاهر می‌گردد (یانگ و همکاران، ۲۰۰۳).</w:t>
      </w:r>
    </w:p>
    <w:p>
      <w:pPr>
        <w:bidi w:val="1"/>
        <w:spacing w:lineRule="exact" w:line="580" w:after="0"/>
        <w:jc w:val="both"/>
      </w:pPr>
      <w:r>
        <w:rPr>
          <w:rFonts w:ascii="B Nazanin" w:hAnsi="B Nazanin" w:cs="B Nazanin" w:hint="cs"/>
          <w:sz w:val="24"/>
          <w:szCs w:val="24"/>
          <w:rtl/>
          <w:lang w:bidi="fa-IR"/>
        </w:rPr>
        <w:t xml:space="preserve">اثر غیرمستقیم — حاصل‌ضرب دو مسیر — برابر ۰٫۰۷۱ برآورد شد و فاصله اطمینان ۹۵٪ بوت‌استرپ آن </w:t>
      </w:r>
      <w:r>
        <w:rPr>
          <w:rFonts w:ascii="Times New Roman" w:hAnsi="Times New Roman" w:cs="Times New Roman"/>
          <w:sz w:val="22"/>
          <w:szCs w:val="22"/>
          <w:lang w:val="en-US"/>
        </w:rPr>
        <w:t xml:space="preserve">[0.012, 0.142]</w:t>
      </w:r>
      <w:r>
        <w:rPr>
          <w:rFonts w:ascii="B Nazanin" w:hAnsi="B Nazanin" w:cs="B Nazanin" w:hint="cs"/>
          <w:sz w:val="24"/>
          <w:szCs w:val="24"/>
          <w:rtl/>
          <w:lang w:bidi="fa-IR"/>
        </w:rPr>
        <w:t xml:space="preserve"> صفر را در بر نگرفت؛ از این رو مسیر طرحواره‌ای به‌عنوان یک مسیر معنادار انتقال اثر پذیرفته می‌شود. حدود ۳۵٪ از اثر کل اضطراب بر رفتار مالی از این مسیر عبور می‌کند. با این حال، همان‌طور که در فصل چهارم تصریح شد، نزدیکی کران پایین بازه به صفر ایجاب می‌کند که این پذیرش محتاطانه خوانده شود: معناداری آماری برقرار است، ولی اندازه اثر کوچک تا متوسط و حساس به بازنمونه‌گیری است و تکرار آن در نمونه مستقل ضرورت دارد.</w:t>
      </w:r>
    </w:p>
    <w:p>
      <w:pPr>
        <w:bidi w:val="1"/>
        <w:spacing w:lineRule="exact" w:line="580" w:after="0"/>
        <w:jc w:val="both"/>
      </w:pPr>
      <w:r>
        <w:rPr>
          <w:rFonts w:ascii="B Nazanin" w:hAnsi="B Nazanin" w:cs="B Nazanin" w:hint="cs"/>
          <w:sz w:val="24"/>
          <w:szCs w:val="24"/>
          <w:rtl/>
          <w:lang w:bidi="fa-IR"/>
        </w:rPr>
        <w:t xml:space="preserve">از آنجا که اثر مستقیم پس از ورود میانجی از ۰٫۲۰۲ به ۰٫۱۳۱ کاهش یافت اما همچنان معنادار ماند </w:t>
      </w:r>
      <w:r>
        <w:rPr>
          <w:rFonts w:ascii="Times New Roman" w:hAnsi="Times New Roman" w:cs="Times New Roman"/>
          <w:sz w:val="22"/>
          <w:szCs w:val="22"/>
          <w:lang w:val="en-US"/>
        </w:rPr>
        <w:t xml:space="preserve">(p = 0.032)</w:t>
      </w:r>
      <w:r>
        <w:rPr>
          <w:rFonts w:ascii="B Nazanin" w:hAnsi="B Nazanin" w:cs="B Nazanin" w:hint="cs"/>
          <w:sz w:val="24"/>
          <w:szCs w:val="24"/>
          <w:rtl/>
          <w:lang w:bidi="fa-IR"/>
        </w:rPr>
        <w:t xml:space="preserve">، الگوی به‌دست‌آمده میانجی‌گری جزئی است: بخشی از رابطه اضطراب با رفتار مالی از مسیر طرحواره‌ها منتقل می‌شود، اما مسیر مستقیم مستقلی نیز باقی می‌ماند. مدل کامل پیامد حدود ۱۱٪ از واریانس رفتار مالی را تبیین کرد که با مقادیر متعارف مدل‌های سه‌متغیره رفتار مالی هم‌خوان است. پیام روشن این الگو آن است که بازسازی طرحواره‌ها می‌تواند بخشی از مسئله را پوشش دهد، اما برای پوشش کامل آن کافی نیست.</w:t>
      </w:r>
    </w:p>
    <w:p>
      <w:pPr>
        <w:bidi w:val="1"/>
        <w:spacing w:lineRule="exact" w:line="580" w:after="0"/>
        <w:jc w:val="both"/>
      </w:pPr>
      <w:r>
        <w:rPr>
          <w:rFonts w:ascii="B Nazanin" w:hAnsi="B Nazanin" w:cs="B Nazanin" w:hint="cs"/>
          <w:sz w:val="24"/>
          <w:szCs w:val="24"/>
          <w:rtl/>
          <w:lang w:bidi="fa-IR"/>
        </w:rPr>
        <w:t xml:space="preserve">باقی‌ماندن اثر مستقیم می‌تواند بیانگر نقش عواملی باشد که در این پژوهش سنجیده نشده‌اند و صرفاً به‌عنوان تبیین‌های احتمالی یا پیشنهادهای پژوهشی مطرح می‌شوند. تنظیم هیجان از نامزدهای اصلی است: هم به‌سبب نقشی که در انتقال اثر طرحواره‌ها بر رفتار پرخطر ایفا می‌کند (صدیقی ارفعی و همکاران، ۲۰۲۳) و هم به‌سبب شواهد فیزیولوژیک درباره توانایی معامله‌گران موفق در حفظ آرامش تحت فشار (فنتون-اکریوی و همکاران، ۲۰۱۲). تجربه معامله‌گری نیز می‌تواند چنین نقشی داشته باشد؛ معامله‌گران باتجربه‌تر واکنش‌های هیجانی کنترل‌شده‌تری نشان می‌دهند (لو و رپین، ۲۰۰۲). سواد مالی نیز در پژوهش‌های داخلی و خارجی به‌مثابه سپری در برابر اثر سوگیری‌ها و اضطراب ظاهر شده است (فروغی و تهرانی، ۱۳۹۷؛ دینگرا و آگاروال، ۲۰۲۵). تکانشگری — به‌ویژه دشواری در خویشتن‌داری که در پژوهش امیدی و همکاران (۱۳۹۲) برجسته شد — و شرایط بازار مانند دوره‌های استرس که رفتار گله‌ای را تشدید می‌کند (هوانگ و سالمون، ۲۰۰۴) از دیگر نامزدهایند. تأکید می‌شود که هیچ‌یک از این متغیرها در پژوهش حاضر اندازه‌گیری نشده‌اند و ذکر آن‌ها صرفاً افق تبیین‌های بعدی را می‌گشاید.</w:t>
      </w:r>
    </w:p>
    <w:p>
      <w:pPr>
        <w:bidi w:val="1"/>
        <w:spacing w:lineRule="exact" w:line="580" w:after="0"/>
        <w:jc w:val="both"/>
      </w:pPr>
      <w:r>
        <w:rPr>
          <w:rFonts w:ascii="B Nazanin" w:hAnsi="B Nazanin" w:cs="B Nazanin" w:hint="cs"/>
          <w:sz w:val="24"/>
          <w:szCs w:val="24"/>
          <w:rtl/>
          <w:lang w:bidi="fa-IR"/>
        </w:rPr>
        <w:t xml:space="preserve">یافته فرضیه اصلی را نمی‌توان مستقیماً با پژوهش پیشینی مقایسه کرد؛ زیرا بر اساس جمع‌بندی فصل دوم،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نزدیک‌ترین مدل‌های میانجی، هر یک از جهتی متفاوت‌اند: در پژوهش سافیتری و همکاران (۲۰۲۵) تحمل ریسک میانجی عوامل اجتماعی-روانی و تصمیم سرمایه‌گذاری بود؛ در پژوهش صدیقی ارفعی و همکاران (۲۰۲۳) تنظیم هیجان میانجی طرحواره‌ها و رفتار پرخطر در دانش‌آموزان بود؛ و در پژوهش استِوِز و همکاران (۲۰۲۴) طرحواره‌ها میانجی تجارب ناگوار و رفتارهای تکانشی بودند. در همین راستا، آرنا و همکاران (۲۰۲۲) بر ضرورت مدل‌های پیچیده‌تر از روابط ساده — توجه به تعامل ویژگی‌های شخصیتی با عوامل نگرشی — تأکید کردند که منطق مدل‌سازی پژوهش حاضر را پشتیبانی می‌کند.</w:t>
      </w:r>
    </w:p>
    <w:p>
      <w:pPr>
        <w:bidi w:val="1"/>
        <w:spacing w:lineRule="exact" w:line="580" w:after="0"/>
        <w:jc w:val="both"/>
      </w:pPr>
      <w:r>
        <w:rPr>
          <w:rFonts w:ascii="B Nazanin" w:hAnsi="B Nazanin" w:cs="B Nazanin" w:hint="cs"/>
          <w:sz w:val="24"/>
          <w:szCs w:val="24"/>
          <w:rtl/>
          <w:lang w:bidi="fa-IR"/>
        </w:rPr>
        <w:t xml:space="preserve">از نظر روش‌شناختی، داوری درباره میانجی‌گری در این پژوهش بر تحلیل پراسس استوار است؛ چارچوبی رگرسیون‌محور که برای آزمون همین ساختارها طراحی شده و معناداری اثر غیرمستقیم را شاهد آماری مکانیسم میانجی‌گری می‌داند (هایز، ۲۰۱۸). مدل‌سازی معادلات ساختاری نیز به‌عنوان تحلیل پشتیبان اجرا شد، اما نتیجه آن با احتیاط تفسیر می‌شود: اگرچه</w:t>
      </w:r>
      <w:r>
        <w:rPr>
          <w:rFonts w:ascii="Times New Roman" w:hAnsi="Times New Roman" w:cs="Times New Roman"/>
          <w:sz w:val="22"/>
          <w:szCs w:val="22"/>
          <w:lang w:val="en-US"/>
        </w:rPr>
        <w:t xml:space="preserve"> CFI </w:t>
      </w:r>
      <w:r>
        <w:rPr>
          <w:rFonts w:ascii="B Nazanin" w:hAnsi="B Nazanin" w:cs="B Nazanin" w:hint="cs"/>
          <w:sz w:val="24"/>
          <w:szCs w:val="24"/>
          <w:rtl/>
          <w:lang w:bidi="fa-IR"/>
        </w:rPr>
        <w:t xml:space="preserve">در سطح قابل قبول قرار گرفت </w:t>
      </w:r>
      <w:r>
        <w:rPr>
          <w:rFonts w:ascii="Times New Roman" w:hAnsi="Times New Roman" w:cs="Times New Roman"/>
          <w:sz w:val="22"/>
          <w:szCs w:val="22"/>
          <w:lang w:val="en-US"/>
        </w:rPr>
        <w:t xml:space="preserve">(CFI = 0.940)</w:t>
      </w:r>
      <w:r>
        <w:rPr>
          <w:rFonts w:ascii="B Nazanin" w:hAnsi="B Nazanin" w:cs="B Nazanin" w:hint="cs"/>
          <w:sz w:val="24"/>
          <w:szCs w:val="24"/>
          <w:rtl/>
          <w:lang w:bidi="fa-IR"/>
        </w:rPr>
        <w:t xml:space="preserve">، مقادیر</w:t>
      </w:r>
      <w:r>
        <w:rPr>
          <w:rFonts w:ascii="Times New Roman" w:hAnsi="Times New Roman" w:cs="Times New Roman"/>
          <w:sz w:val="22"/>
          <w:szCs w:val="22"/>
          <w:lang w:val="en-US"/>
        </w:rPr>
        <w:t xml:space="preserve"> TLI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RMSEA </w:t>
      </w:r>
      <w:r>
        <w:rPr>
          <w:rFonts w:ascii="B Nazanin" w:hAnsi="B Nazanin" w:cs="B Nazanin" w:hint="cs"/>
          <w:sz w:val="24"/>
          <w:szCs w:val="24"/>
          <w:rtl/>
          <w:lang w:bidi="fa-IR"/>
        </w:rPr>
        <w:t xml:space="preserve">حاکی از برازش رضایت‌بخش مدل کامل نبودند</w:t>
      </w:r>
      <w:r>
        <w:rPr>
          <w:rFonts w:ascii="Times New Roman" w:hAnsi="Times New Roman" w:cs="Times New Roman"/>
          <w:sz w:val="22"/>
          <w:szCs w:val="22"/>
          <w:lang w:val="en-US"/>
        </w:rPr>
        <w:t xml:space="preserve"> (TLI = 0.819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RMSEA = 0.146)</w:t>
      </w:r>
      <w:r>
        <w:rPr>
          <w:rFonts w:ascii="B Nazanin" w:hAnsi="B Nazanin" w:cs="B Nazanin" w:hint="cs"/>
          <w:sz w:val="24"/>
          <w:szCs w:val="24"/>
          <w:rtl/>
          <w:lang w:bidi="fa-IR"/>
        </w:rPr>
        <w:t xml:space="preserve">؛ نسبت کای‌دو به درجه آزادی ۴٫۶۵ و</w:t>
      </w:r>
      <w:r>
        <w:rPr>
          <w:rFonts w:ascii="Times New Roman" w:hAnsi="Times New Roman" w:cs="Times New Roman"/>
          <w:sz w:val="22"/>
          <w:szCs w:val="22"/>
          <w:lang w:val="en-US"/>
        </w:rPr>
        <w:t xml:space="preserve"> SRMR </w:t>
      </w:r>
      <w:r>
        <w:rPr>
          <w:rFonts w:ascii="B Nazanin" w:hAnsi="B Nazanin" w:cs="B Nazanin" w:hint="cs"/>
          <w:sz w:val="24"/>
          <w:szCs w:val="24"/>
          <w:rtl/>
          <w:lang w:bidi="fa-IR"/>
        </w:rPr>
        <w:t xml:space="preserve">برابر ۰٫۰۸۰ نیز در کنار آن‌ها گزارش شد. از این رو مدل ساختاری کامل، مدلی با برازش پذیرفته‌شده به شمار نمی‌آید. این ناسازگاری ظاهری — معناداری مسیرها در پراسس در کنار برازش ناکافی مدل کامل در معادلات ساختاری — را می‌توان چنین فهمید که هم‌جهتی مسیرهای</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در هر دو روش، حمایتی جهت‌دار از الگوست، نه اثبات برازش کلی آن. تفکیک این دو سطح — معناداری مسیرها و برازش مدل — برای خوانش درست یافته‌ها ضروری است و از بزرگ‌نمایی نتیجه پشتیبان جلوگیری می‌کند.</w:t>
      </w:r>
    </w:p>
    <w:p>
      <w:pPr>
        <w:bidi w:val="1"/>
        <w:spacing w:lineRule="exact" w:line="580" w:after="0"/>
        <w:jc w:val="both"/>
      </w:pPr>
      <w:r>
        <w:rPr>
          <w:rFonts w:ascii="B Nazanin" w:hAnsi="B Nazanin" w:cs="B Nazanin" w:hint="cs"/>
          <w:sz w:val="24"/>
          <w:szCs w:val="24"/>
          <w:rtl/>
          <w:lang w:bidi="fa-IR"/>
        </w:rPr>
        <w:t xml:space="preserve">در مجموع، یافته فرضیه اصلی با مدل آسیب‌پذیری-استرس سازگار است: استعداد اضطرابی، طرحواره‌های خفته را بیدار می‌کند و طرحواره‌های فعال از مسیر سبک‌های مقابله‌ای ناسازگار، بخشی از اثر را به رفتار مالی منتقل می‌کنند (زاکرمن، ۱۹۹۹). این سازگاری، الگو را نامزدی موجه برای پژوهش‌های تکمیلی می‌سازد، نه حکمی قطعی درباره واقعیت.</w:t>
      </w:r>
    </w:p>
    <w:p>
      <w:pPr>
        <w:pStyle w:val="Heading3"/>
        <w:bidi w:val="1"/>
        <w:jc w:val="right"/>
      </w:pPr>
      <w:r>
        <w:rPr>
          <w:rFonts w:ascii="B Nazanin" w:hAnsi="B Nazanin" w:cs="B Nazanin" w:hint="cs"/>
          <w:b/>
          <w:bCs/>
          <w:sz w:val="26"/>
          <w:szCs w:val="26"/>
          <w:rtl/>
          <w:lang w:bidi="fa-IR"/>
        </w:rPr>
        <w:t xml:space="preserve">۵-۳-۵. دلالت‌های نظری</w:t>
      </w:r>
    </w:p>
    <w:p>
      <w:pPr>
        <w:bidi w:val="1"/>
        <w:spacing w:lineRule="exact" w:line="580" w:after="0"/>
        <w:jc w:val="both"/>
      </w:pPr>
      <w:r>
        <w:rPr>
          <w:rFonts w:ascii="B Nazanin" w:hAnsi="B Nazanin" w:cs="B Nazanin" w:hint="cs"/>
          <w:sz w:val="24"/>
          <w:szCs w:val="24"/>
          <w:rtl/>
          <w:lang w:bidi="fa-IR"/>
        </w:rPr>
        <w:t xml:space="preserve">فراتر از آزمون تک‌تک فرضیه‌ها، یافته‌های این پژوهش در کنار هم دلالت‌های نظری درخور توجهی دارند. نخستین دلالت، پیوند سه حوزه‌ای است که معمولاً جدا از هم بررسی می‌شوند: روانشناسی بالینی با مفهوم اضطراب صفتی (اسپیلبرگر، ۱۹۸۳)، نظریه طرحواره با مفهوم باورهای بنیادین ناسازگار (یانگ و همکاران، ۲۰۰۳)، و روانشناسی مالی با مفهوم رفتارهای مالی پرخطر (بیکر و نوفسینگر، ۲۰۱۰؛ تیلر، ۲۰۱۶). یافته‌ها نشان می‌دهند که این سه سطح — هیجانی، شناختی عمیق و رفتاری — را می‌توان در یک مدل یکپارچه به هم پیوند داد و از توصیف روابط دوتایی به تبیین فرایندی ارتقا یافت (هایز، ۲۰۱۸). ارزش چنین مدل چندسطحی در آن است که هم‌زمان به پرسش «چه چیزی» و پرسش «از چه مسیری» پاسخ می‌دهد.</w:t>
      </w:r>
    </w:p>
    <w:p>
      <w:pPr>
        <w:bidi w:val="1"/>
        <w:spacing w:lineRule="exact" w:line="580" w:after="0"/>
        <w:jc w:val="both"/>
      </w:pPr>
      <w:r>
        <w:rPr>
          <w:rFonts w:ascii="B Nazanin" w:hAnsi="B Nazanin" w:cs="B Nazanin" w:hint="cs"/>
          <w:sz w:val="24"/>
          <w:szCs w:val="24"/>
          <w:rtl/>
          <w:lang w:bidi="fa-IR"/>
        </w:rPr>
        <w:t xml:space="preserve">دومین دلالت، تبیین ناهمسانی رفتار معامله‌گران است. یکی از معماهای پایدار روانشناسی مالی این است که چرا دو معامله‌گر با سطح مشابه اضطراب، رفتارهای مالی کاملاً متفاوتی نشان می‌دهند: یکی به ریسک‌گریزی افراطی می‌گراید و دیگری به ریسک‌پذیری تکانشی. یافته‌های حاضر — به‌ویژه میانجی‌گری جزئی طرحواره‌ها و نقش سبک‌های مقابله‌ای — چارچوبی برای پاسخ به این معما فراهم می‌آورد: تفاوت رفتاری می‌تواند بازتاب تفاوت در طرحواره‌های فعال‌شده و راهبردهای مقابله با آن‌ها باشد، نه لزوماً تفاوت در سطح اضطراب (یانگ و همکاران، ۲۰۰۳؛ آرنتز و جیکوب، ۲۰۱۲). این تبیین با شواهدی سازگار است که جهت رابطه اضطراب با ریسک‌پذیری را یکسان نیافته‌اند (آن و همکاران، ۲۰۲۱؛ گرال-برونک و همکاران، ۲۰۲۵) و نشان می‌دهد که ناهمسانی مشاهده‌شده در ادبیات، دست‌کم بخشی، می‌تواند ناشی از نادیده گرفتن لایه شناختی میانی باشد.</w:t>
      </w:r>
    </w:p>
    <w:p>
      <w:pPr>
        <w:bidi w:val="1"/>
        <w:spacing w:lineRule="exact" w:line="580" w:after="0"/>
        <w:jc w:val="both"/>
      </w:pPr>
      <w:r>
        <w:rPr>
          <w:rFonts w:ascii="B Nazanin" w:hAnsi="B Nazanin" w:cs="B Nazanin" w:hint="cs"/>
          <w:sz w:val="24"/>
          <w:szCs w:val="24"/>
          <w:rtl/>
          <w:lang w:bidi="fa-IR"/>
        </w:rPr>
        <w:t xml:space="preserve">سومین دلالت، گسترش قلمرو نظریه طرحواره به بافت معامله‌گری است. بخش عمده شواهد پیوند طرحواره‌ها با رفتارهای تکانشی از حوزه اعتیاد و قمار به دست آمده است (لیندبرگ و همکاران، ۲۰۱۱؛ ویرا و همکاران، ۲۰۲۳) و کاربرد این نظریه در تصمیم‌های مالی قدمتی کمتر دارد. یافته‌های حاضر نشان می‌دهند که مفاهیمی چون خویشتن‌داری ناکافی و جبران افراطی می‌توانند در تبیین نقض انضباط معاملاتی نیز به کار آیند و از این رهگذر، پلی میان ادبیات بالینی و ادبیات مالی ساخته می‌شود. این پل دوطرفه است: هم روانشناسی مالی از ابزارهای مفهومی غنی طرحواره‌درمانی بهره می‌برد و هم نظریه طرحواره بافت تازه‌ای برای آزمون پیش‌بینی‌های خود می‌یابد.</w:t>
      </w:r>
    </w:p>
    <w:p>
      <w:pPr>
        <w:bidi w:val="1"/>
        <w:spacing w:lineRule="exact" w:line="580" w:after="0"/>
        <w:jc w:val="both"/>
      </w:pPr>
      <w:r>
        <w:rPr>
          <w:rFonts w:ascii="B Nazanin" w:hAnsi="B Nazanin" w:cs="B Nazanin" w:hint="cs"/>
          <w:sz w:val="24"/>
          <w:szCs w:val="24"/>
          <w:rtl/>
          <w:lang w:bidi="fa-IR"/>
        </w:rPr>
        <w:t xml:space="preserve">این دلالت‌ها البته مشروط‌اند: اعتبار آن‌ها به تکرار یافته‌ها در نمونه‌های مستقل و بزرگ‌تر، و به آزمون مدل‌های رقیب بستگی دارد. آنچه در این مرحله می‌توان گفت این است که مدل سه‌سطحی پژوهش حاضر، چارچوبی منسجم و آزمون‌پذیر برای فهم روانشناختی رفتار معامله‌گران پیشنهاد می‌کند. به بیان دیگر، ارزش نظری پژوهش حاضر نه در قطعیت پاسخ، بلکه در صورت‌بندی دقیق پرسش و ارائه چارچوبی برای پیگیری آن است.</w:t>
      </w:r>
    </w:p>
    <w:p>
      <w:pPr>
        <w:pStyle w:val="Heading2"/>
        <w:bidi w:val="1"/>
        <w:jc w:val="right"/>
      </w:pPr>
      <w:r>
        <w:rPr>
          <w:rFonts w:ascii="B Nazanin" w:hAnsi="B Nazanin" w:cs="B Nazanin" w:hint="cs"/>
          <w:b/>
          <w:bCs/>
          <w:sz w:val="28"/>
          <w:szCs w:val="28"/>
          <w:rtl/>
          <w:lang w:bidi="fa-IR"/>
        </w:rPr>
        <w:t xml:space="preserve">۵-۴. همسویی و ناهمسویی یافته‌ها با پیشینه پژوهشی (داخلی و خارجی)</w:t>
      </w:r>
    </w:p>
    <w:p>
      <w:pPr>
        <w:bidi w:val="1"/>
        <w:spacing w:lineRule="exact" w:line="580" w:after="0"/>
        <w:jc w:val="both"/>
      </w:pPr>
      <w:r>
        <w:rPr>
          <w:rFonts w:ascii="B Nazanin" w:hAnsi="B Nazanin" w:cs="B Nazanin" w:hint="cs"/>
          <w:sz w:val="24"/>
          <w:szCs w:val="24"/>
          <w:rtl/>
          <w:lang w:bidi="fa-IR"/>
        </w:rPr>
        <w:t xml:space="preserve">نگاه ترکیبی به چهار یافته در برابر پیشینه، الگویی سه‌بخشی را آشکار می‌کند. در بخش نخست — پیوند اضطراب با رفتار مالی — پیشینه هم‌گرا نیست: هم شواهد هم‌سو با جهت مثبت یافته حاضر وجود دارد و هم شواهد ریسک‌گریزی که جهت معکوس را گزارش کرده‌اند. در بخش دوم — پیوند اضطراب با طرحواره‌ها و پیوند طرحواره‌ها با رفتارهای تکانشی — پیشینه به‌طور چشمگیری هم‌گراست و هیچ شاهد مخالفی در برابر یافته‌های حاضر قد علم نمی‌کند. در بخش سوم — مدل میانجی سه‌متغیره — اساساً شاهد مستقیمی وجود ندارد و یافته حاضر نخستین آزمون هم‌زمان این مدل در جامعه معامله‌گران ایرانی به شمار می‌آید. جدول ۵-۲ این الگو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۵-۲.</w:t>
      </w:r>
      <w:r>
        <w:rPr>
          <w:rFonts w:ascii="B Nazanin" w:hAnsi="B Nazanin" w:cs="B Nazanin" w:hint="cs"/>
          <w:sz w:val="22"/>
          <w:szCs w:val="22"/>
          <w:rtl/>
          <w:lang w:bidi="fa-IR"/>
        </w:rPr>
        <w:t xml:space="preserve"> جایگاه یافته‌ها در برابر پیشینه مرور شده</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فرضیه</w:t>
            </w:r>
          </w:p>
        </w:tc>
        <w:tc>
          <w:tcPr>
            <w:tcW w:type="dxa" w:w="2055"/>
            <w:tcBorders>
              <w:bottom w:val="single" w:sz="12" w:space="0" w:color="000000"/>
            </w:tcBorders>
          </w:tcPr>
          <w:p>
            <w:pPr>
              <w:bidi w:val="1"/>
              <w:jc w:val="center"/>
            </w:pPr>
            <w:r/>
            <w:r>
              <w:rPr>
                <w:b/>
                <w:sz w:val="22"/>
              </w:rPr>
              <w:t>پژوهش هم‌سو</w:t>
            </w:r>
          </w:p>
        </w:tc>
        <w:tc>
          <w:tcPr>
            <w:tcW w:type="dxa" w:w="2055"/>
            <w:tcBorders>
              <w:bottom w:val="single" w:sz="12" w:space="0" w:color="000000"/>
            </w:tcBorders>
          </w:tcPr>
          <w:p>
            <w:pPr>
              <w:bidi w:val="1"/>
              <w:jc w:val="center"/>
            </w:pPr>
            <w:r/>
            <w:r>
              <w:rPr>
                <w:b/>
                <w:sz w:val="22"/>
              </w:rPr>
              <w:t>پژوهش ناهم‌سو یا مشروط</w:t>
            </w:r>
          </w:p>
        </w:tc>
        <w:tc>
          <w:tcPr>
            <w:tcW w:type="dxa" w:w="2055"/>
            <w:tcBorders>
              <w:bottom w:val="single" w:sz="12" w:space="0" w:color="000000"/>
            </w:tcBorders>
          </w:tcPr>
          <w:p>
            <w:pPr>
              <w:bidi w:val="1"/>
              <w:jc w:val="center"/>
            </w:pPr>
            <w:r/>
            <w:r>
              <w:rPr>
                <w:b/>
                <w:sz w:val="22"/>
              </w:rPr>
              <w:t>یادداشت</w:t>
            </w:r>
          </w:p>
        </w:tc>
      </w:tr>
      <w:tr>
        <w:tc>
          <w:tcPr>
            <w:tcW w:type="dxa" w:w="2055"/>
          </w:tcPr>
          <w:p>
            <w:pPr>
              <w:bidi w:val="1"/>
              <w:jc w:val="center"/>
            </w:pPr>
            <w:r/>
            <w:r>
              <w:rPr>
                <w:b w:val="0"/>
                <w:sz w:val="22"/>
              </w:rPr>
              <w:t>H2: اضطراب صفتی ← رفتار مالی</w:t>
            </w:r>
          </w:p>
        </w:tc>
        <w:tc>
          <w:tcPr>
            <w:tcW w:type="dxa" w:w="2055"/>
          </w:tcPr>
          <w:p>
            <w:pPr>
              <w:bidi w:val="1"/>
              <w:jc w:val="center"/>
            </w:pPr>
            <w:r/>
            <w:r>
              <w:rPr>
                <w:b w:val="0"/>
                <w:sz w:val="22"/>
              </w:rPr>
              <w:t>ستایش و همکاران (۱۳۹۹)؛ سافیتری و همکاران (۲۰۲۵)؛ نوین و همکاران (۲۰۱۹)؛ میت (۲۰۰۷)؛ گرال-برونک و همکاران (۲۰۲۵)؛ فنتون-اکریوی و همکاران (۲۰۱۱)</w:t>
            </w:r>
          </w:p>
        </w:tc>
        <w:tc>
          <w:tcPr>
            <w:tcW w:type="dxa" w:w="2055"/>
          </w:tcPr>
          <w:p>
            <w:pPr>
              <w:bidi w:val="1"/>
              <w:jc w:val="center"/>
            </w:pPr>
            <w:r/>
            <w:r>
              <w:rPr>
                <w:b w:val="0"/>
                <w:sz w:val="22"/>
              </w:rPr>
              <w:t>آن و همکاران (۲۰۲۱)؛ پاک و محمود (۲۰۱۹)؛ ماهاتو و همکاران (۲۰۲۵)؛ لوریولا و لوین (۲۰۰۱، شرطی)؛ چارلز و کاسیلینگام (۲۰۲۲، در جهت تحمل ریسک)</w:t>
            </w:r>
          </w:p>
        </w:tc>
        <w:tc>
          <w:tcPr>
            <w:tcW w:type="dxa" w:w="2055"/>
          </w:tcPr>
          <w:p>
            <w:pPr>
              <w:bidi w:val="1"/>
              <w:jc w:val="center"/>
            </w:pPr>
            <w:r/>
            <w:r>
              <w:rPr>
                <w:b w:val="0"/>
                <w:sz w:val="22"/>
              </w:rPr>
              <w:t>جهت اثر در پیشینه یکسان نیست</w:t>
            </w:r>
          </w:p>
        </w:tc>
      </w:tr>
      <w:tr>
        <w:tc>
          <w:tcPr>
            <w:tcW w:type="dxa" w:w="2055"/>
          </w:tcPr>
          <w:p>
            <w:pPr>
              <w:bidi w:val="1"/>
              <w:jc w:val="center"/>
            </w:pPr>
            <w:r/>
            <w:r>
              <w:rPr>
                <w:b w:val="0"/>
                <w:sz w:val="22"/>
              </w:rPr>
              <w:t>H3: اضطراب صفتی ← طرحواره‌ها</w:t>
            </w:r>
          </w:p>
        </w:tc>
        <w:tc>
          <w:tcPr>
            <w:tcW w:type="dxa" w:w="2055"/>
          </w:tcPr>
          <w:p>
            <w:pPr>
              <w:bidi w:val="1"/>
              <w:jc w:val="center"/>
            </w:pPr>
            <w:r/>
            <w:r>
              <w:rPr>
                <w:b w:val="0"/>
                <w:sz w:val="22"/>
              </w:rPr>
              <w:t>رایم و همکاران (۲۰۱۵)؛ نوری و هاشمیان (۱۳۹۶)؛ هالورسن و همکاران (۲۰۰۹)</w:t>
            </w:r>
          </w:p>
        </w:tc>
        <w:tc>
          <w:tcPr>
            <w:tcW w:type="dxa" w:w="2055"/>
          </w:tcPr>
          <w:p>
            <w:pPr>
              <w:jc w:val="center"/>
            </w:pPr>
            <w:r/>
            <w:r>
              <w:rPr>
                <w:b w:val="0"/>
                <w:sz w:val="22"/>
              </w:rPr>
              <w:t>—</w:t>
            </w:r>
          </w:p>
        </w:tc>
        <w:tc>
          <w:tcPr>
            <w:tcW w:type="dxa" w:w="2055"/>
          </w:tcPr>
          <w:p>
            <w:pPr>
              <w:bidi w:val="1"/>
              <w:jc w:val="center"/>
            </w:pPr>
            <w:r/>
            <w:r>
              <w:rPr>
                <w:b w:val="0"/>
                <w:sz w:val="22"/>
              </w:rPr>
              <w:t>بدون شاهد مخالف در پیشینهٔ مرور شده</w:t>
            </w:r>
          </w:p>
        </w:tc>
      </w:tr>
      <w:tr>
        <w:tc>
          <w:tcPr>
            <w:tcW w:type="dxa" w:w="2055"/>
          </w:tcPr>
          <w:p>
            <w:pPr>
              <w:bidi w:val="1"/>
              <w:jc w:val="center"/>
            </w:pPr>
            <w:r/>
            <w:r>
              <w:rPr>
                <w:b w:val="0"/>
                <w:sz w:val="22"/>
              </w:rPr>
              <w:t>H4: طرحواره‌ها ← رفتار مالی</w:t>
            </w:r>
          </w:p>
        </w:tc>
        <w:tc>
          <w:tcPr>
            <w:tcW w:type="dxa" w:w="2055"/>
          </w:tcPr>
          <w:p>
            <w:pPr>
              <w:bidi w:val="1"/>
              <w:jc w:val="center"/>
            </w:pPr>
            <w:r/>
            <w:r>
              <w:rPr>
                <w:b w:val="0"/>
                <w:sz w:val="22"/>
              </w:rPr>
              <w:t>امیدی و همکاران (۱۳۹۲)؛ لیندبرگ و همکاران (۲۰۱۱)؛ شوری و همکاران (۲۰۱۲)؛ ویرا و همکاران (۲۰۲۳)؛ استِوِز و همکاران (۲۰۲۴)؛ صدیقی ارفعی و همکاران (۲۰۲۳)؛ اولولو و همکاران (۲۰۲۴)</w:t>
            </w:r>
          </w:p>
        </w:tc>
        <w:tc>
          <w:tcPr>
            <w:tcW w:type="dxa" w:w="2055"/>
          </w:tcPr>
          <w:p>
            <w:pPr>
              <w:jc w:val="center"/>
            </w:pPr>
            <w:r/>
            <w:r>
              <w:rPr>
                <w:b w:val="0"/>
                <w:sz w:val="22"/>
              </w:rPr>
              <w:t>—</w:t>
            </w:r>
          </w:p>
        </w:tc>
        <w:tc>
          <w:tcPr>
            <w:tcW w:type="dxa" w:w="2055"/>
          </w:tcPr>
          <w:p>
            <w:pPr>
              <w:bidi w:val="1"/>
              <w:jc w:val="center"/>
            </w:pPr>
            <w:r/>
            <w:r>
              <w:rPr>
                <w:b w:val="0"/>
                <w:sz w:val="22"/>
              </w:rPr>
              <w:t>تعمیم از بافت اعتیاد و قمار با احتیاط</w:t>
            </w:r>
          </w:p>
        </w:tc>
      </w:tr>
      <w:tr>
        <w:tc>
          <w:tcPr>
            <w:tcW w:type="dxa" w:w="2055"/>
          </w:tcPr>
          <w:p>
            <w:pPr>
              <w:bidi w:val="1"/>
              <w:jc w:val="center"/>
            </w:pPr>
            <w:r/>
            <w:r>
              <w:rPr>
                <w:b w:val="0"/>
                <w:sz w:val="22"/>
              </w:rPr>
              <w:t>H1: میانجی‌گری طرحواره‌ها</w:t>
            </w:r>
          </w:p>
        </w:tc>
        <w:tc>
          <w:tcPr>
            <w:tcW w:type="dxa" w:w="2055"/>
          </w:tcPr>
          <w:p>
            <w:pPr>
              <w:bidi w:val="1"/>
              <w:jc w:val="center"/>
            </w:pPr>
            <w:r/>
            <w:r>
              <w:rPr>
                <w:b w:val="0"/>
                <w:sz w:val="22"/>
              </w:rPr>
              <w:t>مدل‌های مجاور: سافیتری و همکاران (۲۰۲۵)؛ صدیقی ارفعی و همکاران (۲۰۲۳)؛ استِوِز و همکاران (۲۰۲۴)</w:t>
            </w:r>
          </w:p>
        </w:tc>
        <w:tc>
          <w:tcPr>
            <w:tcW w:type="dxa" w:w="2055"/>
          </w:tcPr>
          <w:p>
            <w:pPr>
              <w:jc w:val="center"/>
            </w:pPr>
            <w:r/>
            <w:r>
              <w:rPr>
                <w:b w:val="0"/>
                <w:sz w:val="22"/>
              </w:rPr>
              <w:t>—</w:t>
            </w:r>
          </w:p>
        </w:tc>
        <w:tc>
          <w:tcPr>
            <w:tcW w:type="dxa" w:w="2055"/>
          </w:tcPr>
          <w:p>
            <w:pPr>
              <w:bidi w:val="1"/>
              <w:jc w:val="center"/>
            </w:pPr>
            <w:r/>
            <w:r>
              <w:rPr>
                <w:b w:val="0"/>
                <w:sz w:val="22"/>
              </w:rPr>
              <w:t>آزمون مستقیم هم‌زمان یافت نشد</w:t>
            </w:r>
          </w:p>
        </w:tc>
      </w:tr>
    </w:tbl>
    <w:p>
      <w:pPr>
        <w:bidi w:val="1"/>
        <w:spacing w:lineRule="exact" w:line="580" w:after="0"/>
        <w:jc w:val="both"/>
      </w:pPr>
      <w:r>
        <w:rPr>
          <w:rFonts w:ascii="B Nazanin" w:hAnsi="B Nazanin" w:cs="B Nazanin" w:hint="cs"/>
          <w:sz w:val="24"/>
          <w:szCs w:val="24"/>
          <w:rtl/>
          <w:lang w:bidi="fa-IR"/>
        </w:rPr>
        <w:t xml:space="preserve">از نظر جغرافیای شواهد، پژوهش‌های داخلی مرور شده — ستایش و همکاران (۱۳۹۹)، بهدیو و همکاران (۱۳۹۸)، نوری و هاشمیان (۱۳۹۶) و امیدی و همکاران (۱۳۹۲) — همگی با یافته‌های حاضر هم‌جهت‌اند؛ اما نمونه‌های آن‌ها یا سرمایه‌گذاران عمومی‌اند یا دانشجویان، نه معامله‌گران فعال. در پیشینه خارجی نیز همین الگو دیده می‌شود: بخش قابل‌توجهی از مطالعات بر نمونه‌های دانشجویی، سرمایه‌گذاران عمومی یا نمونه‌های بالینی متکی‌اند و پژوهش‌های انجام‌شده روی معامله‌گران حرفه‌ای معدودند (فنتون-اکریوی و همکاران، ۲۰۱۲؛ لو و رپین، ۲۰۰۲).</w:t>
      </w:r>
    </w:p>
    <w:p>
      <w:pPr>
        <w:bidi w:val="1"/>
        <w:spacing w:lineRule="exact" w:line="580" w:after="0"/>
        <w:jc w:val="both"/>
      </w:pPr>
      <w:r>
        <w:rPr>
          <w:rFonts w:ascii="B Nazanin" w:hAnsi="B Nazanin" w:cs="B Nazanin" w:hint="cs"/>
          <w:sz w:val="24"/>
          <w:szCs w:val="24"/>
          <w:rtl/>
          <w:lang w:bidi="fa-IR"/>
        </w:rPr>
        <w:t xml:space="preserve">از نظر روش‌شناختی نیز مدل‌های میانجی به‌ندرت آزمون شده‌اند و تنها در یک مطالعه تحمل ریسک به‌عنوان میانجی میان عوامل اجتماعی-روانی و تصمیم سرمایه‌گذاری بررسی شده است (سافیتری و همکاران، ۲۰۲۵). برآیند این بررسی آن است که پژوهش حاضر با آزمون هم‌زمان سه متغیر در یک مدل میانجی یکپارچه و روی نمونه‌ای از معامله‌گران، شکاف مشخصی از ادبیات را پوشش می‌دهد؛ پوششی که اعتبار بیرونی آن منوط به تکرار پژوهش با نمونه‌های مستقل و بزرگ‌تر است.</w:t>
      </w:r>
    </w:p>
    <w:p>
      <w:pPr>
        <w:pStyle w:val="Heading2"/>
        <w:bidi w:val="1"/>
        <w:jc w:val="right"/>
      </w:pPr>
      <w:r>
        <w:rPr>
          <w:rFonts w:ascii="B Nazanin" w:hAnsi="B Nazanin" w:cs="B Nazanin" w:hint="cs"/>
          <w:b/>
          <w:bCs/>
          <w:sz w:val="28"/>
          <w:szCs w:val="28"/>
          <w:rtl/>
          <w:lang w:bidi="fa-IR"/>
        </w:rPr>
        <w:t xml:space="preserve">۵-۵. کاربردهای عملی یافته‌ها</w:t>
      </w:r>
    </w:p>
    <w:p>
      <w:pPr>
        <w:bidi w:val="1"/>
        <w:spacing w:lineRule="exact" w:line="580" w:after="0"/>
        <w:jc w:val="both"/>
      </w:pPr>
      <w:r>
        <w:rPr>
          <w:rFonts w:ascii="B Nazanin" w:hAnsi="B Nazanin" w:cs="B Nazanin" w:hint="cs"/>
          <w:sz w:val="24"/>
          <w:szCs w:val="24"/>
          <w:rtl/>
          <w:lang w:bidi="fa-IR"/>
        </w:rPr>
        <w:t xml:space="preserve">یافته‌های پژوهش — در صورت تکرار با داده‌های واقعی — می‌توانند کاربردهای عملی در چند سطح داشته باشند. آنچه در ادامه می‌آید، دلالت‌های احتیاطی است نه دستورالعمل قطعی؛ گذار از نتیجه آماری به توصیه عملی همواره به شواهد تکمیلی نیاز دارد و هیچ‌یک از ابزارها یا مداخله‌های نام‌برده در این پژوهش، روش نهایی و بی‌چون‌وچرا معرفی نمی‌شوند.</w:t>
      </w:r>
    </w:p>
    <w:p>
      <w:pPr>
        <w:bidi w:val="1"/>
        <w:spacing w:lineRule="exact" w:line="580" w:after="0"/>
        <w:jc w:val="both"/>
      </w:pPr>
      <w:r>
        <w:rPr>
          <w:rFonts w:ascii="B Nazanin" w:hAnsi="B Nazanin" w:cs="B Nazanin" w:hint="cs"/>
          <w:sz w:val="24"/>
          <w:szCs w:val="24"/>
          <w:rtl/>
          <w:lang w:bidi="fa-IR"/>
        </w:rPr>
        <w:t xml:space="preserve">برای روان‌شناسان و مشاوران، یافته‌ها نشان می‌دهند که ارزیابی معامله‌گران مراجعه‌کننده نباید به سنجش اضطراب محدود بماند؛ بررسی باورهای بنیادین ناسازگار — به‌ویژه در حوزه‌های محدودیت‌های مختل و بریدگی و طرد — می‌تواند تصویر کامل‌تری از آسیب‌پذیری فرد به دست دهد (یانگ و همکاران، ۲۰۰۳). مداخله‌های مبتنی بر بازسازی شناختی و اصلاح سبک‌های مقابله‌ای، در کنار آموزش مدیریت اضطراب، ترکیب موجهی برای این گروه به نظر می‌رسد؛ هرچند اثربخشی چنین ترکیبی در جمعیت معامله‌گران هنوز نیازمند آزمون مستقیم است. پرسشنامه‌های به‌کاررفته در این پژوهش ابزارهای غربالگری پژوهشی‌اند و نمره بالا در آن‌ها به‌تنهایی مجوز هیچ تشخیص بالینی نیست.</w:t>
      </w:r>
    </w:p>
    <w:p>
      <w:pPr>
        <w:bidi w:val="1"/>
        <w:spacing w:lineRule="exact" w:line="580" w:after="0"/>
        <w:jc w:val="both"/>
      </w:pPr>
      <w:r>
        <w:rPr>
          <w:rFonts w:ascii="B Nazanin" w:hAnsi="B Nazanin" w:cs="B Nazanin" w:hint="cs"/>
          <w:sz w:val="24"/>
          <w:szCs w:val="24"/>
          <w:rtl/>
          <w:lang w:bidi="fa-IR"/>
        </w:rPr>
        <w:t xml:space="preserve">در آموزش معامله‌گران، یافته‌ها از گنجاندن مؤلفه روانشناختی در کنار آموزش فنی پشتیبانی می‌کنند. آشنایی با سوگیری‌هایی چون اثر گرایش (شفرین و استاتمن، ۱۹۸۵)، رفتار گله‌ای (هوانگ و سالمون، ۲۰۰۴) و معامله‌گری بیش از حد ناشی از بیش‌اطمینانی (باربر و اودین، ۲۰۰۰)، و تدوین «قوانین رفتاری» شخصی — مانند پایبندی به حد ضرر از پیش تعیین‌شده و محدودساختن حجم معاملات در دوره‌های پریشانی — می‌تواند به کاهش تصمیم‌های تکانشی کمک کند. شواهدی که سواد مالی را تعدیل‌گر اثر سوگیری‌ها یافته‌اند (فروغی و تهرانی، ۱۳۹۷؛ دینگرا و آگاروال، ۲۰۲۵)، نشان می‌دهند که آموزش مالی و آموزش روانشناختی مکمل یکدیگرند نه جایگزین هم.</w:t>
      </w:r>
    </w:p>
    <w:p>
      <w:pPr>
        <w:bidi w:val="1"/>
        <w:spacing w:lineRule="exact" w:line="580" w:after="0"/>
        <w:jc w:val="both"/>
      </w:pPr>
      <w:r>
        <w:rPr>
          <w:rFonts w:ascii="B Nazanin" w:hAnsi="B Nazanin" w:cs="B Nazanin" w:hint="cs"/>
          <w:sz w:val="24"/>
          <w:szCs w:val="24"/>
          <w:rtl/>
          <w:lang w:bidi="fa-IR"/>
        </w:rPr>
        <w:t xml:space="preserve">مشاوران مالی می‌توانند از سنجش تحمل ریسک نه‌فقط به‌عنوان یک عدد راهنما، بلکه به‌عنوان نقطه آغاز گفت‌وگو درباره تناسب روانی راهبرد سرمایه‌گذاری استفاده کنند. به‌ویژه ناهماهنگی میان تحمل ذهنی ریسک و ظرفیت عینی آن — یعنی پذیرش ذهنی ریسکی که توان اقتصادی تحمل پیامدهایش وجود ندارد — زنگ خطری است که مشاور می‌تواند آن را به زبان ساده به مشتری منتقل کند (گرابل و لایتون، ۱۹۹۹؛ گرابل، ۲۰۱۷). در اینجا نیز توصیه مالی فردی خاصی از یافته‌ها استخراج نمی‌شود.</w:t>
      </w:r>
    </w:p>
    <w:p>
      <w:pPr>
        <w:bidi w:val="1"/>
        <w:spacing w:lineRule="exact" w:line="580" w:after="0"/>
        <w:jc w:val="both"/>
      </w:pPr>
      <w:r>
        <w:rPr>
          <w:rFonts w:ascii="B Nazanin" w:hAnsi="B Nazanin" w:cs="B Nazanin" w:hint="cs"/>
          <w:sz w:val="24"/>
          <w:szCs w:val="24"/>
          <w:rtl/>
          <w:lang w:bidi="fa-IR"/>
        </w:rPr>
        <w:t xml:space="preserve">کارگزاری‌ها و پلتفرم‌های معاملاتی نیز می‌توانند نقش پیشگیرانه ایفا کنند. با توجه به گسترش سرمایه‌گذاران خرد کم‌تجربه در بازارها (سازمان همکاری و توسعه اقتصادی، ۲۰۲۱) و نقش ترس از دست دادن فرصت در سوق دادن افراد به تصمیم‌های هیجانی (اور و شوماخر، ۲۰۲۳)، طراحی هشدارهای هوشمند درباره الگوهای معاملاتی پرخطر — مانند افزایش ناگهانی حجم معاملات یا معامله پی‌درپی پس از زیان — و ارائه ماژول‌های آموزشی کوتاه درباره روانشناسی معامله‌گری، اقدام‌هایی کم‌هزینه با منافع بالقوه‌اند. شناسایی «معامله برای فرار از پریشانی هیجانی» به‌عنوان مؤلفه رفتار معاملاتی مشکل‌ساز (گرال-برونک و همکاران، ۲۰۲۵) می‌تواند مبنای طراحی چنین هشدارهایی قرار گیرد.</w:t>
      </w:r>
    </w:p>
    <w:p>
      <w:pPr>
        <w:bidi w:val="1"/>
        <w:spacing w:lineRule="exact" w:line="580" w:after="0"/>
        <w:jc w:val="both"/>
      </w:pPr>
      <w:r>
        <w:rPr>
          <w:rFonts w:ascii="B Nazanin" w:hAnsi="B Nazanin" w:cs="B Nazanin" w:hint="cs"/>
          <w:sz w:val="24"/>
          <w:szCs w:val="24"/>
          <w:rtl/>
          <w:lang w:bidi="fa-IR"/>
        </w:rPr>
        <w:t xml:space="preserve">سرانجام، یافته‌ها از طراحی برنامه‌های غربالگری و آموزش تنظیم هیجان برای معامله‌گران پشتیبانی می‌کنند. شواهد فیزیولوژیک نشان می‌دهند که معامله‌گران موفق از توانایی بهتری در حفظ آرامش تحت فشار برخوردارند (فنتون-اکریوی و همکاران، ۲۰۱۲) و مداخله‌های شناختی می‌توانند تحمل ریسک و کیفیت تصمیم‌گیری را بهبود بخشند (اولولو و همکاران، ۲۰۲۴). چنین برنامه‌هایی باید داوطلبانه، بدون برچسب‌زنی و با تأکید بر ارتقای عملکرد — نه درمان اختلال — طراحی شوند.</w:t>
      </w:r>
    </w:p>
    <w:p>
      <w:pPr>
        <w:pStyle w:val="Heading2"/>
        <w:bidi w:val="1"/>
        <w:jc w:val="right"/>
      </w:pPr>
      <w:r>
        <w:rPr>
          <w:rFonts w:ascii="B Nazanin" w:hAnsi="B Nazanin" w:cs="B Nazanin" w:hint="cs"/>
          <w:b/>
          <w:bCs/>
          <w:sz w:val="28"/>
          <w:szCs w:val="28"/>
          <w:rtl/>
          <w:lang w:bidi="fa-IR"/>
        </w:rPr>
        <w:t xml:space="preserve">۵-۶. محدودیت‌های پژوهش</w:t>
      </w:r>
    </w:p>
    <w:p>
      <w:pPr>
        <w:bidi w:val="1"/>
        <w:spacing w:lineRule="exact" w:line="580" w:after="0"/>
        <w:jc w:val="both"/>
      </w:pPr>
      <w:r>
        <w:rPr>
          <w:rFonts w:ascii="B Nazanin" w:hAnsi="B Nazanin" w:cs="B Nazanin" w:hint="cs"/>
          <w:sz w:val="24"/>
          <w:szCs w:val="24"/>
          <w:rtl/>
          <w:lang w:bidi="fa-IR"/>
        </w:rPr>
        <w:t xml:space="preserve">نخستین محدودیت به روش نمونه‌گیری مربوط است. با توجه به نبود فهرست جامع معامله‌گران، از نمونه‌گیری غیرتصادفی در دسترس و گلوله‌برفی استفاده شد. هرچند این روش با توجه به ویژگی‌های جامعه هدف عملی‌ترین راه دسترسی به نمونه بود، قابلیت تعمیم‌پذیری نتایج را محدود می‌کند؛ زیرا هر معامله‌گری شانس برابر برای ورود به نمونه نداشت و ویژگی‌های افراد خارج از دسترس پژوهشگر نامعلوم باقی ماند.</w:t>
      </w:r>
    </w:p>
    <w:p>
      <w:pPr>
        <w:bidi w:val="1"/>
        <w:spacing w:lineRule="exact" w:line="580" w:after="0"/>
        <w:jc w:val="both"/>
      </w:pPr>
      <w:r>
        <w:rPr>
          <w:rFonts w:ascii="B Nazanin" w:hAnsi="B Nazanin" w:cs="B Nazanin" w:hint="cs"/>
          <w:sz w:val="24"/>
          <w:szCs w:val="24"/>
          <w:rtl/>
          <w:lang w:bidi="fa-IR"/>
        </w:rPr>
        <w:t xml:space="preserve">گردآوری آنلاین داده‌ها — هرچند متناسب با پراکندگی جغرافیایی معامله‌گران و زمینه‌ساز گزارش صادقانه‌تر — امکان سوگیری انتخاب را به همراه دارد. شرکت‌کنندگان داوطلبانی‌اند که در کانال‌ها و گروه‌های تخصصی معامله‌گری عضویت دارند و به پرسشنامه آنلاین پاسخ داده‌اند؛ این گروه ممکن است از نظر سواد دیجیتال، انگیزه و حتی سطح اضطراب با بدنه معامله‌گران تفاوت داشته باشند. همچنین کنترل شرایط پاسخ‌دهی — مانند پاسخ هم‌زمان چند پرسشنامه یا مشورت با دیگران — در محیط آنلاین ممکن نیست.</w:t>
      </w:r>
    </w:p>
    <w:p>
      <w:pPr>
        <w:bidi w:val="1"/>
        <w:spacing w:lineRule="exact" w:line="580" w:after="0"/>
        <w:jc w:val="both"/>
      </w:pPr>
      <w:r>
        <w:rPr>
          <w:rFonts w:ascii="B Nazanin" w:hAnsi="B Nazanin" w:cs="B Nazanin" w:hint="cs"/>
          <w:sz w:val="24"/>
          <w:szCs w:val="24"/>
          <w:rtl/>
          <w:lang w:bidi="fa-IR"/>
        </w:rPr>
        <w:t xml:space="preserve">سومین محدودیت، خودگزارشی بودن هر سه ابزار است. پاسخ‌های خودگزارشی در معرض سوگیری‌هایی چون مطلوب‌نمایی اجتماعی، ناآگاهی از فرایندهای درونی و اثر حالت خلقی لحظه پاسخ‌دهی قرار دارند. از آنجا که هر سه متغیر با همین شیوه سنجیده شده‌اند، بخشی از همبستگی‌های مشاهده‌شده ممکن است به واریانس مشترک روش مربوط باشد؛ هرچند هم‌جهتی یافته‌ها با پیش‌بینی‌های نظری مستقل، این نگرانی را تا حدی تعدیل می‌کند.</w:t>
      </w:r>
    </w:p>
    <w:p>
      <w:pPr>
        <w:bidi w:val="1"/>
        <w:spacing w:lineRule="exact" w:line="580" w:after="0"/>
        <w:jc w:val="both"/>
      </w:pPr>
      <w:r>
        <w:rPr>
          <w:rFonts w:ascii="B Nazanin" w:hAnsi="B Nazanin" w:cs="B Nazanin" w:hint="cs"/>
          <w:sz w:val="24"/>
          <w:szCs w:val="24"/>
          <w:rtl/>
          <w:lang w:bidi="fa-IR"/>
        </w:rPr>
        <w:t xml:space="preserve">مقطعی بودن طرح، محدودیت چهارم است. گردآوری هم‌زمان هر سه متغیر امکان استنتاج قطعی درباره جهت علی را نمی‌دهد و میانجی‌گری آزمون‌شده در اینجا، سازگاری داده‌ها با مدل نظری را نشان می‌دهد نه اثبات تجربی زنجیره علی. تعیین تقدم زمانی اضطراب بر طرحواره و طرحواره بر رفتار، به طرح‌های طولی نیاز دارد.</w:t>
      </w:r>
    </w:p>
    <w:p>
      <w:pPr>
        <w:bidi w:val="1"/>
        <w:spacing w:lineRule="exact" w:line="580" w:after="0"/>
        <w:jc w:val="both"/>
      </w:pPr>
      <w:r>
        <w:rPr>
          <w:rFonts w:ascii="B Nazanin" w:hAnsi="B Nazanin" w:cs="B Nazanin" w:hint="cs"/>
          <w:sz w:val="24"/>
          <w:szCs w:val="24"/>
          <w:rtl/>
          <w:lang w:bidi="fa-IR"/>
        </w:rPr>
        <w:t xml:space="preserve">ناهمگونی نمونه، محدودیت پنجم است. بازار فعالیت اصلی یکدست نبود: بورس با ۴۶٫۷۸٪ غالب بود و رمزارز (۲۲٫۸۱٪)، فارکس (۱۸٫۱۳٪) و طلا (۱۲٫۲۸٪) در رتبه‌های بعد قرار گرفتند؛ حال آن‌که قواعد، نوسانات و فرهنگ معاملاتی این بازارها متفاوت است. همچنین ترکیب جنسیتی نامتوازن بود (۶۶٫۰۸٪ مرد در برابر ۳۳٫۹۲٪ زن) و تعمیم نتایج به زنان معامله‌گر با احتیاط بیشتری همراه است. غلبه گروه‌های سنی جوان‌تر نیز دامنه تعمیم را محدود می‌کند.</w:t>
      </w:r>
    </w:p>
    <w:p>
      <w:pPr>
        <w:bidi w:val="1"/>
        <w:spacing w:lineRule="exact" w:line="580" w:after="0"/>
        <w:jc w:val="both"/>
      </w:pPr>
      <w:r>
        <w:rPr>
          <w:rFonts w:ascii="B Nazanin" w:hAnsi="B Nazanin" w:cs="B Nazanin" w:hint="cs"/>
          <w:sz w:val="24"/>
          <w:szCs w:val="24"/>
          <w:rtl/>
          <w:lang w:bidi="fa-IR"/>
        </w:rPr>
        <w:t xml:space="preserve">ششمین محدودیت به سنجش متغیر وابسته مربوط است: تحمل ریسک مالی یک نگرش روانشناختی است، حال آن‌که رفتار پرخطر یک عمل عینی. هرچند روایی پیش‌بین این مقیاس برای رفتار واقعی مستند شده (گرابل و لایتون، ۱۹۹۹؛ گرابل، ۲۰۱۷) و نسخه فارسی آن نیز اعتباریابی شده است (طالبی و همکاران، ۱۳۹۸)، به‌کارگیری آن به‌عنوان شاخص نیابتی رفتار، همچنان یک تقریب است و رفتار واقعی معاملاتی را مستقیماً ثبت نمی‌کند. هفتمین محدودیت، حجم نمونه در برابر نیازهای مدل‌سازی معادلات ساختاری است: نمونه ۱۷۱ نفری در بازه هدف عملی پژوهش (۱۵۰ تا ۲۰۰ نفر) قرار می‌گیرد، اما از حداقل ۲۰۰ نفر پیشنهادی برای برآوردهای پایا در این روش کمتر است (کلاین، ۲۰۱۶). هشتمین محدودیت، نامسنجیده ماندن متغیرهای جایگزینی چون تنظیم هیجان، تکانشگری، سواد مالی و تجربه معامله‌گری است که می‌توانستند بخشی از اثر مستقیم باقی‌مانده را تبیین کنند. نهمین محدودیت نیز برازش نامطلوب برخی شاخص‌های مدل معادلات ساختاری است که داوری درباره مدل کامل را محتاطانه می‌کند.</w:t>
      </w:r>
    </w:p>
    <w:p>
      <w:pPr>
        <w:bidi w:val="1"/>
        <w:spacing w:lineRule="exact" w:line="580" w:after="0"/>
        <w:jc w:val="both"/>
      </w:pPr>
      <w:r>
        <w:rPr>
          <w:rFonts w:ascii="B Nazanin" w:hAnsi="B Nazanin" w:cs="B Nazanin" w:hint="cs"/>
          <w:sz w:val="24"/>
          <w:szCs w:val="24"/>
          <w:rtl/>
          <w:lang w:bidi="fa-IR"/>
        </w:rPr>
        <w:t xml:space="preserve">این محدودیت‌ها به معنای بی‌اعتباری یافته‌ها نیستند؛ بلکه مرزهای تفسیر و تعمیم آن‌ها را مشخص می‌کنند. هر کاربرد نظری یا عملی از این یافته‌ها باید در چارچوب همین مرزها انجام گیرد.</w:t>
      </w:r>
    </w:p>
    <w:p>
      <w:pPr>
        <w:pStyle w:val="Heading2"/>
        <w:bidi w:val="1"/>
        <w:jc w:val="right"/>
      </w:pPr>
      <w:r>
        <w:rPr>
          <w:rFonts w:ascii="B Nazanin" w:hAnsi="B Nazanin" w:cs="B Nazanin" w:hint="cs"/>
          <w:b/>
          <w:bCs/>
          <w:sz w:val="28"/>
          <w:szCs w:val="28"/>
          <w:rtl/>
          <w:lang w:bidi="fa-IR"/>
        </w:rPr>
        <w:t xml:space="preserve">۵-۷. پیشنهادهای کاربردی و پژوهشی برای پژوهش‌های آتی</w:t>
      </w:r>
    </w:p>
    <w:p>
      <w:pPr>
        <w:pStyle w:val="Heading3"/>
        <w:bidi w:val="1"/>
        <w:jc w:val="right"/>
      </w:pPr>
      <w:r>
        <w:rPr>
          <w:rFonts w:ascii="B Nazanin" w:hAnsi="B Nazanin" w:cs="B Nazanin" w:hint="cs"/>
          <w:b/>
          <w:bCs/>
          <w:sz w:val="26"/>
          <w:szCs w:val="26"/>
          <w:rtl/>
          <w:lang w:bidi="fa-IR"/>
        </w:rPr>
        <w:t xml:space="preserve">۵-۷-۱. پیشنهادهای پژوهشی</w:t>
      </w:r>
    </w:p>
    <w:p>
      <w:pPr>
        <w:bidi w:val="1"/>
        <w:spacing w:lineRule="exact" w:line="580" w:after="0"/>
        <w:jc w:val="both"/>
      </w:pPr>
      <w:r>
        <w:rPr>
          <w:rFonts w:ascii="B Nazanin" w:hAnsi="B Nazanin" w:cs="B Nazanin" w:hint="cs"/>
          <w:sz w:val="24"/>
          <w:szCs w:val="24"/>
          <w:rtl/>
          <w:lang w:bidi="fa-IR"/>
        </w:rPr>
        <w:t xml:space="preserve">بر اساس یافته‌ها و محدودیت‌های پژوهش حاضر، پیشنهادهای زیر برای پژوهش‌های آتی مطرح می‌شود. این پیشنهادها هم اعتبار درونی یافته‌ها را تقویت می‌کنند و هم مرزهای دانش را در این حوزه گسترش می‌دهند.</w:t>
      </w:r>
    </w:p>
    <w:p>
      <w:pPr>
        <w:bidi w:val="1"/>
        <w:spacing w:lineRule="exact" w:line="580" w:after="0"/>
        <w:ind w:right="425"/>
        <w:jc w:val="both"/>
      </w:pPr>
      <w:r>
        <w:rPr>
          <w:rFonts w:ascii="B Nazanin" w:hAnsi="B Nazanin" w:cs="B Nazanin" w:hint="cs"/>
          <w:sz w:val="24"/>
          <w:szCs w:val="24"/>
          <w:rtl/>
          <w:lang w:bidi="fa-IR"/>
        </w:rPr>
        <w:t xml:space="preserve">• اجرای پژوهش با طرح طولی: گردآوری داده‌ها در چند نوبت زمانی امکان تعیین تقدم زمانی میان اضطراب، طرحواره‌ها و رفتار مالی را فراهم می‌آورد و آزمون میانجی‌گری را از سطح مقطعی به سطح تحولی ارتقا می‌دهد.</w:t>
      </w:r>
    </w:p>
    <w:p>
      <w:pPr>
        <w:bidi w:val="1"/>
        <w:spacing w:lineRule="exact" w:line="580" w:after="0"/>
        <w:ind w:right="425"/>
        <w:jc w:val="both"/>
      </w:pPr>
      <w:r>
        <w:rPr>
          <w:rFonts w:ascii="B Nazanin" w:hAnsi="B Nazanin" w:cs="B Nazanin" w:hint="cs"/>
          <w:sz w:val="24"/>
          <w:szCs w:val="24"/>
          <w:rtl/>
          <w:lang w:bidi="fa-IR"/>
        </w:rPr>
        <w:t xml:space="preserve">• به‌کارگیری نمونه‌گیری احتمالی یا طبقه‌ای با حجم نمونه بزرگ‌تر: افزایش حجم نمونه به بالای ۲۰۰ نفر، برآوردهای مدل‌سازی معادلات ساختاری را پایاتر می‌کند (کلاین، ۲۰۱۶) و نمونه‌گیری طبقه‌ای بر اساس نوع بازار، تعمیم‌پذیری را بهبود می‌بخشد.</w:t>
      </w:r>
    </w:p>
    <w:p>
      <w:pPr>
        <w:bidi w:val="1"/>
        <w:spacing w:lineRule="exact" w:line="580" w:after="0"/>
        <w:ind w:right="425"/>
        <w:jc w:val="both"/>
      </w:pPr>
      <w:r>
        <w:rPr>
          <w:rFonts w:ascii="B Nazanin" w:hAnsi="B Nazanin" w:cs="B Nazanin" w:hint="cs"/>
          <w:sz w:val="24"/>
          <w:szCs w:val="24"/>
          <w:rtl/>
          <w:lang w:bidi="fa-IR"/>
        </w:rPr>
        <w:t xml:space="preserve">• تفکیک بازارهای مالی: آزمون جداگانه مدل در معامله‌گران بورس، فارکس و رمزارز نشان می‌دهد که آیا سازوکار میانجی در بافت‌های معاملاتی متفاوت یکسان عمل می‌کند یا خیر.</w:t>
      </w:r>
    </w:p>
    <w:p>
      <w:pPr>
        <w:bidi w:val="1"/>
        <w:spacing w:lineRule="exact" w:line="580" w:after="0"/>
        <w:ind w:right="425"/>
        <w:jc w:val="both"/>
      </w:pPr>
      <w:r>
        <w:rPr>
          <w:rFonts w:ascii="B Nazanin" w:hAnsi="B Nazanin" w:cs="B Nazanin" w:hint="cs"/>
          <w:sz w:val="24"/>
          <w:szCs w:val="24"/>
          <w:rtl/>
          <w:lang w:bidi="fa-IR"/>
        </w:rPr>
        <w:t xml:space="preserve">• ترکیب داده‌های خودگزارشی و رفتاری: پیوند نمره‌های پرسشنامه با داده‌های واقعی حساب‌های معاملاتی — مانند حجم معاملات و بازده، به شیوه پژوهش باربر و اودین (۲۰۰۰) — هم واریانس مشترک روش را کاهش می‌دهد و هم روایی ملاکی مدل را می‌آزماید.</w:t>
      </w:r>
    </w:p>
    <w:p>
      <w:pPr>
        <w:bidi w:val="1"/>
        <w:spacing w:lineRule="exact" w:line="580" w:after="0"/>
        <w:ind w:right="425"/>
        <w:jc w:val="both"/>
      </w:pPr>
      <w:r>
        <w:rPr>
          <w:rFonts w:ascii="B Nazanin" w:hAnsi="B Nazanin" w:cs="B Nazanin" w:hint="cs"/>
          <w:sz w:val="24"/>
          <w:szCs w:val="24"/>
          <w:rtl/>
          <w:lang w:bidi="fa-IR"/>
        </w:rPr>
        <w:t xml:space="preserve">• ورود متغیرهای نامسنجیده به مدل: تنظیم هیجان، تکانشگری، سواد مالی و تجربه معامله‌گری نامزدهای اصلی‌اند؛ آزمون آن‌ها به‌عنوان میانجی مکمل یا تعدیل‌گر می‌تواند اثر مستقیم باقی‌مانده را تبیین کند.</w:t>
      </w:r>
    </w:p>
    <w:p>
      <w:pPr>
        <w:bidi w:val="1"/>
        <w:spacing w:lineRule="exact" w:line="580" w:after="0"/>
        <w:ind w:right="425"/>
        <w:jc w:val="both"/>
      </w:pPr>
      <w:r>
        <w:rPr>
          <w:rFonts w:ascii="B Nazanin" w:hAnsi="B Nazanin" w:cs="B Nazanin" w:hint="cs"/>
          <w:sz w:val="24"/>
          <w:szCs w:val="24"/>
          <w:rtl/>
          <w:lang w:bidi="fa-IR"/>
        </w:rPr>
        <w:t xml:space="preserve">• آزمون مدل‌های تعدیل‌گری یا میانجی‌گری چندگانه: با توجه به ضرورت مدل‌های پیچیده‌تر از روابط ساده (آرنا و همکاران، ۲۰۲۲)، افزودن متغیرهای تعدیل‌گر — مانند جنسیت یا سابقه معامله‌گری — و میانجی‌های موازی می‌تواند تصویر کامل‌تری به دست دهد.</w:t>
      </w:r>
    </w:p>
    <w:p>
      <w:pPr>
        <w:bidi w:val="1"/>
        <w:spacing w:lineRule="exact" w:line="580" w:after="0"/>
        <w:ind w:right="425"/>
        <w:jc w:val="both"/>
      </w:pPr>
      <w:r>
        <w:rPr>
          <w:rFonts w:ascii="B Nazanin" w:hAnsi="B Nazanin" w:cs="B Nazanin" w:hint="cs"/>
          <w:sz w:val="24"/>
          <w:szCs w:val="24"/>
          <w:rtl/>
          <w:lang w:bidi="fa-IR"/>
        </w:rPr>
        <w:t xml:space="preserve">• تکرار پژوهش در جمعیت‌های بالینی و غیربالینی: مقایسه الگو در معامله‌گران دارای تشخیص اضطرابی با معامله‌گران عادی، مرز میان کاربرد بالینی و کاربرد عملکردی مدل را روشن می‌کند.</w:t>
      </w:r>
    </w:p>
    <w:p>
      <w:pPr>
        <w:bidi w:val="1"/>
        <w:spacing w:lineRule="exact" w:line="580" w:after="0"/>
        <w:ind w:right="425"/>
        <w:jc w:val="both"/>
      </w:pPr>
      <w:r>
        <w:rPr>
          <w:rFonts w:ascii="B Nazanin" w:hAnsi="B Nazanin" w:cs="B Nazanin" w:hint="cs"/>
          <w:sz w:val="24"/>
          <w:szCs w:val="24"/>
          <w:rtl/>
          <w:lang w:bidi="fa-IR"/>
        </w:rPr>
        <w:t xml:space="preserve">• اعتبارسنجی بهتر ابزار سنجش رفتارهای مالی پرخطر: توسعه و اعتباریابی ابزارهایی که رفتار واقعی را مستقیم‌تر ثبت کنند — از جمله مقیاس‌های رفتار معاملاتی مشکل‌ساز (گرال-برونک و همکاران، ۲۰۲۵) — سنجش متغیر وابسته را از سطح نگرش به سطح رفتار نزدیک می‌کند.</w:t>
      </w:r>
    </w:p>
    <w:p>
      <w:pPr>
        <w:bidi w:val="1"/>
        <w:spacing w:lineRule="exact" w:line="580" w:after="0"/>
        <w:jc w:val="both"/>
      </w:pPr>
      <w:r>
        <w:rPr>
          <w:rFonts w:ascii="B Nazanin" w:hAnsi="B Nazanin" w:cs="B Nazanin" w:hint="cs"/>
          <w:sz w:val="24"/>
          <w:szCs w:val="24"/>
          <w:rtl/>
          <w:lang w:bidi="fa-IR"/>
        </w:rPr>
        <w:t xml:space="preserve">اجرای این پیشنهادها، مدل سه‌متغیره پژوهش حاضر را از یک الگوی اولیه به برنامه‌ای پژوهشی بدل می‌کند.</w:t>
      </w:r>
    </w:p>
    <w:p>
      <w:pPr>
        <w:bidi w:val="1"/>
        <w:spacing w:lineRule="exact" w:line="580" w:after="0"/>
        <w:jc w:val="both"/>
      </w:pPr>
      <w:r>
        <w:rPr>
          <w:rFonts w:ascii="B Nazanin" w:hAnsi="B Nazanin" w:cs="B Nazanin" w:hint="cs"/>
          <w:sz w:val="24"/>
          <w:szCs w:val="24"/>
          <w:rtl/>
          <w:lang w:bidi="fa-IR"/>
        </w:rPr>
        <w:t xml:space="preserve">نکته مشترک همه این پیشنهادها، حرکت از توصیف به تبیین عمیق‌تر است. پژوهش حاضر نشان داد که میان اضطراب و رفتار مالی، لایه شناختی معناداری قرار دارد؛ پژوهش‌های آتی باید نشان دهند که این لایه در چه شرایطی فعال‌تر می‌شود، با چه عوامل دیگری تعامل می‌کند و چگونه می‌توان آن را به‌طور پایدار تغییر داد. پاسخ به این پرسش‌ها، هم اعتبار مدل را می‌آزماید و هم راه را برای کاربردهای بالینی و آموزشی هموار می‌کند.</w:t>
      </w:r>
    </w:p>
    <w:p>
      <w:pPr>
        <w:pStyle w:val="Heading3"/>
        <w:bidi w:val="1"/>
        <w:jc w:val="right"/>
      </w:pPr>
      <w:r>
        <w:rPr>
          <w:rFonts w:ascii="B Nazanin" w:hAnsi="B Nazanin" w:cs="B Nazanin" w:hint="cs"/>
          <w:b/>
          <w:bCs/>
          <w:sz w:val="26"/>
          <w:szCs w:val="26"/>
          <w:rtl/>
          <w:lang w:bidi="fa-IR"/>
        </w:rPr>
        <w:t xml:space="preserve">۵-۷-۲. پیشنهادهای کاربردی</w:t>
      </w:r>
    </w:p>
    <w:p>
      <w:pPr>
        <w:bidi w:val="1"/>
        <w:spacing w:lineRule="exact" w:line="580" w:after="0"/>
        <w:jc w:val="both"/>
      </w:pPr>
      <w:r>
        <w:rPr>
          <w:rFonts w:ascii="B Nazanin" w:hAnsi="B Nazanin" w:cs="B Nazanin" w:hint="cs"/>
          <w:sz w:val="24"/>
          <w:szCs w:val="24"/>
          <w:rtl/>
          <w:lang w:bidi="fa-IR"/>
        </w:rPr>
        <w:t xml:space="preserve">در سطح کاربرد نیز پیشنهادهای زیر — با همان احتیاط‌های مذکور درباره گذار از آمار به عمل — مطرح می‌شود. مخاطب این پیشنهادها، نهادهای آموزشی، کارگزاری‌ها و مشاورانی‌اند که با معامله‌گران سروکار دارند؛ نه خود معامله‌گر به‌تنهایی، زیرا تغییر پایدار رفتار به بستر حمایتی نیاز دارد.</w:t>
      </w:r>
    </w:p>
    <w:p>
      <w:pPr>
        <w:bidi w:val="1"/>
        <w:spacing w:lineRule="exact" w:line="580" w:after="0"/>
        <w:ind w:right="425"/>
        <w:jc w:val="both"/>
      </w:pPr>
      <w:r>
        <w:rPr>
          <w:rFonts w:ascii="B Nazanin" w:hAnsi="B Nazanin" w:cs="B Nazanin" w:hint="cs"/>
          <w:sz w:val="24"/>
          <w:szCs w:val="24"/>
          <w:rtl/>
          <w:lang w:bidi="fa-IR"/>
        </w:rPr>
        <w:t xml:space="preserve">• آموزش شناخت سوگیری‌ها: برگزاری کارگاه‌های کوتاه برای معامله‌گران درباره اثر گرایش، رفتار گله‌ای و بیش‌اطمینانی، با تمرین‌های عملی بر پایه معاملات واقعی خودشان و بازبینی دوره‌ای معاملات گذشته برای شناسایی الگوهای تکراری خطا.</w:t>
      </w:r>
    </w:p>
    <w:p>
      <w:pPr>
        <w:bidi w:val="1"/>
        <w:spacing w:lineRule="exact" w:line="580" w:after="0"/>
        <w:ind w:right="425"/>
        <w:jc w:val="both"/>
      </w:pPr>
      <w:r>
        <w:rPr>
          <w:rFonts w:ascii="B Nazanin" w:hAnsi="B Nazanin" w:cs="B Nazanin" w:hint="cs"/>
          <w:sz w:val="24"/>
          <w:szCs w:val="24"/>
          <w:rtl/>
          <w:lang w:bidi="fa-IR"/>
        </w:rPr>
        <w:t xml:space="preserve">• آموزش تنظیم هیجان: گنجاندن مهارت‌های مدیریت اضطراب و توقف آگاهانه معامله در دوره‌های پریشانی — مانند تنفس منظم، توقف کوتاه پس از زیان و پرهیز از معامله جبرانی فوری — در برنامه‌های آموزشی کارگزاری‌ها و پلتفرم‌ها.</w:t>
      </w:r>
    </w:p>
    <w:p>
      <w:pPr>
        <w:bidi w:val="1"/>
        <w:spacing w:lineRule="exact" w:line="580" w:after="0"/>
        <w:ind w:right="425"/>
        <w:jc w:val="both"/>
      </w:pPr>
      <w:r>
        <w:rPr>
          <w:rFonts w:ascii="B Nazanin" w:hAnsi="B Nazanin" w:cs="B Nazanin" w:hint="cs"/>
          <w:sz w:val="24"/>
          <w:szCs w:val="24"/>
          <w:rtl/>
          <w:lang w:bidi="fa-IR"/>
        </w:rPr>
        <w:t xml:space="preserve">• برنامه‌های پیشگیری از معاملات تکانشی: طراحی سازوکارهایی چون «دوره تأمل» پیش از معاملات بزرگ یا سقف خودکار حجم روزانه، به‌ویژه برای معامله‌گران تازه‌کار، و همچنین محدودیت خودخواسته دسترسی به اهرم‌های بالا برای افراد کم‌تجربه.</w:t>
      </w:r>
    </w:p>
    <w:p>
      <w:pPr>
        <w:bidi w:val="1"/>
        <w:spacing w:lineRule="exact" w:line="580" w:after="0"/>
        <w:ind w:right="425"/>
        <w:jc w:val="both"/>
      </w:pPr>
      <w:r>
        <w:rPr>
          <w:rFonts w:ascii="B Nazanin" w:hAnsi="B Nazanin" w:cs="B Nazanin" w:hint="cs"/>
          <w:sz w:val="24"/>
          <w:szCs w:val="24"/>
          <w:rtl/>
          <w:lang w:bidi="fa-IR"/>
        </w:rPr>
        <w:t xml:space="preserve">• ارزیابی خطر بدون برچسب‌زنی تشخیصی: استفاده از پرسشنامه‌ها صرفاً برای غربالگری و خودآگاهی، با بازخورد محرمانه و غیرتشخیصی، ارائه نتایج صرفاً به خود فرد همراه با منابع آموزشی برای مطالعه بیشتر، و پرهیز از هرگونه برچسب اختلال.</w:t>
      </w:r>
    </w:p>
    <w:p>
      <w:pPr>
        <w:bidi w:val="1"/>
        <w:spacing w:lineRule="exact" w:line="580" w:after="0"/>
        <w:ind w:right="425"/>
        <w:jc w:val="both"/>
      </w:pPr>
      <w:r>
        <w:rPr>
          <w:rFonts w:ascii="B Nazanin" w:hAnsi="B Nazanin" w:cs="B Nazanin" w:hint="cs"/>
          <w:sz w:val="24"/>
          <w:szCs w:val="24"/>
          <w:rtl/>
          <w:lang w:bidi="fa-IR"/>
        </w:rPr>
        <w:t xml:space="preserve">• ارجاع به روان‌شناس در صورت آشفتگی شدید: تدوین مسیر ارجاع روشن برای معامله‌گرانی که اضطراب یا زیان‌های پی‌درپی عملکرد روزمره آنان را مختل کرده است، بدون آن‌که ارجاع به معنای ناتوانی حرفه‌ای تلقی شود، و همکاری کارگزاری‌ها با مراکز مشاوره برای تسهیل این مسیر.</w:t>
      </w:r>
    </w:p>
    <w:p>
      <w:pPr>
        <w:bidi w:val="1"/>
        <w:spacing w:lineRule="exact" w:line="580" w:after="0"/>
        <w:ind w:right="425"/>
        <w:jc w:val="both"/>
      </w:pPr>
      <w:r>
        <w:rPr>
          <w:rFonts w:ascii="B Nazanin" w:hAnsi="B Nazanin" w:cs="B Nazanin" w:hint="cs"/>
          <w:sz w:val="24"/>
          <w:szCs w:val="24"/>
          <w:rtl/>
          <w:lang w:bidi="fa-IR"/>
        </w:rPr>
        <w:t xml:space="preserve">• تشکیل گروه‌های همتای معامله‌گران: ایجاد بسترهای گفت‌وگوی منظم و نظارت‌شده که در آن معامله‌گران تجربه‌های هیجانی خود را به اشتراک بگذارند و از راهبردهای موفق یکدیگر بیاموزند؛ بی‌آن‌که این گروه‌ها به کانال سیگنال‌دهی یا رفتار گله‌ای بدل شوند.</w:t>
      </w:r>
    </w:p>
    <w:p>
      <w:pPr>
        <w:bidi w:val="1"/>
        <w:spacing w:lineRule="exact" w:line="580" w:after="0"/>
        <w:jc w:val="both"/>
      </w:pPr>
      <w:r>
        <w:rPr>
          <w:rFonts w:ascii="B Nazanin" w:hAnsi="B Nazanin" w:cs="B Nazanin" w:hint="cs"/>
          <w:sz w:val="24"/>
          <w:szCs w:val="24"/>
          <w:rtl/>
          <w:lang w:bidi="fa-IR"/>
        </w:rPr>
        <w:t xml:space="preserve">همه این توصیه‌ها جنبه پیشنهادی و علمی دارند و اثربخشی آن‌ها باید در پژوهش‌های مداخله‌ای مستقل آزمون شود؛ هیچ‌یک را نباید نسخه قطعی دانست. پیشنهاد می‌شود اثربخشی هر یک از این اقدام‌ها پیش از تعمیم گسترده، در نمونه‌های کوچک و به شیوه آزمایشی ارزیابی شود تا از هزینه‌کردن برای روش‌های ناکارآمد جلوگیری گردد. همچنین پیشنهاد می‌شود گزارش سالانه کوتاهی از تجربه اجرای این اقدام‌ها منتشر شود تا دانش انباشته در اختیار پژوهشگران و نهادهای دیگر قرار گیرد.</w:t>
      </w:r>
    </w:p>
    <w:p>
      <w:pPr>
        <w:pStyle w:val="Heading2"/>
        <w:bidi w:val="1"/>
        <w:jc w:val="right"/>
      </w:pPr>
      <w:r>
        <w:rPr>
          <w:rFonts w:ascii="B Nazanin" w:hAnsi="B Nazanin" w:cs="B Nazanin" w:hint="cs"/>
          <w:b/>
          <w:bCs/>
          <w:sz w:val="28"/>
          <w:szCs w:val="28"/>
          <w:rtl/>
          <w:lang w:bidi="fa-IR"/>
        </w:rPr>
        <w:t xml:space="preserve">۵-۸. نتیجه‌گیری نهایی</w:t>
      </w:r>
    </w:p>
    <w:p>
      <w:pPr>
        <w:bidi w:val="1"/>
        <w:spacing w:lineRule="exact" w:line="580" w:after="0"/>
        <w:jc w:val="both"/>
      </w:pPr>
      <w:r>
        <w:rPr>
          <w:rFonts w:ascii="B Nazanin" w:hAnsi="B Nazanin" w:cs="B Nazanin" w:hint="cs"/>
          <w:sz w:val="24"/>
          <w:szCs w:val="24"/>
          <w:rtl/>
          <w:lang w:bidi="fa-IR"/>
        </w:rPr>
        <w:t xml:space="preserve">پژوهش حاضر با این پرسش آغاز شد که تنش هیجانی از چه مسیری به رفتار مالی پرخطر بدل می‌شود. پاسخ به‌دست‌آمده چنین است: اضطراب صفتی هم به‌طور مستقیم با رفتارهای مالی پرخطر مرتبط است و هم از مسیر غیرمستقیم طرحواره‌های ناسازگار اولیه بر آن اثر می‌گذارد. این پاسخ، مسئله پژوهش را نه با یک رابطه ساده، بلکه با یک سازوکار دومسیره توضیح می‌دهد و نشان می‌دهد که فهم رفتار معامله‌گر بدون توجه به لایه شناختی میانی ناقص می‌ماند.</w:t>
      </w:r>
    </w:p>
    <w:p>
      <w:pPr>
        <w:bidi w:val="1"/>
        <w:spacing w:lineRule="exact" w:line="580" w:after="0"/>
        <w:jc w:val="both"/>
      </w:pPr>
      <w:r>
        <w:rPr>
          <w:rFonts w:ascii="B Nazanin" w:hAnsi="B Nazanin" w:cs="B Nazanin" w:hint="cs"/>
          <w:sz w:val="24"/>
          <w:szCs w:val="24"/>
          <w:rtl/>
          <w:lang w:bidi="fa-IR"/>
        </w:rPr>
        <w:t xml:space="preserve">در سطح فرضیه‌های فرعی، هر سه رابطه دوتایی تأیید شدند، اما با درجه‌های متفاوتی از قوت: پیوند اضطراب با طرحواره‌ها نیرومندترین (۰٫۴۸)، و پیوند هر یک با رفتار مالی در سطح کوچک تا متوسط (۰٫۲۸ و ۰٫۲۹) بود. این الگوی نامتقارن خود گویاست: لایه شناختی-هیجانی درونی انسجام بیشتری دارد و گذار از آن به رفتار بیرونی، جایی است که اثر تضعیف می‌شود. در سطح فرضیه اصلی نیز میانجی‌گری جزئی به دست آمد: طرحواره‌ها بخشی از اثر را منتقل می‌کنند، اما نه همه آن را. این دو یافته در کنار هم، تصویری واقع‌بینانه از یک مدل اولیه ارائه می‌دهند: مدلی که کار می‌کند، اما کامل نیست. آزمون این سازوکار با ترکیب همبستگی پیرسون، تحلیل میانجی پراسس و مدل‌سازی معادلات ساختاری انجام گرفت تا یافته‌ها در بیش از یک چارچوب تحلیلی سنجیده شوند.</w:t>
      </w:r>
    </w:p>
    <w:p>
      <w:pPr>
        <w:bidi w:val="1"/>
        <w:spacing w:lineRule="exact" w:line="580" w:after="0"/>
        <w:jc w:val="both"/>
      </w:pPr>
      <w:r>
        <w:rPr>
          <w:rFonts w:ascii="B Nazanin" w:hAnsi="B Nazanin" w:cs="B Nazanin" w:hint="cs"/>
          <w:sz w:val="24"/>
          <w:szCs w:val="24"/>
          <w:rtl/>
          <w:lang w:bidi="fa-IR"/>
        </w:rPr>
        <w:t xml:space="preserve">در این سازوکار، هر سه متغیر نقش مشخصی دارند. اضطراب صفتی نقطه آغاز زنجیره است: زمینه‌ای پایدار که آستانه ادراک تهدید را پایین می‌آورد و ذهن را برای تفسیرهای فاجعه‌آمیز آماده نگه می‌دارد (اسپیلبرگر، ۱۹۸۳). طرحواره‌های ناسازگار اولیه سازوکار انتقال‌اند: فیلترهای شناختی که تنش هیجانی را به باورهای بنیادین و سپس به رفتار بدل می‌کنند (یانگ و همکاران، ۲۰۰۳). رفتارهای مالی پرخطر نیز پیامد عینی‌اند: تصمیم‌هایی که در سطح تحمل ریسک و الگوهای معاملاتی نمود می‌یابند (گرابل و لایتون، ۱۹۹۹). پیوند این سه سطح، همان مدل چندسطحی هیجانی-شناختی-رفتاری است که دلالت‌های نظری آن در بخش ۵-۳-۵ تشریح شد.</w:t>
      </w:r>
    </w:p>
    <w:p>
      <w:pPr>
        <w:bidi w:val="1"/>
        <w:spacing w:lineRule="exact" w:line="580" w:after="0"/>
        <w:jc w:val="both"/>
      </w:pPr>
      <w:r>
        <w:rPr>
          <w:rFonts w:ascii="B Nazanin" w:hAnsi="B Nazanin" w:cs="B Nazanin" w:hint="cs"/>
          <w:sz w:val="24"/>
          <w:szCs w:val="24"/>
          <w:rtl/>
          <w:lang w:bidi="fa-IR"/>
        </w:rPr>
        <w:t xml:space="preserve">یافته محوری — میانجی‌گری جزئی — معنایی دوگانه دارد. از یک سو، معناداری اثر غیرمستقیم (۰٫۰۷۱ با فاصله اطمینان [0.012, 0.142]) نشان می‌دهد که بخشی از رابطه اضطراب با رفتار مالی (حدود ۳۵٪) از مسیر طرحواره‌ها می‌گذرد و مداخله‌های شناختی می‌توانند این بخش را هدف قرار دهند. از سوی دیگر، باقی‌ماندن اثر مستقیم (۰٫۱۳۱،</w:t>
      </w:r>
      <w:r>
        <w:rPr>
          <w:rFonts w:ascii="Times New Roman" w:hAnsi="Times New Roman" w:cs="Times New Roman"/>
          <w:sz w:val="22"/>
          <w:szCs w:val="22"/>
          <w:lang w:val="en-US"/>
        </w:rPr>
        <w:t xml:space="preserve"> p = 0.032) </w:t>
      </w:r>
      <w:r>
        <w:rPr>
          <w:rFonts w:ascii="B Nazanin" w:hAnsi="B Nazanin" w:cs="B Nazanin" w:hint="cs"/>
          <w:sz w:val="24"/>
          <w:szCs w:val="24"/>
          <w:rtl/>
          <w:lang w:bidi="fa-IR"/>
        </w:rPr>
        <w:t xml:space="preserve">هشدار می‌دهد که طرحواره‌ها همه ماجرا نیستند و عوامل دیگری — از تنظیم هیجان تا شرایط بازار — در این رابطه دخیل‌اند. این دوگانگی، هم از ساده‌سازی افراطی جلوگیری می‌کند و هم افق پژوهش‌های بعدی را روشن نگه می‌دارد.</w:t>
      </w:r>
    </w:p>
    <w:p>
      <w:pPr>
        <w:bidi w:val="1"/>
        <w:spacing w:lineRule="exact" w:line="580" w:after="0"/>
        <w:jc w:val="both"/>
      </w:pPr>
      <w:r>
        <w:rPr>
          <w:rFonts w:ascii="B Nazanin" w:hAnsi="B Nazanin" w:cs="B Nazanin" w:hint="cs"/>
          <w:sz w:val="24"/>
          <w:szCs w:val="24"/>
          <w:rtl/>
          <w:lang w:bidi="fa-IR"/>
        </w:rPr>
        <w:t xml:space="preserve">خوانش این نتیجه‌گیری باید محتاطانه و غیرعلی بماند. طرح مقطعی، نمونه‌گیری غیرتصادفی و برازش ناکافی مدل کامل معادلات ساختاری، هر یک مرزی بر قطعیت تفسیر می‌نهند. همچنین باید میان نتیجه آماری و کاربرد بالینی تفکیک نهاد: معناداری یک مسیر در مدل، به معنای نیاز بالینی همه افراد با نمره بالا نیست و نمره پرسشنامه — هرقدر هم بالا — معادل تشخیص اختلال نیست. یافته‌ها در سطح گروه و احتمال سخن می‌گویند، نه در سطح فرد و قطعیت؛ و هرگونه کاربرد فردی آن‌ها باید با ارزیابی بالینی جامع همراه شود.</w:t>
      </w:r>
    </w:p>
    <w:p>
      <w:pPr>
        <w:bidi w:val="1"/>
        <w:spacing w:lineRule="exact" w:line="580" w:after="0"/>
        <w:jc w:val="both"/>
      </w:pPr>
      <w:r>
        <w:rPr>
          <w:rFonts w:ascii="B Nazanin" w:hAnsi="B Nazanin" w:cs="B Nazanin" w:hint="cs"/>
          <w:sz w:val="24"/>
          <w:szCs w:val="24"/>
          <w:rtl/>
          <w:lang w:bidi="fa-IR"/>
        </w:rPr>
        <w:t xml:space="preserve">در پایان، پژوهش حاضر گامی در جهت فهم روانشناختی رفتار معامله‌گران برداشت: نشان داد که اضطراب و طرحواره‌ها هر دو با رفتارهای مالی پرخطر مرتبط‌اند، که طرحواره‌ها بخشی از اثر اضطراب را منتقل می‌کنند، و که این انتقال از مسیر سبک‌های مقابله‌ای ناسازگار قابل تبیین است. این تصویر چارچوبی منسجم برای اندیشیدن درباره پیوند هیجان، شناخت و رفتار مالی پیشنهاد می‌کند؛ چارچوبی که اعتبار نهایی آن در گرو تکرار پژوهش با داده‌ها و نمونه‌های مستقل است.</w:t>
      </w:r>
    </w:p>
    <w:p>
      <w:pPr>
        <w:bidi w:val="1"/>
        <w:spacing w:lineRule="exact" w:line="580" w:after="0"/>
        <w:jc w:val="both"/>
      </w:pPr>
      <w:r>
        <w:rPr>
          <w:rFonts w:ascii="B Nazanin" w:hAnsi="B Nazanin" w:cs="B Nazanin" w:hint="cs"/>
          <w:sz w:val="24"/>
          <w:szCs w:val="24"/>
          <w:rtl/>
          <w:lang w:bidi="fa-IR"/>
        </w:rPr>
        <w:t xml:space="preserve">سهم پژوهش حاضر را می‌توان در سه نکته خلاصه کرد: نخست، آزمون هم‌زمان سه متغیر در یک مدل یکپارچه به‌جای روابط پراکنده دوتایی؛ دوم، نشان دادن این‌که ناهمسانی رفتار معامله‌گران می‌تواند ریشه در لایه شناختی میانی داشته باشد؛ و سوم، ترسیم مرزهای دقیق آنچه از این یافته‌ها می‌توان و نمی‌توان نتیجه گرفت. هر سه نکته، بیش از آن‌که پایان یک بحث باشند، آغاز بحث‌های بعدی‌اند.</w:t>
      </w:r>
    </w:p>
    <w:p>
      <w:pPr>
        <w:bidi w:val="1"/>
        <w:spacing w:lineRule="exact" w:line="580" w:after="0"/>
        <w:jc w:val="both"/>
      </w:pPr>
      <w:r>
        <w:rPr>
          <w:rFonts w:ascii="B Nazanin" w:hAnsi="B Nazanin" w:cs="B Nazanin" w:hint="cs"/>
          <w:sz w:val="24"/>
          <w:szCs w:val="24"/>
          <w:rtl/>
          <w:lang w:bidi="fa-IR"/>
        </w:rPr>
        <w:t xml:space="preserve">فصل پنجم با همین چشم‌انداز به پایان می‌رسد: یافته‌ها، الگویی معنادار و تبیین‌پذیر را نشان داده‌اند؛ محدودیت‌ها، مرزهای این الگو را مشخص کرده‌اند؛ و پیشنهادها، مسیر عبور از این مرزها را ترسیم نموده‌اند. داوری نهایی درباره پایداری این الگو بر عهده پژوهش‌های آتی است و هر گام بعدی، چه در جهت تأیید و چه در جهت اصلاح این الگو، به فهم عمیق‌تر رفتار مالی معامله‌گران کمک خواهد کرد.</w:t>
      </w:r>
    </w:p>
    <w:p>
      <w:pPr>
        <w:bidi w:val="1"/>
        <w:spacing w:lineRule="exact" w:line="580" w:before="240" w:after="180"/>
        <w:jc w:val="right"/>
      </w:pPr>
      <w:r>
        <w:rPr>
          <w:rFonts w:ascii="B Nazanin" w:hAnsi="B Nazanin" w:cs="B Nazanin" w:hint="cs"/>
          <w:b/>
          <w:bCs/>
          <w:sz w:val="28"/>
          <w:szCs w:val="28"/>
          <w:rtl/>
          <w:lang w:bidi="fa-IR"/>
        </w:rPr>
        <w:t xml:space="preserve">منابع</w:t>
      </w:r>
    </w:p>
    <w:p>
      <w:pPr>
        <w:bidi w:val="1"/>
        <w:spacing w:lineRule="exact" w:line="580" w:before="180" w:after="60"/>
        <w:jc w:val="right"/>
      </w:pPr>
      <w:r>
        <w:rPr>
          <w:rFonts w:ascii="B Nazanin" w:hAnsi="B Nazanin" w:cs="B Nazanin" w:hint="cs"/>
          <w:b/>
          <w:bCs/>
          <w:sz w:val="28"/>
          <w:szCs w:val="28"/>
          <w:rtl/>
          <w:lang w:bidi="fa-IR"/>
        </w:rPr>
        <w:t xml:space="preserve">الف) منابع فارسی</w:t>
      </w:r>
    </w:p>
    <w:p>
      <w:pPr>
        <w:bidi w:val="1"/>
        <w:spacing w:lineRule="exact" w:line="580" w:after="40"/>
        <w:jc w:val="right"/>
      </w:pPr>
      <w:r>
        <w:rPr>
          <w:rFonts w:ascii="B Nazanin" w:hAnsi="B Nazanin" w:cs="B Nazanin" w:hint="cs"/>
          <w:sz w:val="24"/>
          <w:szCs w:val="24"/>
          <w:rtl/>
          <w:lang w:bidi="fa-IR"/>
        </w:rPr>
        <w:t xml:space="preserve">امیدی، ع.، کدیور، پ.، و فرزاد، و. (۱۳۹۲). رابطه بین طرحواره‌های ناسازگار اولیه، سبک‌های فرزندپروری و سبک‌های هویت با گرایش به اعتیاد. اعتیاد پژوهی، ۷(۲۷)، ۹-۲۶.</w:t>
      </w:r>
    </w:p>
    <w:p>
      <w:pPr>
        <w:bidi w:val="1"/>
        <w:spacing w:lineRule="exact" w:line="580" w:after="40"/>
        <w:jc w:val="right"/>
      </w:pPr>
      <w:r>
        <w:rPr>
          <w:rFonts w:ascii="B Nazanin" w:hAnsi="B Nazanin" w:cs="B Nazanin" w:hint="cs"/>
          <w:sz w:val="24"/>
          <w:szCs w:val="24"/>
          <w:rtl/>
          <w:lang w:bidi="fa-IR"/>
        </w:rPr>
        <w:t xml:space="preserve">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pPr>
        <w:bidi w:val="1"/>
        <w:spacing w:lineRule="exact" w:line="580" w:after="40"/>
        <w:jc w:val="right"/>
      </w:pPr>
      <w:r>
        <w:rPr>
          <w:rFonts w:ascii="B Nazanin" w:hAnsi="B Nazanin" w:cs="B Nazanin" w:hint="cs"/>
          <w:sz w:val="24"/>
          <w:szCs w:val="24"/>
          <w:rtl/>
          <w:lang w:bidi="fa-IR"/>
        </w:rPr>
        <w:t xml:space="preserve">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val="1"/>
        <w:spacing w:lineRule="exact" w:line="580" w:after="40"/>
        <w:jc w:val="right"/>
      </w:pPr>
      <w:r>
        <w:rPr>
          <w:rFonts w:ascii="B Nazanin" w:hAnsi="B Nazanin" w:cs="B Nazanin" w:hint="cs"/>
          <w:sz w:val="24"/>
          <w:szCs w:val="24"/>
          <w:rtl/>
          <w:lang w:bidi="fa-IR"/>
        </w:rPr>
        <w:t xml:space="preserve">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pPr>
        <w:bidi w:val="1"/>
        <w:spacing w:lineRule="exact" w:line="580" w:after="40"/>
        <w:jc w:val="right"/>
      </w:pPr>
      <w:r>
        <w:rPr>
          <w:rFonts w:ascii="B Nazanin" w:hAnsi="B Nazanin" w:cs="B Nazanin" w:hint="cs"/>
          <w:sz w:val="24"/>
          <w:szCs w:val="24"/>
          <w:rtl/>
          <w:lang w:bidi="fa-IR"/>
        </w:rPr>
        <w:t xml:space="preserve">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pPr>
        <w:bidi w:val="1"/>
        <w:spacing w:lineRule="exact" w:line="580" w:after="40"/>
        <w:jc w:val="right"/>
      </w:pPr>
      <w:r>
        <w:rPr>
          <w:rFonts w:ascii="B Nazanin" w:hAnsi="B Nazanin" w:cs="B Nazanin" w:hint="cs"/>
          <w:sz w:val="24"/>
          <w:szCs w:val="24"/>
          <w:rtl/>
          <w:lang w:bidi="fa-IR"/>
        </w:rPr>
        <w:t xml:space="preserve">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pPr>
        <w:bidi w:val="1"/>
        <w:spacing w:lineRule="exact" w:line="580" w:after="40"/>
        <w:jc w:val="right"/>
      </w:pPr>
      <w:r>
        <w:rPr>
          <w:rFonts w:ascii="B Nazanin" w:hAnsi="B Nazanin" w:cs="B Nazanin" w:hint="cs"/>
          <w:sz w:val="24"/>
          <w:szCs w:val="24"/>
          <w:rtl/>
          <w:lang w:bidi="fa-IR"/>
        </w:rPr>
        <w:t xml:space="preserve">نوری، ر.، و هاشمیان، ک. (۱۳۹۶). رابطه بین طرحواره های ناسازگار اولیه و اضطراب اجتماعی در دانشجویان. مطالعات روانشناختی، ۱۳(۲)، ۱۴۱-۱۵۸.</w:t>
      </w:r>
    </w:p>
    <w:p>
      <w:pPr>
        <w:bidi w:val="1"/>
        <w:spacing w:lineRule="exact" w:line="580" w:before="180" w:after="60"/>
        <w:jc w:val="right"/>
      </w:pPr>
      <w:r>
        <w:rPr>
          <w:rFonts w:ascii="B Nazanin" w:hAnsi="B Nazanin" w:cs="B Nazanin" w:hint="cs"/>
          <w:b/>
          <w:bCs/>
          <w:sz w:val="28"/>
          <w:szCs w:val="28"/>
          <w:rtl/>
          <w:lang w:bidi="fa-IR"/>
        </w:rPr>
        <w:t xml:space="preserve">ب) منابع لاتین</w:t>
      </w:r>
    </w:p>
    <w:p>
      <w:pPr>
        <w:bidi w:val="0"/>
        <w:spacing w:lineRule="exact" w:line="580" w:after="40"/>
        <w:ind w:left="720" w:hanging="720"/>
        <w:jc w:val="left"/>
      </w:pPr>
      <w:r>
        <w:rPr>
          <w:rFonts w:ascii="Times New Roman" w:hAnsi="Times New Roman" w:cs="Times New Roman"/>
          <w:sz w:val="22"/>
          <w:szCs w:val="22"/>
          <w:lang w:val="en-US"/>
        </w:rPr>
        <w:t xml:space="preserve">An, H., Li, M., &amp; Wu, W. (2021). The impact of financial anxiety on individual investor's risky asset holdings: Evidence from China. Emerging Markets Finance and Trade, 57(11), 3217-3232.</w:t>
      </w:r>
    </w:p>
    <w:p>
      <w:pPr>
        <w:bidi w:val="0"/>
        <w:spacing w:lineRule="exact" w:line="580" w:after="40"/>
        <w:ind w:left="720" w:hanging="720"/>
        <w:jc w:val="left"/>
      </w:pPr>
      <w:r>
        <w:rPr>
          <w:rFonts w:ascii="Times New Roman" w:hAnsi="Times New Roman" w:cs="Times New Roman"/>
          <w:sz w:val="22"/>
          <w:szCs w:val="22"/>
          <w:lang w:val="en-US"/>
        </w:rPr>
        <w:t xml:space="preserve">Arena, M., Sbai, E., &amp; Soriya, S. (2022). Personality traits and behaviour biases: The moderating role of risk-tolerance. Frontiers in Psychology, 13, 949638.</w:t>
      </w:r>
    </w:p>
    <w:p>
      <w:pPr>
        <w:bidi w:val="0"/>
        <w:spacing w:lineRule="exact" w:line="580" w:after="40"/>
        <w:ind w:left="720" w:hanging="720"/>
        <w:jc w:val="left"/>
      </w:pPr>
      <w:r>
        <w:rPr>
          <w:rFonts w:ascii="Times New Roman" w:hAnsi="Times New Roman" w:cs="Times New Roman"/>
          <w:sz w:val="22"/>
          <w:szCs w:val="22"/>
          <w:lang w:val="en-US"/>
        </w:rPr>
        <w:t xml:space="preserve">Arntz, A., &amp; Jacob, G. (2012). Schema therapy in practice: An introductory guide to the schema mode approach. John Wiley &amp; Sons.</w:t>
      </w:r>
    </w:p>
    <w:p>
      <w:pPr>
        <w:bidi w:val="0"/>
        <w:spacing w:lineRule="exact" w:line="580" w:after="40"/>
        <w:ind w:left="720" w:hanging="720"/>
        <w:jc w:val="left"/>
      </w:pPr>
      <w:r>
        <w:rPr>
          <w:rFonts w:ascii="Times New Roman" w:hAnsi="Times New Roman" w:cs="Times New Roman"/>
          <w:sz w:val="22"/>
          <w:szCs w:val="22"/>
          <w:lang w:val="en-US"/>
        </w:rPr>
        <w:t xml:space="preserve">Auer, B. R., &amp; Schuhmacher, F. (2023). FOMO and the dark side of social trading. Finance Research Letters, 54, 103759.</w:t>
      </w:r>
    </w:p>
    <w:p>
      <w:pPr>
        <w:bidi w:val="0"/>
        <w:spacing w:lineRule="exact" w:line="580" w:after="40"/>
        <w:ind w:left="720" w:hanging="720"/>
        <w:jc w:val="left"/>
      </w:pPr>
      <w:r>
        <w:rPr>
          <w:rFonts w:ascii="Times New Roman" w:hAnsi="Times New Roman" w:cs="Times New Roman"/>
          <w:sz w:val="22"/>
          <w:szCs w:val="22"/>
          <w:lang w:val="en-US"/>
        </w:rPr>
        <w:t xml:space="preserve">Baker, H. K., &amp; Nofsinger, J. R. (Eds.). (2010). Behavioral finance: Investors, corporations, and markets. John Wiley &amp; Sons.</w:t>
      </w:r>
    </w:p>
    <w:p>
      <w:pPr>
        <w:bidi w:val="0"/>
        <w:spacing w:lineRule="exact" w:line="580" w:after="40"/>
        <w:ind w:left="720" w:hanging="720"/>
        <w:jc w:val="left"/>
      </w:pPr>
      <w:r>
        <w:rPr>
          <w:rFonts w:ascii="Times New Roman" w:hAnsi="Times New Roman" w:cs="Times New Roman"/>
          <w:sz w:val="22"/>
          <w:szCs w:val="22"/>
          <w:lang w:val="en-US"/>
        </w:rPr>
        <w:t xml:space="preserve">Barber, B. M., &amp; Odean, T. (2000). Trading is hazardous to your wealth: The common stock investment performance of individual investors. The Journal of Finance, 55(2), 773-806.</w:t>
      </w:r>
    </w:p>
    <w:p>
      <w:pPr>
        <w:bidi w:val="0"/>
        <w:spacing w:lineRule="exact" w:line="580" w:after="40"/>
        <w:ind w:left="720" w:hanging="720"/>
        <w:jc w:val="left"/>
      </w:pPr>
      <w:r>
        <w:rPr>
          <w:rFonts w:ascii="Times New Roman" w:hAnsi="Times New Roman" w:cs="Times New Roman"/>
          <w:sz w:val="22"/>
          <w:szCs w:val="22"/>
          <w:lang w:val="en-US"/>
        </w:rPr>
        <w:t xml:space="preserve">Beck, A. T. (1976). Cognitive therapy and the emotional disorders. International Universities Press.</w:t>
      </w:r>
    </w:p>
    <w:p>
      <w:pPr>
        <w:bidi w:val="0"/>
        <w:spacing w:lineRule="exact" w:line="580" w:after="40"/>
        <w:ind w:left="720" w:hanging="720"/>
        <w:jc w:val="left"/>
      </w:pPr>
      <w:r>
        <w:rPr>
          <w:rFonts w:ascii="Times New Roman" w:hAnsi="Times New Roman" w:cs="Times New Roman"/>
          <w:sz w:val="22"/>
          <w:szCs w:val="22"/>
          <w:lang w:val="en-US"/>
        </w:rPr>
        <w:t xml:space="preserve">Beck, A. T., &amp; Clark, D. A. (1997). An information processing model of anxiety: Automatic and strategic processes. Behaviour Research and Therapy, 35(1), 49–58. https://doi.org/10.1016/s0005-7967(96)00069-1</w:t>
      </w:r>
    </w:p>
    <w:p>
      <w:pPr>
        <w:bidi w:val="0"/>
        <w:spacing w:lineRule="exact" w:line="580" w:after="40"/>
        <w:ind w:left="720" w:hanging="720"/>
        <w:jc w:val="left"/>
      </w:pPr>
      <w:r>
        <w:rPr>
          <w:rFonts w:ascii="Times New Roman" w:hAnsi="Times New Roman" w:cs="Times New Roman"/>
          <w:sz w:val="22"/>
          <w:szCs w:val="22"/>
          <w:lang w:val="en-US"/>
        </w:rPr>
        <w:t xml:space="preserve">Charles, V., &amp; Kasilingam, R. (2022). The role of anxiety in financial decisions. Review of Behavioral Finance, 14(5), 720-735.</w:t>
      </w:r>
    </w:p>
    <w:p>
      <w:pPr>
        <w:bidi w:val="0"/>
        <w:spacing w:lineRule="exact" w:line="580" w:after="40"/>
        <w:ind w:left="720" w:hanging="720"/>
        <w:jc w:val="left"/>
      </w:pPr>
      <w:r>
        <w:rPr>
          <w:rFonts w:ascii="Times New Roman" w:hAnsi="Times New Roman" w:cs="Times New Roman"/>
          <w:sz w:val="22"/>
          <w:szCs w:val="22"/>
          <w:lang w:val="en-US"/>
        </w:rPr>
        <w:t xml:space="preserve">Dhingra, J., &amp; Aggarwal, N. (2025). Exploring Trait Anxiety as a Psychological Construct: Impacts of Gender, Educational Attainment and Financial Training. Indian Journal of Positive Psychology, 16(1), 45-58.</w:t>
      </w:r>
    </w:p>
    <w:p>
      <w:pPr>
        <w:bidi w:val="0"/>
        <w:spacing w:lineRule="exact" w:line="580" w:after="40"/>
        <w:ind w:left="720" w:hanging="720"/>
        <w:jc w:val="left"/>
      </w:pPr>
      <w:r>
        <w:rPr>
          <w:rFonts w:ascii="Times New Roman" w:hAnsi="Times New Roman" w:cs="Times New Roman"/>
          <w:sz w:val="22"/>
          <w:szCs w:val="22"/>
          <w:lang w:val="en-US"/>
        </w:rPr>
        <w:t xml:space="preserve">Estévez, A., et al. (2024). Association between gambling motives, violence and early maladaptive schemas in women with gambling disorder. Journal of Gambling Studies. https://doi.org/10.1007/s10899-024-10285-8</w:t>
      </w:r>
    </w:p>
    <w:p>
      <w:pPr>
        <w:bidi w:val="0"/>
        <w:spacing w:lineRule="exact" w:line="580" w:after="40"/>
        <w:ind w:left="720" w:hanging="720"/>
        <w:jc w:val="left"/>
      </w:pPr>
      <w:r>
        <w:rPr>
          <w:rFonts w:ascii="Times New Roman" w:hAnsi="Times New Roman" w:cs="Times New Roman"/>
          <w:sz w:val="22"/>
          <w:szCs w:val="22"/>
          <w:lang w:val="en-US"/>
        </w:rPr>
        <w:t xml:space="preserve">Eysenck, M. W., Derakshan, N., Santos, R., &amp; Calvo, M. G. (2007). Anxiety and cognitive performance: attentional control theory. Emotion, 7(2), 336–353.</w:t>
      </w:r>
    </w:p>
    <w:p>
      <w:pPr>
        <w:bidi w:val="0"/>
        <w:spacing w:lineRule="exact" w:line="580" w:after="40"/>
        <w:ind w:left="720" w:hanging="720"/>
        <w:jc w:val="left"/>
      </w:pPr>
      <w:r>
        <w:rPr>
          <w:rFonts w:ascii="Times New Roman" w:hAnsi="Times New Roman" w:cs="Times New Roman"/>
          <w:sz w:val="22"/>
          <w:szCs w:val="22"/>
          <w:lang w:val="en-US"/>
        </w:rPr>
        <w:t xml:space="preserve">Fenton-O'Creevy, M., Soane, E., Nicholson, N., &amp; Willman, P. (2011). Thinking, feeling and deciding: The influence of emotions on the decision making and performance of traders. Journal of Organizational Behavior, 32(8), 1044-1061. https://doi.org/10.1002/job.720</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 (4), 227–237</w:t>
      </w:r>
    </w:p>
    <w:p>
      <w:pPr>
        <w:bidi w:val="0"/>
        <w:spacing w:lineRule="exact" w:line="580" w:after="40"/>
        <w:ind w:left="720" w:hanging="720"/>
        <w:jc w:val="left"/>
      </w:pPr>
      <w:r>
        <w:rPr>
          <w:rFonts w:ascii="Times New Roman" w:hAnsi="Times New Roman" w:cs="Times New Roman"/>
          <w:sz w:val="22"/>
          <w:szCs w:val="22"/>
          <w:lang w:val="en-US"/>
        </w:rPr>
        <w:t xml:space="preserve">Gambetti, E., &amp; Giusberti, F. (2012). The effect of anger and anxiety on investment decisions. Journal of Economic Psychology, 33 (5), 1059–1069</w:t>
      </w:r>
    </w:p>
    <w:p>
      <w:pPr>
        <w:bidi w:val="0"/>
        <w:spacing w:lineRule="exact" w:line="580" w:after="40"/>
        <w:ind w:left="720" w:hanging="720"/>
        <w:jc w:val="left"/>
      </w:pPr>
      <w:r>
        <w:rPr>
          <w:rFonts w:ascii="Times New Roman" w:hAnsi="Times New Roman" w:cs="Times New Roman"/>
          <w:sz w:val="22"/>
          <w:szCs w:val="22"/>
          <w:lang w:val="en-US"/>
        </w:rPr>
        <w:t xml:space="preserve">Grable, J. E. (2017). Financial risk tolerance: A psychometric review. Financial Services Review, 26(2), 1-18.</w:t>
      </w:r>
    </w:p>
    <w:p>
      <w:pPr>
        <w:bidi w:val="0"/>
        <w:spacing w:lineRule="exact" w:line="580" w:after="40"/>
        <w:ind w:left="720" w:hanging="720"/>
        <w:jc w:val="left"/>
      </w:pPr>
      <w:r>
        <w:rPr>
          <w:rFonts w:ascii="Times New Roman" w:hAnsi="Times New Roman" w:cs="Times New Roman"/>
          <w:sz w:val="22"/>
          <w:szCs w:val="22"/>
          <w:lang w:val="en-US"/>
        </w:rPr>
        <w:t xml:space="preserve">Grable, J. E., &amp; Lytton, R. H. (1999). Financial risk tolerance revisited: The development of a risk assessment instrument. Financial Services Review, 8(3), 163-181.</w:t>
      </w:r>
    </w:p>
    <w:p>
      <w:pPr>
        <w:bidi w:val="0"/>
        <w:spacing w:lineRule="exact" w:line="580" w:after="40"/>
        <w:ind w:left="720" w:hanging="720"/>
        <w:jc w:val="left"/>
      </w:pPr>
      <w:r>
        <w:rPr>
          <w:rFonts w:ascii="Times New Roman" w:hAnsi="Times New Roman" w:cs="Times New Roman"/>
          <w:sz w:val="22"/>
          <w:szCs w:val="22"/>
          <w:lang w:val="en-US"/>
        </w:rPr>
        <w:t xml:space="preserve">Grall-Bronnec, M., et al. (2025). Development and validation of the Trading Disorder Scale for assessing problematic trading behaviors. Journal of Behavioral Addictions, 14(1), 112-128.</w:t>
      </w:r>
    </w:p>
    <w:p>
      <w:pPr>
        <w:bidi w:val="0"/>
        <w:spacing w:lineRule="exact" w:line="580" w:after="40"/>
        <w:ind w:left="720" w:hanging="720"/>
        <w:jc w:val="left"/>
      </w:pPr>
      <w:r>
        <w:rPr>
          <w:rFonts w:ascii="Times New Roman" w:hAnsi="Times New Roman" w:cs="Times New Roman"/>
          <w:sz w:val="22"/>
          <w:szCs w:val="22"/>
          <w:lang w:val="en-US"/>
        </w:rPr>
        <w:t xml:space="preserve">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val="0"/>
        <w:spacing w:lineRule="exact" w:line="580" w:after="40"/>
        <w:ind w:left="720" w:hanging="720"/>
        <w:jc w:val="left"/>
      </w:pPr>
      <w:r>
        <w:rPr>
          <w:rFonts w:ascii="Times New Roman" w:hAnsi="Times New Roman" w:cs="Times New Roman"/>
          <w:sz w:val="22"/>
          <w:szCs w:val="22"/>
          <w:lang w:val="en-US"/>
        </w:rPr>
        <w:t xml:space="preserve">Hartley, C. A., &amp; Phelps, E. A. (2012). Anxiety and decision-making. Biological Psychiatry, 72 (2), 113–118</w:t>
      </w:r>
    </w:p>
    <w:p>
      <w:pPr>
        <w:bidi w:val="0"/>
        <w:spacing w:lineRule="exact" w:line="580" w:after="40"/>
        <w:ind w:left="720" w:hanging="720"/>
        <w:jc w:val="left"/>
      </w:pPr>
      <w:r>
        <w:rPr>
          <w:rFonts w:ascii="Times New Roman" w:hAnsi="Times New Roman" w:cs="Times New Roman"/>
          <w:sz w:val="22"/>
          <w:szCs w:val="22"/>
          <w:lang w:val="en-US"/>
        </w:rPr>
        <w:t xml:space="preserve">Hayes, A. F. (2018). Introduction to mediation, moderation, and conditional process analysis: A regression-based approach (2nd ed.). Guilford Press.</w:t>
      </w:r>
    </w:p>
    <w:p>
      <w:pPr>
        <w:bidi w:val="0"/>
        <w:spacing w:lineRule="exact" w:line="580" w:after="40"/>
        <w:ind w:left="720" w:hanging="720"/>
        <w:jc w:val="left"/>
      </w:pPr>
      <w:r>
        <w:rPr>
          <w:rFonts w:ascii="Times New Roman" w:hAnsi="Times New Roman" w:cs="Times New Roman"/>
          <w:sz w:val="22"/>
          <w:szCs w:val="22"/>
          <w:lang w:val="en-US"/>
        </w:rPr>
        <w:t xml:space="preserve">Hwang, S., &amp; Salmon, M. (2004). Market stress and herding. Journal of Empirical Finance, 11(4), 585-616.</w:t>
      </w:r>
    </w:p>
    <w:p>
      <w:pPr>
        <w:bidi w:val="0"/>
        <w:spacing w:lineRule="exact" w:line="580" w:after="40"/>
        <w:ind w:left="720" w:hanging="720"/>
        <w:jc w:val="left"/>
      </w:pPr>
      <w:r>
        <w:rPr>
          <w:rFonts w:ascii="Times New Roman" w:hAnsi="Times New Roman" w:cs="Times New Roman"/>
          <w:sz w:val="22"/>
          <w:szCs w:val="22"/>
          <w:lang w:val="en-US"/>
        </w:rPr>
        <w:t xml:space="preserve">Kahneman, D., &amp; Tversky, A. (1979). Prospect theory: An analysis of decision under risk. Econometrica, 47(2), 263-291.</w:t>
      </w:r>
    </w:p>
    <w:p>
      <w:pPr>
        <w:bidi w:val="0"/>
        <w:spacing w:lineRule="exact" w:line="580" w:after="40"/>
        <w:ind w:left="720" w:hanging="720"/>
        <w:jc w:val="left"/>
      </w:pPr>
      <w:r>
        <w:rPr>
          <w:rFonts w:ascii="Times New Roman" w:hAnsi="Times New Roman" w:cs="Times New Roman"/>
          <w:sz w:val="22"/>
          <w:szCs w:val="22"/>
          <w:lang w:val="en-US"/>
        </w:rPr>
        <w:t xml:space="preserve">Kline, R. B. (2016). Principles and practice of structural equation modeling (4th ed.). Guilford Press.</w:t>
      </w:r>
    </w:p>
    <w:p>
      <w:pPr>
        <w:bidi w:val="0"/>
        <w:spacing w:lineRule="exact" w:line="580" w:after="40"/>
        <w:ind w:left="720" w:hanging="720"/>
        <w:jc w:val="left"/>
      </w:pPr>
      <w:r>
        <w:rPr>
          <w:rFonts w:ascii="Times New Roman" w:hAnsi="Times New Roman" w:cs="Times New Roman"/>
          <w:sz w:val="22"/>
          <w:szCs w:val="22"/>
          <w:lang w:val="en-US"/>
        </w:rPr>
        <w:t xml:space="preserve">Lauriola, M., &amp; Levin, I. P. (2001). Personality traits and risky decision-making in a controlled experimental task: An exploratory study. Personality and Individual Differences, 31(2), 215-226.</w:t>
      </w:r>
    </w:p>
    <w:p>
      <w:pPr>
        <w:bidi w:val="0"/>
        <w:spacing w:lineRule="exact" w:line="580" w:after="40"/>
        <w:ind w:left="720" w:hanging="720"/>
        <w:jc w:val="left"/>
      </w:pPr>
      <w:r>
        <w:rPr>
          <w:rFonts w:ascii="Times New Roman" w:hAnsi="Times New Roman" w:cs="Times New Roman"/>
          <w:sz w:val="22"/>
          <w:szCs w:val="22"/>
          <w:lang w:val="en-US"/>
        </w:rPr>
        <w:t xml:space="preserve">Lindberg, N., et al. (2011). Early maladaptive schemas in pathological gambling. Journal of Gambling Studies, 27(2), 277-287.</w:t>
      </w:r>
    </w:p>
    <w:p>
      <w:pPr>
        <w:bidi w:val="0"/>
        <w:spacing w:lineRule="exact" w:line="580" w:after="40"/>
        <w:ind w:left="720" w:hanging="720"/>
        <w:jc w:val="left"/>
      </w:pPr>
      <w:r>
        <w:rPr>
          <w:rFonts w:ascii="Times New Roman" w:hAnsi="Times New Roman" w:cs="Times New Roman"/>
          <w:sz w:val="22"/>
          <w:szCs w:val="22"/>
          <w:lang w:val="en-US"/>
        </w:rPr>
        <w:t xml:space="preserve">Lo, A. W., &amp; Repin, D. V. (2002). The psychophysiology of real-time financial risk processing. Journal of Cognitive Neuroscience, 14(3), 323-339.</w:t>
      </w:r>
    </w:p>
    <w:p>
      <w:pPr>
        <w:bidi w:val="0"/>
        <w:spacing w:lineRule="exact" w:line="580" w:after="40"/>
        <w:ind w:left="720" w:hanging="720"/>
        <w:jc w:val="left"/>
      </w:pPr>
      <w:r>
        <w:rPr>
          <w:rFonts w:ascii="Times New Roman" w:hAnsi="Times New Roman" w:cs="Times New Roman"/>
          <w:sz w:val="22"/>
          <w:szCs w:val="22"/>
          <w:lang w:val="en-US"/>
        </w:rPr>
        <w:t xml:space="preserve">Lo, A. W., Repin, D. V., &amp; Steenbarger, B. N. (2005). Fear and Greed in Financial Markets: A Clinical Study of Day-Traders. American Economic Review, 95 (2), 352–359.</w:t>
      </w:r>
    </w:p>
    <w:p>
      <w:pPr>
        <w:bidi w:val="0"/>
        <w:spacing w:lineRule="exact" w:line="580" w:after="40"/>
        <w:ind w:left="720" w:hanging="720"/>
        <w:jc w:val="left"/>
      </w:pPr>
      <w:r>
        <w:rPr>
          <w:rFonts w:ascii="Times New Roman" w:hAnsi="Times New Roman" w:cs="Times New Roman"/>
          <w:sz w:val="22"/>
          <w:szCs w:val="22"/>
          <w:lang w:val="en-US"/>
        </w:rPr>
        <w:t xml:space="preserve">Mahato, S., et al. (2025). Millennials and zoomers as investors: Behavioral factors shaping financial choices. All Finance Journal, 3(2), 15-29.</w:t>
      </w:r>
    </w:p>
    <w:p>
      <w:pPr>
        <w:bidi w:val="0"/>
        <w:spacing w:lineRule="exact" w:line="580" w:after="40"/>
        <w:ind w:left="720" w:hanging="720"/>
        <w:jc w:val="left"/>
      </w:pPr>
      <w:r>
        <w:rPr>
          <w:rFonts w:ascii="Times New Roman" w:hAnsi="Times New Roman" w:cs="Times New Roman"/>
          <w:sz w:val="22"/>
          <w:szCs w:val="22"/>
          <w:lang w:val="en-US"/>
        </w:rPr>
        <w:t xml:space="preserve">Maner, J. K., &amp; Schmidt, N. B. (2006). The role of risk avoidance in anxiety. Behavior Therapy, 37 (3), 290–305.</w:t>
      </w:r>
    </w:p>
    <w:p>
      <w:pPr>
        <w:bidi w:val="0"/>
        <w:spacing w:lineRule="exact" w:line="580" w:after="40"/>
        <w:ind w:left="720" w:hanging="720"/>
        <w:jc w:val="left"/>
      </w:pPr>
      <w:r>
        <w:rPr>
          <w:rFonts w:ascii="Times New Roman" w:hAnsi="Times New Roman" w:cs="Times New Roman"/>
          <w:sz w:val="22"/>
          <w:szCs w:val="22"/>
          <w:lang w:val="en-US"/>
        </w:rPr>
        <w:t xml:space="preserve">Mitte, K. (2007). Anxiety and risky decision-making: The role of cognitive processing. Psychological Review, 114 (4), 893-912.</w:t>
      </w:r>
    </w:p>
    <w:p>
      <w:pPr>
        <w:bidi w:val="0"/>
        <w:spacing w:lineRule="exact" w:line="580" w:after="40"/>
        <w:ind w:left="720" w:hanging="720"/>
        <w:jc w:val="left"/>
      </w:pPr>
      <w:r>
        <w:rPr>
          <w:rFonts w:ascii="Times New Roman" w:hAnsi="Times New Roman" w:cs="Times New Roman"/>
          <w:sz w:val="22"/>
          <w:szCs w:val="22"/>
          <w:lang w:val="en-US"/>
        </w:rPr>
        <w:t xml:space="preserve">Nguyen, M. T. T., Nguyen, L. H., &amp; Ho, T. H. (2019). Personality traits and stock investment of individuals. Sustainability, 11(19), 5474.</w:t>
      </w:r>
    </w:p>
    <w:p>
      <w:pPr>
        <w:bidi w:val="0"/>
        <w:spacing w:lineRule="exact" w:line="580" w:after="40"/>
        <w:ind w:left="720" w:hanging="720"/>
        <w:jc w:val="left"/>
      </w:pPr>
      <w:r>
        <w:rPr>
          <w:rFonts w:ascii="Times New Roman" w:hAnsi="Times New Roman" w:cs="Times New Roman"/>
          <w:sz w:val="22"/>
          <w:szCs w:val="22"/>
          <w:lang w:val="en-US"/>
        </w:rPr>
        <w:t xml:space="preserve">OECD. (2021). Retail investors in capital markets: Key findings and main messages. OECD Publishing.</w:t>
      </w:r>
    </w:p>
    <w:p>
      <w:pPr>
        <w:bidi w:val="0"/>
        <w:spacing w:lineRule="exact" w:line="580" w:after="40"/>
        <w:ind w:left="720" w:hanging="720"/>
        <w:jc w:val="left"/>
      </w:pPr>
      <w:r>
        <w:rPr>
          <w:rFonts w:ascii="Times New Roman" w:hAnsi="Times New Roman" w:cs="Times New Roman"/>
          <w:sz w:val="22"/>
          <w:szCs w:val="22"/>
          <w:lang w:val="en-US"/>
        </w:rPr>
        <w:t xml:space="preserve">Ololo, K., et al. (2024). Rational Emotive and Cognitive Behavior Coaching Intervention for Promoting College Students’ Financial Risk Tolerance. Journal of Rational-Emotive &amp; Cognitive-Behavior Therapy, 42, 398-418.</w:t>
      </w:r>
    </w:p>
    <w:p>
      <w:pPr>
        <w:bidi w:val="0"/>
        <w:spacing w:lineRule="exact" w:line="580" w:after="40"/>
        <w:ind w:left="720" w:hanging="720"/>
        <w:jc w:val="left"/>
      </w:pPr>
      <w:r>
        <w:rPr>
          <w:rFonts w:ascii="Times New Roman" w:hAnsi="Times New Roman" w:cs="Times New Roman"/>
          <w:sz w:val="22"/>
          <w:szCs w:val="22"/>
          <w:lang w:val="en-US"/>
        </w:rPr>
        <w:t xml:space="preserve">Pak, O., &amp; Mahmood, M. (2019). Personality traits and investor profile analysis: A behavioral finance study. PLoS ONE, 14(3), e0213626.</w:t>
      </w:r>
    </w:p>
    <w:p>
      <w:pPr>
        <w:bidi w:val="0"/>
        <w:spacing w:lineRule="exact" w:line="580" w:after="40"/>
        <w:ind w:left="720" w:hanging="720"/>
        <w:jc w:val="left"/>
      </w:pPr>
      <w:r>
        <w:rPr>
          <w:rFonts w:ascii="Times New Roman" w:hAnsi="Times New Roman" w:cs="Times New Roman"/>
          <w:sz w:val="22"/>
          <w:szCs w:val="22"/>
          <w:lang w:val="en-US"/>
        </w:rPr>
        <w:t xml:space="preserve">Rehm, I. C., et al. (2015). Neuroticism and its facets in relation to early maladaptive schemas. Journal of Affective Disorders, 172, 424-431.</w:t>
      </w:r>
    </w:p>
    <w:p>
      <w:pPr>
        <w:bidi w:val="0"/>
        <w:spacing w:lineRule="exact" w:line="580" w:after="40"/>
        <w:ind w:left="720" w:hanging="720"/>
        <w:jc w:val="left"/>
      </w:pPr>
      <w:r>
        <w:rPr>
          <w:rFonts w:ascii="Times New Roman" w:hAnsi="Times New Roman" w:cs="Times New Roman"/>
          <w:sz w:val="22"/>
          <w:szCs w:val="22"/>
          <w:lang w:val="en-US"/>
        </w:rPr>
        <w:t xml:space="preserve">Safitri, H., Giriati, G., &amp; Wendy, W. (2025). Socio-Psychological Effect in Investment Decision-Making Mediated by Risk Tolerance. Journal of Information Systems Engineering and Management, 10(1), 22015.</w:t>
      </w:r>
    </w:p>
    <w:p>
      <w:pPr>
        <w:bidi w:val="0"/>
        <w:spacing w:lineRule="exact" w:line="580" w:after="40"/>
        <w:ind w:left="720" w:hanging="720"/>
        <w:jc w:val="left"/>
      </w:pPr>
      <w:r>
        <w:rPr>
          <w:rFonts w:ascii="Times New Roman" w:hAnsi="Times New Roman" w:cs="Times New Roman"/>
          <w:sz w:val="22"/>
          <w:szCs w:val="22"/>
          <w:lang w:val="en-US"/>
        </w:rPr>
        <w:t xml:space="preserve">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pPr>
        <w:bidi w:val="0"/>
        <w:spacing w:lineRule="exact" w:line="580" w:after="40"/>
        <w:ind w:left="720" w:hanging="720"/>
        <w:jc w:val="left"/>
      </w:pPr>
      <w:r>
        <w:rPr>
          <w:rFonts w:ascii="Times New Roman" w:hAnsi="Times New Roman" w:cs="Times New Roman"/>
          <w:sz w:val="22"/>
          <w:szCs w:val="22"/>
          <w:lang w:val="en-US"/>
        </w:rPr>
        <w:t xml:space="preserve">Shefrin, H., &amp; Statman, M. (1985). The disposition to sell winners too early and ride losers too long: Theory and evidence. The Journal of Finance, 40(3), 777-790.</w:t>
      </w:r>
    </w:p>
    <w:p>
      <w:pPr>
        <w:bidi w:val="0"/>
        <w:spacing w:lineRule="exact" w:line="580" w:after="40"/>
        <w:ind w:left="720" w:hanging="720"/>
        <w:jc w:val="left"/>
      </w:pPr>
      <w:r>
        <w:rPr>
          <w:rFonts w:ascii="Times New Roman" w:hAnsi="Times New Roman" w:cs="Times New Roman"/>
          <w:sz w:val="22"/>
          <w:szCs w:val="22"/>
          <w:lang w:val="en-US"/>
        </w:rPr>
        <w:t xml:space="preserve">Shorey, R. C., et al. (2012). Gambling and early maladaptive schemas in a treatment seeking sample of male alcohol users: A preliminary investigation. Addictive Disorders &amp; Their Treatment, 11(4), 173-182. https://doi.org/10.1097/adt.0b013e31823eda8f</w:t>
      </w:r>
    </w:p>
    <w:p>
      <w:pPr>
        <w:bidi w:val="0"/>
        <w:spacing w:lineRule="exact" w:line="580" w:after="40"/>
        <w:ind w:left="720" w:hanging="720"/>
        <w:jc w:val="left"/>
      </w:pPr>
      <w:r>
        <w:rPr>
          <w:rFonts w:ascii="Times New Roman" w:hAnsi="Times New Roman" w:cs="Times New Roman"/>
          <w:sz w:val="22"/>
          <w:szCs w:val="22"/>
          <w:lang w:val="en-US"/>
        </w:rPr>
        <w:t xml:space="preserve">Spielberger, C. D. (1983).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Thaler, R. H. (2016). Behavioral finance: Past, present, and future. American Economic Review, 106(7), 1577-1600.</w:t>
      </w:r>
    </w:p>
    <w:p>
      <w:pPr>
        <w:bidi w:val="0"/>
        <w:spacing w:lineRule="exact" w:line="580" w:after="40"/>
        <w:ind w:left="720" w:hanging="720"/>
        <w:jc w:val="left"/>
      </w:pPr>
      <w:r>
        <w:rPr>
          <w:rFonts w:ascii="Times New Roman" w:hAnsi="Times New Roman" w:cs="Times New Roman"/>
          <w:sz w:val="22"/>
          <w:szCs w:val="22"/>
          <w:lang w:val="en-US"/>
        </w:rPr>
        <w:t xml:space="preserve">Vieira, C., Kuss, D. J., &amp; Griffiths, M. D. (2023). Early maladaptive schemas and behavioural addictions: A systematic literature review. Clinical Psychology Review, 105, 102340. https://doi.org/10.1016/j.cpr.2023.102340</w:t>
      </w:r>
    </w:p>
    <w:p>
      <w:pPr>
        <w:bidi w:val="0"/>
        <w:spacing w:lineRule="exact" w:line="580" w:after="40"/>
        <w:ind w:left="720" w:hanging="720"/>
        <w:jc w:val="left"/>
      </w:pPr>
      <w:r>
        <w:rPr>
          <w:rFonts w:ascii="Times New Roman" w:hAnsi="Times New Roman" w:cs="Times New Roman"/>
          <w:sz w:val="22"/>
          <w:szCs w:val="22"/>
          <w:lang w:val="en-US"/>
        </w:rPr>
        <w:t xml:space="preserve">Young, J. E., Klosko, J. S., &amp; Weishaar, M. E. (2003). Schema Therapy: A Practitioner's Guide. Guilford Press.</w:t>
      </w:r>
    </w:p>
    <w:p>
      <w:pPr>
        <w:bidi w:val="0"/>
        <w:spacing w:lineRule="exact" w:line="580" w:after="40"/>
        <w:ind w:left="720" w:hanging="720"/>
        <w:jc w:val="left"/>
      </w:pPr>
      <w:r>
        <w:rPr>
          <w:rFonts w:ascii="Times New Roman" w:hAnsi="Times New Roman" w:cs="Times New Roman"/>
          <w:sz w:val="22"/>
          <w:szCs w:val="22"/>
          <w:lang w:val="en-US"/>
        </w:rPr>
        <w:t xml:space="preserve">Zuckerman, M. (1999). Vulnerability to psychopathology: A biosocial model. American Psychological Association.</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