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exact" w:line="580" w:before="120" w:after="240"/>
        <w:jc w:val="center"/>
      </w:pPr>
      <w:r>
        <w:rPr>
          <w:rFonts w:ascii="B Nazanin" w:hAnsi="B Nazanin" w:cs="B Nazanin" w:hint="cs"/>
          <w:b/>
          <w:bCs/>
          <w:sz w:val="32"/>
          <w:szCs w:val="32"/>
          <w:rtl/>
          <w:lang w:bidi="fa-IR"/>
        </w:rPr>
        <w:t xml:space="preserve">فصل پنجم: بحث و نتیجه‌گیری</w:t>
      </w:r>
    </w:p>
    <w:p>
      <w:pPr>
        <w:bidi w:val="1"/>
        <w:spacing w:lineRule="exact" w:line="580" w:after="120"/>
        <w:jc w:val="both"/>
      </w:pPr>
      <w:r>
        <w:rPr>
          <w:rFonts w:ascii="B Nazanin" w:hAnsi="B Nazanin" w:cs="B Nazanin" w:hint="cs"/>
          <w:sz w:val="24"/>
          <w:szCs w:val="24"/>
          <w:rtl/>
          <w:lang w:bidi="fa-IR"/>
        </w:rPr>
        <w:t xml:space="preserve">این فصل یک نمونه آموزشی است که بر پایه یافته‌های فصل چهارم شبیه‌سازی‌شده تدوین شده است و صرفاً نحوه بحث، تفسیر و نتیجه‌گیری از یافته‌ها را نمایش می‌دهد. متن نهایی فصل پنجم پس از تحلیل داده‌های واقعی پژوهش بازنویسی خواهد شد.</w:t>
      </w:r>
    </w:p>
    <w:p>
      <w:pPr>
        <w:pStyle w:val="Heading2"/>
        <w:bidi w:val="1"/>
        <w:jc w:val="right"/>
      </w:pPr>
      <w:r>
        <w:rPr>
          <w:rFonts w:ascii="B Nazanin" w:hAnsi="B Nazanin" w:cs="B Nazanin" w:hint="cs"/>
          <w:b/>
          <w:bCs/>
          <w:sz w:val="28"/>
          <w:szCs w:val="28"/>
          <w:rtl/>
          <w:lang w:bidi="fa-IR"/>
        </w:rPr>
        <w:t xml:space="preserve">۵-۱. مقدمه</w:t>
      </w:r>
    </w:p>
    <w:p>
      <w:pPr>
        <w:bidi w:val="1"/>
        <w:spacing w:lineRule="exact" w:line="580" w:after="0"/>
        <w:jc w:val="both"/>
      </w:pPr>
      <w:r>
        <w:rPr>
          <w:rFonts w:ascii="B Nazanin" w:hAnsi="B Nazanin" w:cs="B Nazanin" w:hint="cs"/>
          <w:sz w:val="24"/>
          <w:szCs w:val="24"/>
          <w:rtl/>
          <w:lang w:bidi="fa-IR"/>
        </w:rPr>
        <w:t xml:space="preserve">فصل پنجم به بحث درباره یافته‌های پژوهش، تبیین آن‌ها در پرتو مبانی نظری و پیشینه پژوهشی، و استخراج نتیجه‌گیری‌ها، کاربردها، محدودیت‌ها و پیشنهادها اختصاص دارد. در فصل چهارم، چهار فرضیه پژوهش — یک فرضیه اصلی درباره نقش میانجی طرحواره‌های ناسازگار اولیه در رابطه اضطراب صفتی با رفتارهای مالی پرخطر و سه فرضیه فرعی درباره روابط دوتایی این سه متغیر — آزمون شدند و وضعیت هر یک مشخص گردید. کار فصل حاضر آن است که این یافته‌ها را از سطح گزارش آماری به سطح تفسیر نظری ارتقا دهد: هر یافته در کنار شواهد هم‌سو و ناهمسوی پیشینه نهاده می‌شود، سازوکار احتمالی آن با اتکا به نظریه‌های مرور شده در فصل دوم تبیین می‌گردد و پیامدهای نظری و کاربردی آن استخراج می‌شود.</w:t>
      </w:r>
    </w:p>
    <w:p>
      <w:pPr>
        <w:bidi w:val="1"/>
        <w:spacing w:lineRule="exact" w:line="580" w:after="0"/>
        <w:jc w:val="both"/>
      </w:pPr>
      <w:r>
        <w:rPr>
          <w:rFonts w:ascii="B Nazanin" w:hAnsi="B Nazanin" w:cs="B Nazanin" w:hint="cs"/>
          <w:sz w:val="24"/>
          <w:szCs w:val="24"/>
          <w:rtl/>
          <w:lang w:bidi="fa-IR"/>
        </w:rPr>
        <w:t xml:space="preserve">چارچوب هدایت‌کننده این بحث، همان مدل مفهومی پژوهش است: زنجیره‌ای که در آن اضطراب صفتی به‌مثابه ویژگی زمینه‌ای، طرحواره‌های ناسازگار اولیه به‌مثابه سازوکار شناختی-هیجانی، و رفتارهای مالی پرخطر به‌مثابه پیامد رفتاری در نظر گرفته می‌شوند و پیوند آن‌ها بر منطق مدل آسیب‌پذیری-استرس استوار است (زاکرمن، ۱۹۹۹). از آنجا که طرح پژوهش مقطعی و همبستگی است، زبان این فصل آگاهانه غیرعلی است و یافته‌ها به‌مثابه روابط سازگار با مدل نظری خوانده می‌شوند، نه شاهد قطعی روابط علت و معلولی.</w:t>
      </w:r>
    </w:p>
    <w:p>
      <w:pPr>
        <w:bidi w:val="1"/>
        <w:spacing w:lineRule="exact" w:line="580" w:after="0"/>
        <w:jc w:val="both"/>
      </w:pPr>
      <w:r>
        <w:rPr>
          <w:rFonts w:ascii="B Nazanin" w:hAnsi="B Nazanin" w:cs="B Nazanin" w:hint="cs"/>
          <w:sz w:val="24"/>
          <w:szCs w:val="24"/>
          <w:rtl/>
          <w:lang w:bidi="fa-IR"/>
        </w:rPr>
        <w:t xml:space="preserve">نقشه راه فصل چنین است: بخش ۵-۲ تصویر فشرده‌ای از مسئله، روش و یافته‌های پژوهش به دست می‌دهد؛ بخش ۵-۳ یافته هر فرضیه را جداگانه بحث و تبیین می‌کند و با دلالت‌های نظری به پایان می‌رسد؛ بخش ۵-۴ الگوی کلی همسویی و ناهمسویی یافته‌ها با پیشینه داخلی و خارجی را جمع‌بندی می‌کند؛ بخش ۵-۵ کاربردهای عملی، بخش ۵-۶ محدودیت‌ها و بخش ۵-۷ پیشنهادهای پژوهشی و کاربردی را ارائه می‌دهند؛ و بخش ۵-۸ با نتیجه‌گیری نهایی فصل را می‌بندد.</w:t>
      </w:r>
    </w:p>
    <w:p>
      <w:pPr>
        <w:pStyle w:val="Heading2"/>
        <w:bidi w:val="1"/>
        <w:jc w:val="right"/>
      </w:pPr>
      <w:r>
        <w:rPr>
          <w:rFonts w:ascii="B Nazanin" w:hAnsi="B Nazanin" w:cs="B Nazanin" w:hint="cs"/>
          <w:b/>
          <w:bCs/>
          <w:sz w:val="28"/>
          <w:szCs w:val="28"/>
          <w:rtl/>
          <w:lang w:bidi="fa-IR"/>
        </w:rPr>
        <w:t xml:space="preserve">۵-۲. خلاصه پژوهش</w:t>
      </w:r>
    </w:p>
    <w:p>
      <w:pPr>
        <w:bidi w:val="1"/>
        <w:spacing w:lineRule="exact" w:line="580" w:after="0"/>
        <w:jc w:val="both"/>
      </w:pPr>
      <w:r>
        <w:rPr>
          <w:rFonts w:ascii="B Nazanin" w:hAnsi="B Nazanin" w:cs="B Nazanin" w:hint="cs"/>
          <w:sz w:val="24"/>
          <w:szCs w:val="24"/>
          <w:rtl/>
          <w:lang w:bidi="fa-IR"/>
        </w:rPr>
        <w:t xml:space="preserve">مسئله محوری پژوهش حاضر، تبیین روانشناختی رفتارهای مالی پرخطر در معامله‌گران بازارهای مالی بود: چرا معامله‌گرانی با دانش فنی مشابه در مواجهه با نوسانات بازار تصمیم‌های متفاوتی می‌گیرند و تنش هیجانی از چه مسیری به رفتار پرخطر بدل می‌شود. بر این اساس، هدف اصلی پژوهش تعیین نقش میانجی طرحواره‌های ناسازگار اولیه در رابطه اضطراب صفتی با رفتارهای مالی پرخطر بود و سه هدف فرعی، تعیین روابط دوتایی میان همین سه متغیر را دنبال می‌کردند. این اهداف در قالب یک فرضیه اصلی و سه فرضیه فرعی صورت‌بندی شدند و آزمون آن‌ها بر عهده فصل چهارم نهاده شد.</w:t>
      </w:r>
    </w:p>
    <w:p>
      <w:pPr>
        <w:bidi w:val="1"/>
        <w:spacing w:lineRule="exact" w:line="580" w:after="0"/>
        <w:jc w:val="both"/>
      </w:pPr>
      <w:r>
        <w:rPr>
          <w:rFonts w:ascii="B Nazanin" w:hAnsi="B Nazanin" w:cs="B Nazanin" w:hint="cs"/>
          <w:sz w:val="24"/>
          <w:szCs w:val="24"/>
          <w:rtl/>
          <w:lang w:bidi="fa-IR"/>
        </w:rPr>
        <w:t xml:space="preserve">روش پژوهش توصیفی-همبستگی و گردآوری داده‌ها به شیوه آنلاین و با نمونه‌گیری در دسترس و گلوله‌برفی از میان معامله‌گران بازارهای داخلی و بین‌المللی انجام گرفت. از ۲۱۲ پاسخ خام، پس از چهار مرحله غربالگری — ۷ مورد عدم تکمیل یا رد رضایت آگاهانه، ۱۴ مورد پاسخ ناقص، ۱۱ مورد الگوی پاسخ یکنواخت و ۹ مورد زمان پاسخ‌دهی زیر ۱۲۰ ثانیه، در مجموع ۴۱ حذف‌شده — ۱۷۱ پاسخ معتبر وارد تحلیل شد. اضطراب صفتی با فرم صفتی اسپیلبرگر، طرحواره‌های ناسازگار اولیه با فرم کوتاه پرسشنامه طرحواره یانگ و رفتارهای مالی پرخطر با مقیاس تحمل ریسک مالی گرابل و لایتون سنجیده شدند. فرضیه‌های فرعی با همبستگی پیرسون و فرضیه اصلی با تحلیل میانجی‌گری پراسس مدل ۴ بر پایه ۵۰۰۰ بازنمونه بوت‌استرپ آزمون شدند و مدل‌سازی معادلات ساختاری نیز به‌عنوان تحلیل پشتیبان اجرا گردید.</w:t>
      </w:r>
    </w:p>
    <w:p>
      <w:pPr>
        <w:bidi w:val="1"/>
        <w:spacing w:lineRule="exact" w:line="580" w:after="0"/>
        <w:jc w:val="both"/>
      </w:pPr>
      <w:r>
        <w:rPr>
          <w:rFonts w:ascii="B Nazanin" w:hAnsi="B Nazanin" w:cs="B Nazanin" w:hint="cs"/>
          <w:sz w:val="24"/>
          <w:szCs w:val="24"/>
          <w:rtl/>
          <w:lang w:bidi="fa-IR"/>
        </w:rPr>
        <w:t xml:space="preserve">پایایی ابزارها در نمونه پژوهش مطلوب ارزیابی شد: آلفای کرونباخ اضطراب صفتی ۰٫۹۰۲، نمره کل طرحواره‌ها ۰٫۹۲۹ و تحمل ریسک مالی ۰٫۸۰۱ به دست آمد. پایایی پنج حیطه طرحواره میان ۰٫۷۰۴ تا ۰٫۸۴۰ قرار گرفت و پایین‌ترین مقدار به حیطه فراهدشیاری و بازداری هیجانی تعلق داشت که در مرز قابل قبول است؛ این ناهمگنی با پیشینه روان‌سنجی این ابزار سازگار است.</w:t>
      </w:r>
    </w:p>
    <w:p>
      <w:pPr>
        <w:bidi w:val="1"/>
        <w:spacing w:lineRule="exact" w:line="580" w:after="0"/>
        <w:jc w:val="both"/>
      </w:pPr>
      <w:r>
        <w:rPr>
          <w:rFonts w:ascii="B Nazanin" w:hAnsi="B Nazanin" w:cs="B Nazanin" w:hint="cs"/>
          <w:sz w:val="24"/>
          <w:szCs w:val="24"/>
          <w:rtl/>
          <w:lang w:bidi="fa-IR"/>
        </w:rPr>
        <w:t xml:space="preserve">نتایج آزمون فرضیه‌ها چنین بود. فرضیه دوم درباره رابطه اضطراب صفتی با رفتارهای مالی پرخطر با احتیاط تأیید شد</w:t>
      </w:r>
      <w:r>
        <w:rPr>
          <w:rFonts w:ascii="Times New Roman" w:hAnsi="Times New Roman" w:cs="Times New Roman"/>
          <w:sz w:val="22"/>
          <w:szCs w:val="22"/>
          <w:lang w:val="en-US"/>
        </w:rPr>
        <w:t xml:space="preserve"> (r = 0.28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p &lt; 0.001)</w:t>
      </w:r>
      <w:r>
        <w:rPr>
          <w:rFonts w:ascii="B Nazanin" w:hAnsi="B Nazanin" w:cs="B Nazanin" w:hint="cs"/>
          <w:sz w:val="24"/>
          <w:szCs w:val="24"/>
          <w:rtl/>
          <w:lang w:bidi="fa-IR"/>
        </w:rPr>
        <w:t xml:space="preserve">؛ اثری مثبت اما کوچک و در کرانه پایین اثر متوسط. فرضیه سوم درباره رابطه اضطراب صفتی با طرحواره‌های ناسازگار اولیه تأیید شد</w:t>
      </w:r>
      <w:r>
        <w:rPr>
          <w:rFonts w:ascii="Times New Roman" w:hAnsi="Times New Roman" w:cs="Times New Roman"/>
          <w:sz w:val="22"/>
          <w:szCs w:val="22"/>
          <w:lang w:val="en-US"/>
        </w:rPr>
        <w:t xml:space="preserve"> (r = 0.48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p &lt; 0.001)</w:t>
      </w:r>
      <w:r>
        <w:rPr>
          <w:rFonts w:ascii="B Nazanin" w:hAnsi="B Nazanin" w:cs="B Nazanin" w:hint="cs"/>
          <w:sz w:val="24"/>
          <w:szCs w:val="24"/>
          <w:rtl/>
          <w:lang w:bidi="fa-IR"/>
        </w:rPr>
        <w:t xml:space="preserve">؛ قوی‌ترین رابطه الگو با اندازه متوسط رو به بزرگ. فرضیه چهارم درباره رابطه طرحواره‌ها با رفتارهای مالی پرخطر نیز تأیید شد</w:t>
      </w:r>
      <w:r>
        <w:rPr>
          <w:rFonts w:ascii="Times New Roman" w:hAnsi="Times New Roman" w:cs="Times New Roman"/>
          <w:sz w:val="22"/>
          <w:szCs w:val="22"/>
          <w:lang w:val="en-US"/>
        </w:rPr>
        <w:t xml:space="preserve"> (r = 0.29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p &lt; 0.001) </w:t>
      </w:r>
      <w:r>
        <w:rPr>
          <w:rFonts w:ascii="B Nazanin" w:hAnsi="B Nazanin" w:cs="B Nazanin" w:hint="cs"/>
          <w:sz w:val="24"/>
          <w:szCs w:val="24"/>
          <w:rtl/>
          <w:lang w:bidi="fa-IR"/>
        </w:rPr>
        <w:t xml:space="preserve">با اندازه اثر متوسط.</w:t>
      </w:r>
    </w:p>
    <w:p>
      <w:pPr>
        <w:bidi w:val="1"/>
        <w:spacing w:lineRule="exact" w:line="580" w:after="0"/>
        <w:jc w:val="both"/>
      </w:pPr>
      <w:r>
        <w:rPr>
          <w:rFonts w:ascii="B Nazanin" w:hAnsi="B Nazanin" w:cs="B Nazanin" w:hint="cs"/>
          <w:sz w:val="24"/>
          <w:szCs w:val="24"/>
          <w:rtl/>
          <w:lang w:bidi="fa-IR"/>
        </w:rPr>
        <w:t xml:space="preserve">در آزمون فرضیه اصلی، اثر غیرمستقیم اضطراب بر رفتار مالی از مسیر طرحواره‌ها برابر ۰٫۰۷۱ برآورد شد و فاصله اطمینان ۹۵٪ بوت‌استرپ آن </w:t>
      </w:r>
      <w:r>
        <w:rPr>
          <w:rFonts w:ascii="Times New Roman" w:hAnsi="Times New Roman" w:cs="Times New Roman"/>
          <w:sz w:val="22"/>
          <w:szCs w:val="22"/>
          <w:lang w:val="en-US"/>
        </w:rPr>
        <w:t xml:space="preserve">[0.012, 0.142]</w:t>
      </w:r>
      <w:r>
        <w:rPr>
          <w:rFonts w:ascii="B Nazanin" w:hAnsi="B Nazanin" w:cs="B Nazanin" w:hint="cs"/>
          <w:sz w:val="24"/>
          <w:szCs w:val="24"/>
          <w:rtl/>
          <w:lang w:bidi="fa-IR"/>
        </w:rPr>
        <w:t xml:space="preserve"> صفر را در بر نگرفت؛ هم‌زمان اثر مستقیم از ۰٫۲۰۲ به ۰٫۱۳۱ کاهش یافت اما همچنان معنادار ماند </w:t>
      </w:r>
      <w:r>
        <w:rPr>
          <w:rFonts w:ascii="Times New Roman" w:hAnsi="Times New Roman" w:cs="Times New Roman"/>
          <w:sz w:val="22"/>
          <w:szCs w:val="22"/>
          <w:lang w:val="en-US"/>
        </w:rPr>
        <w:t xml:space="preserve">(p = 0.032)</w:t>
      </w:r>
      <w:r>
        <w:rPr>
          <w:rFonts w:ascii="B Nazanin" w:hAnsi="B Nazanin" w:cs="B Nazanin" w:hint="cs"/>
          <w:sz w:val="24"/>
          <w:szCs w:val="24"/>
          <w:rtl/>
          <w:lang w:bidi="fa-IR"/>
        </w:rPr>
        <w:t xml:space="preserve">. از این رو میانجی‌گری از نوع جزئی ارزیابی شد و حدود ۳۵٪ از اثر کل از مسیر طرحواره‌ها عبور کرد. شاخص‌های برازش مدل میانجی‌گری کامل در تحلیل معادلات ساختاری عبارت بودند از نسبت کای‌دو به درجه آزادی ۴٫۶۵،</w:t>
      </w:r>
      <w:r>
        <w:rPr>
          <w:rFonts w:ascii="Times New Roman" w:hAnsi="Times New Roman" w:cs="Times New Roman"/>
          <w:sz w:val="22"/>
          <w:szCs w:val="22"/>
          <w:lang w:val="en-US"/>
        </w:rPr>
        <w:t xml:space="preserve"> CFI = 0.940</w:t>
      </w:r>
      <w:r>
        <w:rPr>
          <w:rFonts w:ascii="B Nazanin" w:hAnsi="B Nazanin" w:cs="B Nazanin" w:hint="cs"/>
          <w:sz w:val="24"/>
          <w:szCs w:val="24"/>
          <w:rtl/>
          <w:lang w:bidi="fa-IR"/>
        </w:rPr>
        <w:t xml:space="preserve">،</w:t>
      </w:r>
      <w:r>
        <w:rPr>
          <w:rFonts w:ascii="Times New Roman" w:hAnsi="Times New Roman" w:cs="Times New Roman"/>
          <w:sz w:val="22"/>
          <w:szCs w:val="22"/>
          <w:lang w:val="en-US"/>
        </w:rPr>
        <w:t xml:space="preserve"> TLI = 0.819</w:t>
      </w:r>
      <w:r>
        <w:rPr>
          <w:rFonts w:ascii="B Nazanin" w:hAnsi="B Nazanin" w:cs="B Nazanin" w:hint="cs"/>
          <w:sz w:val="24"/>
          <w:szCs w:val="24"/>
          <w:rtl/>
          <w:lang w:bidi="fa-IR"/>
        </w:rPr>
        <w:t xml:space="preserve">،</w:t>
      </w:r>
      <w:r>
        <w:rPr>
          <w:rFonts w:ascii="Times New Roman" w:hAnsi="Times New Roman" w:cs="Times New Roman"/>
          <w:sz w:val="22"/>
          <w:szCs w:val="22"/>
          <w:lang w:val="en-US"/>
        </w:rPr>
        <w:t xml:space="preserve"> RMSEA = 0.146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SRMR = 0.080. </w:t>
      </w:r>
      <w:r>
        <w:rPr>
          <w:rFonts w:ascii="B Nazanin" w:hAnsi="B Nazanin" w:cs="B Nazanin" w:hint="cs"/>
          <w:sz w:val="24"/>
          <w:szCs w:val="24"/>
          <w:rtl/>
          <w:lang w:bidi="fa-IR"/>
        </w:rPr>
        <w:t xml:space="preserve">از آنجا که تنها شاخص نخست در سطح قابل قبول قرار گرفت، مدل کامل از نظر همه شاخص‌ها برازش رضایت‌بخش نداشت و نتیجه این تحلیل با احتیاط تفسیر شد؛ داوری اصلی درباره میانجی‌گری بر تحلیل پراسس استوار گردید. جدول ۵-۱ این نتایج را یکجا خلاصه می‌کند.</w:t>
      </w:r>
    </w:p>
    <w:p>
      <w:pPr>
        <w:bidi w:val="1"/>
        <w:spacing w:lineRule="exact" w:line="580" w:before="180" w:after="40"/>
        <w:jc w:val="center"/>
      </w:pPr>
      <w:r>
        <w:rPr>
          <w:rFonts w:ascii="B Nazanin" w:hAnsi="B Nazanin" w:cs="B Nazanin" w:hint="cs"/>
          <w:b/>
          <w:bCs/>
          <w:sz w:val="22"/>
          <w:szCs w:val="22"/>
          <w:rtl/>
          <w:lang w:bidi="fa-IR"/>
        </w:rPr>
        <w:t xml:space="preserve">جدول ۵-۱.</w:t>
      </w:r>
      <w:r>
        <w:rPr>
          <w:rFonts w:ascii="B Nazanin" w:hAnsi="B Nazanin" w:cs="B Nazanin" w:hint="cs"/>
          <w:sz w:val="22"/>
          <w:szCs w:val="22"/>
          <w:rtl/>
          <w:lang w:bidi="fa-IR"/>
        </w:rPr>
        <w:t xml:space="preserve"> خلاصه نتایج آزمون فرضیه‌ها</w:t>
      </w:r>
    </w:p>
    <w:tbl>
      <w:tblPr>
        <w:tblW w:type="auto" w:w="0"/>
        <w:tblLook w:firstColumn="1" w:firstRow="1" w:lastColumn="0" w:lastRow="0" w:noHBand="0" w:noVBand="1" w:val="04A0"/>
        <w:tblBorders>
          <w:top w:val="single" w:sz="12" w:space="0" w:color="000000"/>
          <w:bottom w:val="single" w:sz="12" w:space="0" w:color="000000"/>
        </w:tblBorders>
        <w:bidiVisual/>
      </w:tblPr>
      <w:tblGrid>
        <w:gridCol w:w="1644"/>
        <w:gridCol w:w="1644"/>
        <w:gridCol w:w="1644"/>
        <w:gridCol w:w="1644"/>
        <w:gridCol w:w="1644"/>
      </w:tblGrid>
      <w:tr>
        <w:tc>
          <w:tcPr>
            <w:tcW w:type="dxa" w:w="1644"/>
            <w:tcBorders>
              <w:bottom w:val="single" w:sz="12" w:space="0" w:color="000000"/>
            </w:tcBorders>
          </w:tcPr>
          <w:p>
            <w:pPr>
              <w:bidi w:val="1"/>
              <w:jc w:val="center"/>
            </w:pPr>
            <w:r/>
            <w:r>
              <w:rPr>
                <w:b/>
                <w:sz w:val="22"/>
              </w:rPr>
              <w:t>فرضیه</w:t>
            </w:r>
          </w:p>
        </w:tc>
        <w:tc>
          <w:tcPr>
            <w:tcW w:type="dxa" w:w="1644"/>
            <w:tcBorders>
              <w:bottom w:val="single" w:sz="12" w:space="0" w:color="000000"/>
            </w:tcBorders>
          </w:tcPr>
          <w:p>
            <w:pPr>
              <w:bidi w:val="1"/>
              <w:jc w:val="center"/>
            </w:pPr>
            <w:r/>
            <w:r>
              <w:rPr>
                <w:b/>
                <w:sz w:val="22"/>
              </w:rPr>
              <w:t>آزمون</w:t>
            </w:r>
          </w:p>
        </w:tc>
        <w:tc>
          <w:tcPr>
            <w:tcW w:type="dxa" w:w="1644"/>
            <w:tcBorders>
              <w:bottom w:val="single" w:sz="12" w:space="0" w:color="000000"/>
            </w:tcBorders>
          </w:tcPr>
          <w:p>
            <w:pPr>
              <w:bidi w:val="1"/>
              <w:jc w:val="center"/>
            </w:pPr>
            <w:r/>
            <w:r>
              <w:rPr>
                <w:b/>
                <w:sz w:val="22"/>
              </w:rPr>
              <w:t>نتیجهٔ تحلیل</w:t>
            </w:r>
          </w:p>
        </w:tc>
        <w:tc>
          <w:tcPr>
            <w:tcW w:type="dxa" w:w="1644"/>
            <w:tcBorders>
              <w:bottom w:val="single" w:sz="12" w:space="0" w:color="000000"/>
            </w:tcBorders>
          </w:tcPr>
          <w:p>
            <w:pPr>
              <w:bidi w:val="1"/>
              <w:jc w:val="center"/>
            </w:pPr>
            <w:r/>
            <w:r>
              <w:rPr>
                <w:b/>
                <w:sz w:val="22"/>
              </w:rPr>
              <w:t>اندازه/ضریب اثر</w:t>
            </w:r>
          </w:p>
        </w:tc>
        <w:tc>
          <w:tcPr>
            <w:tcW w:type="dxa" w:w="1644"/>
            <w:tcBorders>
              <w:bottom w:val="single" w:sz="12" w:space="0" w:color="000000"/>
            </w:tcBorders>
          </w:tcPr>
          <w:p>
            <w:pPr>
              <w:bidi w:val="1"/>
              <w:jc w:val="center"/>
            </w:pPr>
            <w:r/>
            <w:r>
              <w:rPr>
                <w:b/>
                <w:sz w:val="22"/>
              </w:rPr>
              <w:t>وضعیت</w:t>
            </w:r>
          </w:p>
        </w:tc>
      </w:tr>
      <w:tr>
        <w:tc>
          <w:tcPr>
            <w:tcW w:type="dxa" w:w="1644"/>
          </w:tcPr>
          <w:p>
            <w:pPr>
              <w:bidi w:val="1"/>
              <w:jc w:val="center"/>
            </w:pPr>
            <w:r/>
            <w:r>
              <w:rPr>
                <w:b w:val="0"/>
                <w:sz w:val="22"/>
              </w:rPr>
              <w:t>H2: اضطراب صفتی ← رفتارهای مالی پرخطر</w:t>
            </w:r>
          </w:p>
        </w:tc>
        <w:tc>
          <w:tcPr>
            <w:tcW w:type="dxa" w:w="1644"/>
          </w:tcPr>
          <w:p>
            <w:pPr>
              <w:bidi w:val="1"/>
              <w:jc w:val="center"/>
            </w:pPr>
            <w:r/>
            <w:r>
              <w:rPr>
                <w:b w:val="0"/>
                <w:sz w:val="22"/>
              </w:rPr>
              <w:t>همبستگی پیرسون</w:t>
            </w:r>
          </w:p>
        </w:tc>
        <w:tc>
          <w:tcPr>
            <w:tcW w:type="dxa" w:w="1644"/>
          </w:tcPr>
          <w:p>
            <w:pPr>
              <w:bidi w:val="1"/>
              <w:jc w:val="center"/>
            </w:pPr>
            <w:r/>
            <w:r>
              <w:rPr>
                <w:b w:val="0"/>
                <w:sz w:val="22"/>
              </w:rPr>
              <w:t>r = 0.28، p &lt; 0.001</w:t>
            </w:r>
          </w:p>
        </w:tc>
        <w:tc>
          <w:tcPr>
            <w:tcW w:type="dxa" w:w="1644"/>
          </w:tcPr>
          <w:p>
            <w:pPr>
              <w:bidi w:val="1"/>
              <w:jc w:val="center"/>
            </w:pPr>
            <w:r/>
            <w:r>
              <w:rPr>
                <w:b w:val="0"/>
                <w:sz w:val="22"/>
              </w:rPr>
              <w:t>اثر کوچک (کرانهٔ پایین متوسط)</w:t>
            </w:r>
          </w:p>
        </w:tc>
        <w:tc>
          <w:tcPr>
            <w:tcW w:type="dxa" w:w="1644"/>
          </w:tcPr>
          <w:p>
            <w:pPr>
              <w:bidi w:val="1"/>
              <w:jc w:val="center"/>
            </w:pPr>
            <w:r/>
            <w:r>
              <w:rPr>
                <w:b w:val="0"/>
                <w:sz w:val="22"/>
              </w:rPr>
              <w:t>تأیید با احتیاط</w:t>
            </w:r>
          </w:p>
        </w:tc>
      </w:tr>
      <w:tr>
        <w:tc>
          <w:tcPr>
            <w:tcW w:type="dxa" w:w="1644"/>
          </w:tcPr>
          <w:p>
            <w:pPr>
              <w:bidi w:val="1"/>
              <w:jc w:val="center"/>
            </w:pPr>
            <w:r/>
            <w:r>
              <w:rPr>
                <w:b w:val="0"/>
                <w:sz w:val="22"/>
              </w:rPr>
              <w:t>H3: اضطراب صفتی ← طرحواره‌ها</w:t>
            </w:r>
          </w:p>
        </w:tc>
        <w:tc>
          <w:tcPr>
            <w:tcW w:type="dxa" w:w="1644"/>
          </w:tcPr>
          <w:p>
            <w:pPr>
              <w:bidi w:val="1"/>
              <w:jc w:val="center"/>
            </w:pPr>
            <w:r/>
            <w:r>
              <w:rPr>
                <w:b w:val="0"/>
                <w:sz w:val="22"/>
              </w:rPr>
              <w:t>همبستگی پیرسون</w:t>
            </w:r>
          </w:p>
        </w:tc>
        <w:tc>
          <w:tcPr>
            <w:tcW w:type="dxa" w:w="1644"/>
          </w:tcPr>
          <w:p>
            <w:pPr>
              <w:bidi w:val="1"/>
              <w:jc w:val="center"/>
            </w:pPr>
            <w:r/>
            <w:r>
              <w:rPr>
                <w:b w:val="0"/>
                <w:sz w:val="22"/>
              </w:rPr>
              <w:t>r = 0.48، p &lt; 0.001</w:t>
            </w:r>
          </w:p>
        </w:tc>
        <w:tc>
          <w:tcPr>
            <w:tcW w:type="dxa" w:w="1644"/>
          </w:tcPr>
          <w:p>
            <w:pPr>
              <w:bidi w:val="1"/>
              <w:jc w:val="center"/>
            </w:pPr>
            <w:r/>
            <w:r>
              <w:rPr>
                <w:b w:val="0"/>
                <w:sz w:val="22"/>
              </w:rPr>
              <w:t>اثر متوسط رو به بزرگ</w:t>
            </w:r>
          </w:p>
        </w:tc>
        <w:tc>
          <w:tcPr>
            <w:tcW w:type="dxa" w:w="1644"/>
          </w:tcPr>
          <w:p>
            <w:pPr>
              <w:bidi w:val="1"/>
              <w:jc w:val="center"/>
            </w:pPr>
            <w:r/>
            <w:r>
              <w:rPr>
                <w:b w:val="0"/>
                <w:sz w:val="22"/>
              </w:rPr>
              <w:t>تأیید</w:t>
            </w:r>
          </w:p>
        </w:tc>
      </w:tr>
      <w:tr>
        <w:tc>
          <w:tcPr>
            <w:tcW w:type="dxa" w:w="1644"/>
          </w:tcPr>
          <w:p>
            <w:pPr>
              <w:bidi w:val="1"/>
              <w:jc w:val="center"/>
            </w:pPr>
            <w:r/>
            <w:r>
              <w:rPr>
                <w:b w:val="0"/>
                <w:sz w:val="22"/>
              </w:rPr>
              <w:t>H4: طرحواره‌ها ← رفتارهای مالی پرخطر</w:t>
            </w:r>
          </w:p>
        </w:tc>
        <w:tc>
          <w:tcPr>
            <w:tcW w:type="dxa" w:w="1644"/>
          </w:tcPr>
          <w:p>
            <w:pPr>
              <w:bidi w:val="1"/>
              <w:jc w:val="center"/>
            </w:pPr>
            <w:r/>
            <w:r>
              <w:rPr>
                <w:b w:val="0"/>
                <w:sz w:val="22"/>
              </w:rPr>
              <w:t>همبستگی پیرسون</w:t>
            </w:r>
          </w:p>
        </w:tc>
        <w:tc>
          <w:tcPr>
            <w:tcW w:type="dxa" w:w="1644"/>
          </w:tcPr>
          <w:p>
            <w:pPr>
              <w:bidi w:val="1"/>
              <w:jc w:val="center"/>
            </w:pPr>
            <w:r/>
            <w:r>
              <w:rPr>
                <w:b w:val="0"/>
                <w:sz w:val="22"/>
              </w:rPr>
              <w:t>r = 0.29، p &lt; 0.001</w:t>
            </w:r>
          </w:p>
        </w:tc>
        <w:tc>
          <w:tcPr>
            <w:tcW w:type="dxa" w:w="1644"/>
          </w:tcPr>
          <w:p>
            <w:pPr>
              <w:bidi w:val="1"/>
              <w:jc w:val="center"/>
            </w:pPr>
            <w:r/>
            <w:r>
              <w:rPr>
                <w:b w:val="0"/>
                <w:sz w:val="22"/>
              </w:rPr>
              <w:t>اثر متوسط</w:t>
            </w:r>
          </w:p>
        </w:tc>
        <w:tc>
          <w:tcPr>
            <w:tcW w:type="dxa" w:w="1644"/>
          </w:tcPr>
          <w:p>
            <w:pPr>
              <w:bidi w:val="1"/>
              <w:jc w:val="center"/>
            </w:pPr>
            <w:r/>
            <w:r>
              <w:rPr>
                <w:b w:val="0"/>
                <w:sz w:val="22"/>
              </w:rPr>
              <w:t>تأیید</w:t>
            </w:r>
          </w:p>
        </w:tc>
      </w:tr>
      <w:tr>
        <w:tc>
          <w:tcPr>
            <w:tcW w:type="dxa" w:w="1644"/>
          </w:tcPr>
          <w:p>
            <w:pPr>
              <w:bidi w:val="1"/>
              <w:jc w:val="center"/>
            </w:pPr>
            <w:r/>
            <w:r>
              <w:rPr>
                <w:b w:val="0"/>
                <w:sz w:val="22"/>
              </w:rPr>
              <w:t>H1: میانجی‌گری طرحواره‌ها</w:t>
            </w:r>
          </w:p>
        </w:tc>
        <w:tc>
          <w:tcPr>
            <w:tcW w:type="dxa" w:w="1644"/>
          </w:tcPr>
          <w:p>
            <w:pPr>
              <w:bidi w:val="1"/>
              <w:jc w:val="center"/>
            </w:pPr>
            <w:r/>
            <w:r>
              <w:rPr>
                <w:b w:val="0"/>
                <w:sz w:val="22"/>
              </w:rPr>
              <w:t>پراسس مدل ۴ + بوت‌استرپ ۵۰۰۰</w:t>
            </w:r>
          </w:p>
        </w:tc>
        <w:tc>
          <w:tcPr>
            <w:tcW w:type="dxa" w:w="1644"/>
          </w:tcPr>
          <w:p>
            <w:pPr>
              <w:bidi w:val="1"/>
              <w:jc w:val="center"/>
            </w:pPr>
            <w:r/>
            <w:r>
              <w:rPr>
                <w:b w:val="0"/>
                <w:sz w:val="22"/>
              </w:rPr>
              <w:t>a×b = 0.071؛ CI [0.012, 0.142]؛ c′ = 0.131، p = 0.032</w:t>
            </w:r>
          </w:p>
        </w:tc>
        <w:tc>
          <w:tcPr>
            <w:tcW w:type="dxa" w:w="1644"/>
          </w:tcPr>
          <w:p>
            <w:pPr>
              <w:bidi w:val="1"/>
              <w:jc w:val="center"/>
            </w:pPr>
            <w:r/>
            <w:r>
              <w:rPr>
                <w:b w:val="0"/>
                <w:sz w:val="22"/>
              </w:rPr>
              <w:t>حدود ۳۵٪ اثر کل از مسیر غیرمستقیم</w:t>
            </w:r>
          </w:p>
        </w:tc>
        <w:tc>
          <w:tcPr>
            <w:tcW w:type="dxa" w:w="1644"/>
          </w:tcPr>
          <w:p>
            <w:pPr>
              <w:bidi w:val="1"/>
              <w:jc w:val="center"/>
            </w:pPr>
            <w:r/>
            <w:r>
              <w:rPr>
                <w:b w:val="0"/>
                <w:sz w:val="22"/>
              </w:rPr>
              <w:t>میانجی‌گری جزئی</w:t>
            </w:r>
          </w:p>
        </w:tc>
      </w:tr>
    </w:tbl>
    <w:p>
      <w:pPr>
        <w:pStyle w:val="Heading2"/>
        <w:bidi w:val="1"/>
        <w:jc w:val="right"/>
      </w:pPr>
      <w:r>
        <w:rPr>
          <w:rFonts w:ascii="B Nazanin" w:hAnsi="B Nazanin" w:cs="B Nazanin" w:hint="cs"/>
          <w:b/>
          <w:bCs/>
          <w:sz w:val="28"/>
          <w:szCs w:val="28"/>
          <w:rtl/>
          <w:lang w:bidi="fa-IR"/>
        </w:rPr>
        <w:t xml:space="preserve">۵-۳. بحث و تبیین یافته‌ها</w:t>
      </w:r>
    </w:p>
    <w:p>
      <w:pPr>
        <w:bidi w:val="1"/>
        <w:spacing w:lineRule="exact" w:line="580" w:after="0"/>
        <w:jc w:val="both"/>
      </w:pPr>
      <w:r>
        <w:rPr>
          <w:rFonts w:ascii="B Nazanin" w:hAnsi="B Nazanin" w:cs="B Nazanin" w:hint="cs"/>
          <w:sz w:val="24"/>
          <w:szCs w:val="24"/>
          <w:rtl/>
          <w:lang w:bidi="fa-IR"/>
        </w:rPr>
        <w:t xml:space="preserve">در این بخش، یافته هر یک از چهار فرضیه به‌ترتیب فرضیه‌های فرعی و سپس فرضیه اصلی بحث و تبیین می‌شود. برای هر یافته نخست نتیجه به‌اختصار بازگو می‌گردد، سپس جایگاه آن در میان شواهد هم‌سو و ناهمسوی پیشینه روشن می‌شود و در پایان سازوکار نظری آن تبیین می‌گردد.</w:t>
      </w:r>
    </w:p>
    <w:p>
      <w:pPr>
        <w:pStyle w:val="Heading3"/>
        <w:bidi w:val="1"/>
        <w:jc w:val="right"/>
      </w:pPr>
      <w:r>
        <w:rPr>
          <w:rFonts w:ascii="B Nazanin" w:hAnsi="B Nazanin" w:cs="B Nazanin" w:hint="cs"/>
          <w:b/>
          <w:bCs/>
          <w:sz w:val="26"/>
          <w:szCs w:val="26"/>
          <w:rtl/>
          <w:lang w:bidi="fa-IR"/>
        </w:rPr>
        <w:t xml:space="preserve">۵-۳-۱. بحث و تبیین رابطه اضطراب صفتی و رفتارهای مالی پرخطر</w:t>
      </w:r>
    </w:p>
    <w:p>
      <w:pPr>
        <w:bidi w:val="1"/>
        <w:spacing w:lineRule="exact" w:line="580" w:after="0"/>
        <w:jc w:val="both"/>
      </w:pPr>
      <w:r>
        <w:rPr>
          <w:rFonts w:ascii="B Nazanin" w:hAnsi="B Nazanin" w:cs="B Nazanin" w:hint="cs"/>
          <w:sz w:val="24"/>
          <w:szCs w:val="24"/>
          <w:rtl/>
          <w:lang w:bidi="fa-IR"/>
        </w:rPr>
        <w:t xml:space="preserve">یافته مربوط به فرضیه دوم نشان داد که میان اضطراب صفتی و رفتارهای مالی پرخطر رابطه‌ای مثبت و معنادار وجود دارد</w:t>
      </w:r>
      <w:r>
        <w:rPr>
          <w:rFonts w:ascii="Times New Roman" w:hAnsi="Times New Roman" w:cs="Times New Roman"/>
          <w:sz w:val="22"/>
          <w:szCs w:val="22"/>
          <w:lang w:val="en-US"/>
        </w:rPr>
        <w:t xml:space="preserve"> (r = 0.28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p &lt; 0.001)</w:t>
      </w:r>
      <w:r>
        <w:rPr>
          <w:rFonts w:ascii="B Nazanin" w:hAnsi="B Nazanin" w:cs="B Nazanin" w:hint="cs"/>
          <w:sz w:val="24"/>
          <w:szCs w:val="24"/>
          <w:rtl/>
          <w:lang w:bidi="fa-IR"/>
        </w:rPr>
        <w:t xml:space="preserve">، اما اندازه این اثر کوچک و در کرانه پایین اثر متوسط است. به بیان دیگر، معامله‌گران مضطرب‌تر در این نمونه تمایل بیشتری به پذیرش ریسک مالی نشان دادند، ولی این پیوند چندان نیرومند نیست و از همان ابتدا حکایت از آن دارد که اضطراب به‌تنهایی تبیین‌کننده رفتار مالی نیست. همین ویژگی — معناداری توأم با کوچکی اثر — چارچوب بحث این بخش را تعیین می‌کند.</w:t>
      </w:r>
    </w:p>
    <w:p>
      <w:pPr>
        <w:bidi w:val="1"/>
        <w:spacing w:lineRule="exact" w:line="580" w:after="0"/>
        <w:jc w:val="both"/>
      </w:pPr>
      <w:r>
        <w:rPr>
          <w:rFonts w:ascii="B Nazanin" w:hAnsi="B Nazanin" w:cs="B Nazanin" w:hint="cs"/>
          <w:sz w:val="24"/>
          <w:szCs w:val="24"/>
          <w:rtl/>
          <w:lang w:bidi="fa-IR"/>
        </w:rPr>
        <w:t xml:space="preserve">از نظر پیوند کلی میان ویژگی‌های اضطرابی و رفتار مالی، یافته حاضر با شواهد داخلی سازگار است. ستایش و همکاران (۱۳۹۹) نشان دادند که روان‌رنجورخویی — که اضطراب صفتی مؤلفه اصلی آن است — با الگوهای رفتار معاملاتی سرمایه‌گذاران بورس تهران رابطه معنادار دارد؛ شاهدی مستقیم از جامعه ایرانی که فرض کلی پژوهش حاضر را پشتیبانی می‌کند. بهدیو و همکاران (۱۳۹۸) نیز گزارش کردند که ویژگی‌های فردی و سطح ریسک‌پذیری سرمایه‌گذاران، بروز رفتار توده‌وار را پیش‌بینی می‌کند و از این رهگذر بر نقش متغیرهای روانشناختی در رفتار مالی غیرمنطقی صحه گذاشتند. در همین راستا، فلاح و خدایی (۱۳۹۸) رابطه مثبت هوش هیجانی با عملکرد سرمایه‌گذاری را گزارش کردند که از سمت معکوس نیز معنادار است: اگر مدیریت توانمند هیجان‌ها با پیامد مالی بهتر همراه باشد، دشواری در مدیریت هیجان — که وجه مشخصه اضطراب صفتی بالاست — می‌تواند با پیامدهای نامطلوب همراه شود.</w:t>
      </w:r>
    </w:p>
    <w:p>
      <w:pPr>
        <w:bidi w:val="1"/>
        <w:spacing w:lineRule="exact" w:line="580" w:after="0"/>
        <w:jc w:val="both"/>
      </w:pPr>
      <w:r>
        <w:rPr>
          <w:rFonts w:ascii="B Nazanin" w:hAnsi="B Nazanin" w:cs="B Nazanin" w:hint="cs"/>
          <w:sz w:val="24"/>
          <w:szCs w:val="24"/>
          <w:rtl/>
          <w:lang w:bidi="fa-IR"/>
        </w:rPr>
        <w:t xml:space="preserve">در پیشینه خارجی نیز پیوند اضطراب با تصمیم مالی به‌خوبی مستند شده است. در یک مرور تحلیلی جامع نشان داده شد که اضطراب به‌طور نظام‌مند با تصمیم‌گیری در شرایط ریسک و عدم قطعیت مرتبط است و این ارتباط به نمونه‌های بالینی محدود نمی‌شود (میت، ۲۰۰۷). در پژوهش‌های تجربی تصمیم‌گیری سرمایه‌گذاری نیز اضطراب از متغیرهایی شناخته شد که الگوی انتخاب افراد را در مواجهه با انتخاب‌های پرخطر مالی تغییر می‌دهد (گامبتی و گیوسبرتی، ۲۰۱۲). سافیتری و همکاران (۲۰۲۵) نیز گزارش کردند که عوامل اضطرابی هم بر فرایند تصمیم‌گیری و هم بر ظرفیت تحمل ریسک اثر تخریبی دارند؛ یافته‌ای که مستقیماً به متغیر ملاک پژوهش حاضر مربوط می‌شود. همچنین نوین و همکاران (۲۰۱۹) نشان دادند که ثبات هیجانی، یعنی نقطه مقابل روان‌رنجورخویی، با پذیرش ریسک و نیت سرمایه‌گذاری در سهام مرتبط است و از این طریق بر تعیین‌کنندگی بعد شخصیتی مرتبط با اضطراب در ریسک‌پذیری صحه گذاشتند.</w:t>
      </w:r>
    </w:p>
    <w:p>
      <w:pPr>
        <w:bidi w:val="1"/>
        <w:spacing w:lineRule="exact" w:line="580" w:after="0"/>
        <w:jc w:val="both"/>
      </w:pPr>
      <w:r>
        <w:rPr>
          <w:rFonts w:ascii="B Nazanin" w:hAnsi="B Nazanin" w:cs="B Nazanin" w:hint="cs"/>
          <w:sz w:val="24"/>
          <w:szCs w:val="24"/>
          <w:rtl/>
          <w:lang w:bidi="fa-IR"/>
        </w:rPr>
        <w:t xml:space="preserve">دسته دیگری از شواهد، وجه تکانشی واکنش به اضطراب را برجسته می‌کنند و با جهت مثبت یافته حاضر هم‌خوان‌اند. فنتون-اکریوی و همکاران (۲۰۱۱) در مطالعه‌ای چندوجهی روی معامله‌گران حرفه‌ای بانک‌های سرمایه‌گذاری لندن گزارش کردند که اضطراب توان پردازش منطقی اطلاعات را کاهش می‌دهد و به تصمیم‌هایی می‌انجامد که خود معامله‌گران بعداً آن‌ها را غیرمنطقی ارزیابی می‌کنند. لو و همکاران (۲۰۰۵) نیز رفتارهای تکانشی و پرخطر را واکنشی برای فرار از حس ناخوشایند اضطراب توصیف کردند. قوی‌ترین شاهد این دسته، پژوهش گرال-برونک و همکاران (۲۰۲۵) است که «اقدام به معامله برای فرار از پریشانی هیجانی» را از مؤلفه‌های اصلی اختلال معامله‌گری شناسایی کردند؛ یعنی دقیقاً همان کارکردی که می‌تواند رابطه مثبت اضطراب با رفتار پرخطر را تبیین کند: معامله نه از سر محاسبه، بلکه برای تسکین موقت تنش درونی.</w:t>
      </w:r>
    </w:p>
    <w:p>
      <w:pPr>
        <w:bidi w:val="1"/>
        <w:spacing w:lineRule="exact" w:line="580" w:after="0"/>
        <w:jc w:val="both"/>
      </w:pPr>
      <w:r>
        <w:rPr>
          <w:rFonts w:ascii="B Nazanin" w:hAnsi="B Nazanin" w:cs="B Nazanin" w:hint="cs"/>
          <w:sz w:val="24"/>
          <w:szCs w:val="24"/>
          <w:rtl/>
          <w:lang w:bidi="fa-IR"/>
        </w:rPr>
        <w:t xml:space="preserve">در برابر این شواهد، دسته دیگری از پژوهش‌ها از ریسک‌گریزی ناشی از اضطراب حکایت دارند و جهت یافته حاضر با آن‌ها هم‌خوان نیست. آن و همکاران (۲۰۲۱) نشان دادند که اضطراب مالی با نگهداری کمتر دارایی‌های پرریسک و گرایش به دارایی‌های امن همراه است. پاک و محمود (۲۰۱۹) گزارش کردند که ناپایداری هیجانی بالا با پروفایل محافظه‌کارانه‌تر و تحمل ریسک پایین‌تر همراه است. ماهاتو و همکاران (۲۰۲۵) نیز اثر اضطراب صفتی را به شکل اجتناب از تصمیم‌گیری یا تصمیم‌های محافظه‌کارانه افراطی توصیف کردند. لوریولا و لوین (۲۰۰۱) نشان دادند افراد با روان‌رنجورخویی بالا در موقعیت‌های سودآور ریسک‌گریز بودند اما در موقعیت‌های زیان‌ده رفتارهای ریسکی بیشتری نشان دادند؛ الگویی شرطی که یادآور پیش‌بینی نظریه چشم‌انداز درباره تفاوت رفتار در قلمرو سود و زیان است (کانمن و تورسکی، ۱۹۷۹). چارلز و کاسیلینگام (۲۰۲۲) نیز هرچند پیوند اضطراب با تصمیم مالی را تأیید کردند، جهت آن را روی تحمل ریسک معکوس یافتند: اضطراب بالاتر با تحمل ریسک کمتر و سوگیری اثر گرایش بیشتر همراه بود. این ناهمسانی ظاهری را می‌توان چنین فهمید که اضطراب دو واکنش متفاوت را در افراد مختلف برمی‌انگیزد: اجتناب و کناره‌گیری از ریسک در برخی، و اقدام تکانشی برای فرار از تنش در برخی دیگر.</w:t>
      </w:r>
    </w:p>
    <w:p>
      <w:pPr>
        <w:bidi w:val="1"/>
        <w:spacing w:lineRule="exact" w:line="580" w:after="0"/>
        <w:jc w:val="both"/>
      </w:pPr>
      <w:r>
        <w:rPr>
          <w:rFonts w:ascii="B Nazanin" w:hAnsi="B Nazanin" w:cs="B Nazanin" w:hint="cs"/>
          <w:sz w:val="24"/>
          <w:szCs w:val="24"/>
          <w:rtl/>
          <w:lang w:bidi="fa-IR"/>
        </w:rPr>
        <w:t xml:space="preserve">تبیین شناختی و هیجانی این یافته را می‌توان در چند لایه دنبال کرد. بر اساس مدل اسپیلبرگر، افراد با اضطراب صفتی بالا به موقعیت‌های مبهم — از جمله نوسانات طبیعی بازار — با ادراک تهدید و برانگیختگی پاسخ می‌دهند (اسپیلبرگر، ۱۹۸۳). نظریه کنترل توجه نشان می‌دهد که چنین وضعیتی کارایی شناختی را مختل می‌کند: غلبه پردازش محرک‌محور و اشغال حافظه کاری توسط نگرانی، تمرکز بر راهبرد بلندمدت را دشوار می‌سازد (آیزنک و همکاران، ۲۰۰۷). مدل شناختی اضطراب نیز بر سوگیری خودکار توجه به نشانه‌های تهدید و تسهیل دسترسی به باورهای خطر تأکید دارد (بک و کلارک، ۱۹۹۷). در سطح رفتاری، این فرایندها می‌توانند به دو شکل ظاهر شوند: رفتارهای ایمنی‌طلب و اجتنابی مانند چک کردن وسواسی قیمت‌ها یا تنظیم حد ضررهای بسیار نزدیک (مانر و اشمیت، ۲۰۰۶)، یا برعکس تصمیم‌های شتاب‌زده برای پایان دادن به ابهام. از آنجا که اضطراب داوری فرد درباره کنترل و احتمال‌ها را دگرگون می‌سازد (هارتلی و فلپس، ۲۰۱۲)، تفاوت این دو واکنش به عوامل میانجی و تعدیل‌گر دیگری مربوط می‌شود.</w:t>
      </w:r>
    </w:p>
    <w:p>
      <w:pPr>
        <w:bidi w:val="1"/>
        <w:spacing w:lineRule="exact" w:line="580" w:after="0"/>
        <w:jc w:val="both"/>
      </w:pPr>
      <w:r>
        <w:rPr>
          <w:rFonts w:ascii="B Nazanin" w:hAnsi="B Nazanin" w:cs="B Nazanin" w:hint="cs"/>
          <w:sz w:val="24"/>
          <w:szCs w:val="24"/>
          <w:rtl/>
          <w:lang w:bidi="fa-IR"/>
        </w:rPr>
        <w:t xml:space="preserve">نکته پایانی این بحث، اندازه کوچک اثر است. رابطه‌ای در حد ۰٫۲۸، هرچند معنادار، نشان می‌دهد که اضطراب به‌تنهایی سهم اندکی از تفاوت‌های فردی در رفتار مالی را تبیین می‌کند و بخش عمده این تفاوت‌ها به عوامل دیگری مربوط است؛ از جمله ساختارهای شناختی عمیقی مانند طرحواره‌ها که در فرضیه اصلی بررسی می‌شوند، و متغیرهای نامسنجیده‌ای چون تنظیم هیجان، تجربه معامله‌گری و سواد مالی. همچنین با توجه به مقطعی بودن طرح، جهت این رابطه را نیز نمی‌توان قطعی دانست؛ همان‌قدر که اضطراب می‌تواند با رفتار پرخطر همراه شود، تجربه زیان‌های ناشی از رفتارهای پرخطر نیز می‌تواند سطح اضطراب معامله‌گر را بالا نگه دارد. از این رو یافته فرضیه دوم صرفاً یک همبستگی سازگار با مدل نظری تلقی می‌شود، نه شاهدی بر تقدم علی اضطراب.</w:t>
      </w:r>
    </w:p>
    <w:p>
      <w:pPr>
        <w:pStyle w:val="Heading3"/>
        <w:bidi w:val="1"/>
        <w:jc w:val="right"/>
      </w:pPr>
      <w:r>
        <w:rPr>
          <w:rFonts w:ascii="B Nazanin" w:hAnsi="B Nazanin" w:cs="B Nazanin" w:hint="cs"/>
          <w:b/>
          <w:bCs/>
          <w:sz w:val="26"/>
          <w:szCs w:val="26"/>
          <w:rtl/>
          <w:lang w:bidi="fa-IR"/>
        </w:rPr>
        <w:t xml:space="preserve">۵-۳-۲. بحث و تبیین رابطه اضطراب صفتی و طرحواره‌های ناسازگار اولیه</w:t>
      </w:r>
    </w:p>
    <w:p>
      <w:pPr>
        <w:bidi w:val="1"/>
        <w:spacing w:lineRule="exact" w:line="580" w:after="0"/>
        <w:jc w:val="both"/>
      </w:pPr>
      <w:r>
        <w:rPr>
          <w:rFonts w:ascii="B Nazanin" w:hAnsi="B Nazanin" w:cs="B Nazanin" w:hint="cs"/>
          <w:sz w:val="24"/>
          <w:szCs w:val="24"/>
          <w:rtl/>
          <w:lang w:bidi="fa-IR"/>
        </w:rPr>
        <w:t xml:space="preserve">فرضیه سوم با قاطع‌ترین یافته الگو تأیید شد: میان اضطراب صفتی و طرحواره‌های ناسازگار اولیه رابطه‌ای مثبت و معنادار با اندازه متوسط رو به بزرگ به دست آمد</w:t>
      </w:r>
      <w:r>
        <w:rPr>
          <w:rFonts w:ascii="Times New Roman" w:hAnsi="Times New Roman" w:cs="Times New Roman"/>
          <w:sz w:val="22"/>
          <w:szCs w:val="22"/>
          <w:lang w:val="en-US"/>
        </w:rPr>
        <w:t xml:space="preserve"> (r = 0.48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p &lt; 0.001). </w:t>
      </w:r>
      <w:r>
        <w:rPr>
          <w:rFonts w:ascii="B Nazanin" w:hAnsi="B Nazanin" w:cs="B Nazanin" w:hint="cs"/>
          <w:sz w:val="24"/>
          <w:szCs w:val="24"/>
          <w:rtl/>
          <w:lang w:bidi="fa-IR"/>
        </w:rPr>
        <w:t xml:space="preserve">این قوی‌ترین رابطه در میان سه فرضیه فرعی است و نشان می‌دهد که معامله‌گران مضطرب‌تر، باورهای بنیادین ناسازگار نیرومندتری نیز گزارش می‌کنند. اهمیت این یافته در آن است که حلقه نخست زنجیره میانجی — مسیر اضطراب به طرحواره — را مستحکم می‌کند و بستر تحلیل فرضیه اصلی را فراهم می‌سازد.</w:t>
      </w:r>
    </w:p>
    <w:p>
      <w:pPr>
        <w:bidi w:val="1"/>
        <w:spacing w:lineRule="exact" w:line="580" w:after="0"/>
        <w:jc w:val="both"/>
      </w:pPr>
      <w:r>
        <w:rPr>
          <w:rFonts w:ascii="B Nazanin" w:hAnsi="B Nazanin" w:cs="B Nazanin" w:hint="cs"/>
          <w:sz w:val="24"/>
          <w:szCs w:val="24"/>
          <w:rtl/>
          <w:lang w:bidi="fa-IR"/>
        </w:rPr>
        <w:t xml:space="preserve">مستقیم‌ترین شاهد هم‌سو، پژوهش رایم و همکاران (۲۰۱۵) است که رابطه روان‌رنجورخویی و وجوه آن را با طرحواره‌های ناسازگار اولیه بررسی کردند. یافته آن‌ها — همبستگی مستقیم، مثبت و بسیار قوی روان‌رنجورخویی با تقریباً تمام حوزه‌های طرحواره — با یافته حاضر هم‌جهت است و نشان می‌دهد که پیوند تمایلات اضطرابی با باورهای شناختی منفی، الگویی تکرارشونده در پژوهش‌هاست، نه ویژگی خاص یک نمونه.</w:t>
      </w:r>
    </w:p>
    <w:p>
      <w:pPr>
        <w:bidi w:val="1"/>
        <w:spacing w:lineRule="exact" w:line="580" w:after="0"/>
        <w:jc w:val="both"/>
      </w:pPr>
      <w:r>
        <w:rPr>
          <w:rFonts w:ascii="B Nazanin" w:hAnsi="B Nazanin" w:cs="B Nazanin" w:hint="cs"/>
          <w:sz w:val="24"/>
          <w:szCs w:val="24"/>
          <w:rtl/>
          <w:lang w:bidi="fa-IR"/>
        </w:rPr>
        <w:t xml:space="preserve">در بافت داخلی، نوری و هاشمیان (۱۳۹۶) همبستگی مثبت و قوی نمره کل طرحواره‌ها با شدت اضطراب اجتماعی را در نمونه‌ای از دانشجویان گزارش کردند و نشان دادند که حوزه‌های بریدگی و طرد و خودگردانی مختل قوی‌ترین پیوند را با اضطراب دارند. هرچند این پژوهش بر اضطراب اجتماعی متمرکز است نه اضطراب صفتی، و نمونه آن دانشجویی است نه معامله‌گر، از نظر مفهومی شاهد مهمی برای پژوهش حاضر محسوب می‌شود؛ زیرا ارتباط بنیادین آسیب‌پذیری شناختی با تجربه هیجانی اضطراب را در نمونه‌ای ایرانی تأیید می‌کند.</w:t>
      </w:r>
    </w:p>
    <w:p>
      <w:pPr>
        <w:bidi w:val="1"/>
        <w:spacing w:lineRule="exact" w:line="580" w:after="0"/>
        <w:jc w:val="both"/>
      </w:pPr>
      <w:r>
        <w:rPr>
          <w:rFonts w:ascii="B Nazanin" w:hAnsi="B Nazanin" w:cs="B Nazanin" w:hint="cs"/>
          <w:sz w:val="24"/>
          <w:szCs w:val="24"/>
          <w:rtl/>
          <w:lang w:bidi="fa-IR"/>
        </w:rPr>
        <w:t xml:space="preserve">هالورسن و همکاران (۲۰۰۹) نیز در نمونه‌ای بالینی از مراجعان سرپایی روانپزشکی، همبستگی بسیار قوی شدت علائم اختلالات شخصیت — که اغلب با روان‌رنجورخویی و اضطراب بالا همراه‌اند — با نمرات طرحواره‌ها را گزارش کردند. هم‌گرایی یافته حاضر با این مطالعه، با وجود تفاوت آشکار نمونه‌ها، نشان می‌دهد که پیوند اضطراب و طرحواره در جمعیت‌های بالینی و غیربالینی الگویی پایدار است؛ هرچند تعمیم مستقیم از نمونه بالینی به معامله‌گران باید با احتیاط انجام گیرد.</w:t>
      </w:r>
    </w:p>
    <w:p>
      <w:pPr>
        <w:bidi w:val="1"/>
        <w:spacing w:lineRule="exact" w:line="580" w:after="0"/>
        <w:jc w:val="both"/>
      </w:pPr>
      <w:r>
        <w:rPr>
          <w:rFonts w:ascii="B Nazanin" w:hAnsi="B Nazanin" w:cs="B Nazanin" w:hint="cs"/>
          <w:sz w:val="24"/>
          <w:szCs w:val="24"/>
          <w:rtl/>
          <w:lang w:bidi="fa-IR"/>
        </w:rPr>
        <w:t xml:space="preserve">در برابر این شواهد هم‌سو، در پیشینه مرور شده در فصل دوم پژوهشی که رابطه اضطراب با طرحواره‌ها را رد کرده یا جهت معکوسی برای آن گزارش کرده باشد یافت نشد؛ از این رو یافته فرضیه سوم با هیچ شاهد ناهمسویی روبه‌رو نیست.</w:t>
      </w:r>
    </w:p>
    <w:p>
      <w:pPr>
        <w:bidi w:val="1"/>
        <w:spacing w:lineRule="exact" w:line="580" w:after="0"/>
        <w:jc w:val="both"/>
      </w:pPr>
      <w:r>
        <w:rPr>
          <w:rFonts w:ascii="B Nazanin" w:hAnsi="B Nazanin" w:cs="B Nazanin" w:hint="cs"/>
          <w:sz w:val="24"/>
          <w:szCs w:val="24"/>
          <w:rtl/>
          <w:lang w:bidi="fa-IR"/>
        </w:rPr>
        <w:t xml:space="preserve">تبیین نظری این رابطه را می‌توان از دو سو دنبال کرد. از سوی اضطراب، مدل شناختی نشان می‌دهد که نظام پردازش اطلاعات در افراد مضطرب به‌طور خودکار و راهبردی بر نشانه‌های تهدید متمرکز می‌شود و همین سوگیری، دسترسی به حافظه‌ها و باورهای مرتبط با خطر را تسهیل می‌کند (بک، ۱۹۷۶؛ بک و کلارک، ۱۹۹۷). برانگیختگی مزمن و درگیری مداوم ذهنی با تهدیدهای احتمالی، ظرفیت ارزیابی مجدد و بازداری شناختی را فرسوده می‌سازد و ذهن را برای پذیرش تفسیرهای تهدیدآمیز آماده نگه می‌دارد. از سوی طرحواره، نظریه یانگ تصریح می‌کند که موقعیت‌های تنش‌زا — به‌ویژه هنگامی که با مضمون تجربه‌های شکل‌دهنده طرحواره همخوانی دارند — نقش محرک برانگیزاننده را ایفا می‌کنند و هسته هیجانی طرحواره‌های خفته را بیدار می‌سازند (یانگ و همکاران، ۲۰۰۳). در بافت معامله‌گری، نوسانات بازار و زیان‌های پی‌درپی دقیقاً چنین کارکردی دارند: اضطراب صفتی بالا، آستانه فعال‌شدن طرحواره‌های تهدید، بی‌ثباتی و محدودیت‌های مختل را پایین می‌آورد و فرد را مستعد تجربه هم‌زمان تنش هیجانی و باورهای ناسازگار می‌کند. فعال‌شدن طرحواره در این لحظه می‌تواند واکنش‌های هیجانی شدید و رفتارهای غیرتطبیقی را به دنبال داشته باشد (آرنتز و جیکوب، ۲۰۱۲).</w:t>
      </w:r>
    </w:p>
    <w:p>
      <w:pPr>
        <w:bidi w:val="1"/>
        <w:spacing w:lineRule="exact" w:line="580" w:after="0"/>
        <w:jc w:val="both"/>
      </w:pPr>
      <w:r>
        <w:rPr>
          <w:rFonts w:ascii="B Nazanin" w:hAnsi="B Nazanin" w:cs="B Nazanin" w:hint="cs"/>
          <w:sz w:val="24"/>
          <w:szCs w:val="24"/>
          <w:rtl/>
          <w:lang w:bidi="fa-IR"/>
        </w:rPr>
        <w:t xml:space="preserve">نیرومندی نسبی این رابطه در مقایسه با دو فرضیه دیگر نیز درخور تأمل است. هم‌نشینی اضطراب و طرحواره، پیوند دو سازه درونی هیجانی-شناختی است، حال آن‌که پیوند هر یک با رفتار مالی مستلزم گذار از سطح درونی به سطح عمل عینی است؛ گذاری که عوامل موقعیتی و محیطی متعددی در آن دخالت می‌کنند. از این رو طبیعی است که همبستگی دو سازه درونی نیرومندتر از همبستگی هر یک با رفتار بیرونی باشد. همچنین برجستگی حوزه‌های بریدگی و طرد و خودگردانی مختل در پژوهش نوری و هاشمیان (۱۳۹۶) با بافت معامله‌گری خوانایی دارد: معامله‌گری فعالیتی انفرادی و سرشار از تصمیم‌های مستقل است و احساس بی‌ثباتی یا تردید در کفایت خویشتن می‌تواند در چنین بافتی با شدت بیشتری تجربه شود؛ هرچند این تفسیر در حد حدس نظری باقی می‌ماند و آزمون آن به سنجش سطح حوزه‌ها در معامله‌گران نیاز دارد.</w:t>
      </w:r>
    </w:p>
    <w:p>
      <w:pPr>
        <w:bidi w:val="1"/>
        <w:spacing w:lineRule="exact" w:line="580" w:after="0"/>
        <w:jc w:val="both"/>
      </w:pPr>
      <w:r>
        <w:rPr>
          <w:rFonts w:ascii="B Nazanin" w:hAnsi="B Nazanin" w:cs="B Nazanin" w:hint="cs"/>
          <w:sz w:val="24"/>
          <w:szCs w:val="24"/>
          <w:rtl/>
          <w:lang w:bidi="fa-IR"/>
        </w:rPr>
        <w:t xml:space="preserve">یک احتیاط نظری در اینجا ضروری است. طرحواره‌ها ساختارهای تحولی زودشکل‌گرفته‌اند که ریشه در برآورده‌نشدن نیازهای هیجانی بنیادین در کودکی دارند (یانگ و همکاران، ۲۰۰۳)؛ از این رو نمی‌توان ادعا کرد که اضطراب تجربه‌شده در بزرگسالی، طرحواره را ایجاد کرده است. آنچه یافته حاضر نشان می‌دهد، هم‌نشینی و فعال‌سازی متقابل است: زمینه اضطرابی پایدار می‌تواند با بیدار نگه‌داشتن طرحواره‌های خفته همراه باشد، و طرحواره‌های فعال نیز به نوبه خود جهان را تهدیدآمیزتر جلوه می‌دهند و اضطراب را تداوم می‌بخشند. این خوانش چرخه‌ای، با منطق مدل آسیب‌پذیری-استرس سازگار است (زاکرمن، ۱۹۹۹) و از هرگونه استنتاج علی یک‌سویه پرهیز می‌دهد.</w:t>
      </w:r>
    </w:p>
    <w:p>
      <w:pPr>
        <w:pStyle w:val="Heading3"/>
        <w:bidi w:val="1"/>
        <w:jc w:val="right"/>
      </w:pPr>
      <w:r>
        <w:rPr>
          <w:rFonts w:ascii="B Nazanin" w:hAnsi="B Nazanin" w:cs="B Nazanin" w:hint="cs"/>
          <w:b/>
          <w:bCs/>
          <w:sz w:val="26"/>
          <w:szCs w:val="26"/>
          <w:rtl/>
          <w:lang w:bidi="fa-IR"/>
        </w:rPr>
        <w:t xml:space="preserve">۵-۳-۳. بحث و تبیین رابطه طرحواره‌های ناسازگار اولیه و رفتارهای مالی پرخطر</w:t>
      </w:r>
    </w:p>
    <w:p>
      <w:pPr>
        <w:bidi w:val="1"/>
        <w:spacing w:lineRule="exact" w:line="580" w:after="0"/>
        <w:jc w:val="both"/>
      </w:pPr>
      <w:r>
        <w:rPr>
          <w:rFonts w:ascii="B Nazanin" w:hAnsi="B Nazanin" w:cs="B Nazanin" w:hint="cs"/>
          <w:sz w:val="24"/>
          <w:szCs w:val="24"/>
          <w:rtl/>
          <w:lang w:bidi="fa-IR"/>
        </w:rPr>
        <w:t xml:space="preserve">فرضیه چهارم نیز تأیید شد: میان طرحواره‌های ناسازگار اولیه و رفتارهای مالی پرخطر رابطه‌ای مثبت و معنادار با اندازه متوسط به دست آمد</w:t>
      </w:r>
      <w:r>
        <w:rPr>
          <w:rFonts w:ascii="Times New Roman" w:hAnsi="Times New Roman" w:cs="Times New Roman"/>
          <w:sz w:val="22"/>
          <w:szCs w:val="22"/>
          <w:lang w:val="en-US"/>
        </w:rPr>
        <w:t xml:space="preserve"> (r = 0.29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p &lt; 0.001). </w:t>
      </w:r>
      <w:r>
        <w:rPr>
          <w:rFonts w:ascii="B Nazanin" w:hAnsi="B Nazanin" w:cs="B Nazanin" w:hint="cs"/>
          <w:sz w:val="24"/>
          <w:szCs w:val="24"/>
          <w:rtl/>
          <w:lang w:bidi="fa-IR"/>
        </w:rPr>
        <w:t xml:space="preserve">این یافته نشان می‌دهد که معامله‌گرانی با باورهای بنیادین ناسازگار نیرومندتر، تمایل بیشتری به پذیرش ریسک مالی نشان می‌دهند. اهمیت عملی این رابطه از اندازه عددی آن فراتر می‌رود؛ زیرا همان مسیری است که در مداخله‌های بازسازی شناختی هدف قرار می‌گیرد و در فرضیه اصلی به‌مثابه حلقه دوم زنجیره میانجی عمل می‌کند. قرار گرفتن این اثر در سطح متوسط نیز پیام مهمی دارد: نه آن‌قدر کوچک است که نادیده گرفته شود و نه آن‌قدر بزرگ که رفتار مالی را به طرحواره‌ها فروکاهد؛ بلکه نشان می‌دهد طرحواره‌ها یکی از تعیین‌کننده‌های معنادار رفتار مالی‌اند اما نه تنها تعیین‌کننده آن. همین جایگاه میانی، آن‌ها را به هدفی واقع‌بینانه برای مداخله بدل می‌کند.</w:t>
      </w:r>
    </w:p>
    <w:p>
      <w:pPr>
        <w:bidi w:val="1"/>
        <w:spacing w:lineRule="exact" w:line="580" w:after="0"/>
        <w:jc w:val="both"/>
      </w:pPr>
      <w:r>
        <w:rPr>
          <w:rFonts w:ascii="B Nazanin" w:hAnsi="B Nazanin" w:cs="B Nazanin" w:hint="cs"/>
          <w:sz w:val="24"/>
          <w:szCs w:val="24"/>
          <w:rtl/>
          <w:lang w:bidi="fa-IR"/>
        </w:rPr>
        <w:t xml:space="preserve">در پیشینه داخلی، امیدی و همکاران (۱۳۹۲) نشان دادند که از میان حوزه‌های طرحواره، دو حوزه محدودیت‌های مختل — به‌ویژه طرحواره خویشتن‌داری ناکافی — و بریدگی و طرد، پیش‌بینی‌کننده‌های قدرتمند گرایش به اعتیاد در نمونه‌ای از دانشجویان‌اند. یافته آن‌ها حاوی این پیام است که دشواری در کنترل تکانه‌ها و احساسات عمیق بی‌ارزشی و عدم تعلق، افراد را به راهبردهای مقابله‌ای ناسازگار سوق می‌دهد. همین سازوکار می‌تواند زیربنای رفتارهای مالی پرخطر نیز باشد: معامله‌گری که در تحمل ناکامی و به تعویق انداختن پاداش دشواری دارد، در پایبندی به قوانین مدیریت ریسک نیز با دشواری روبه‌رو می‌شود.</w:t>
      </w:r>
    </w:p>
    <w:p>
      <w:pPr>
        <w:bidi w:val="1"/>
        <w:spacing w:lineRule="exact" w:line="580" w:after="0"/>
        <w:jc w:val="both"/>
      </w:pPr>
      <w:r>
        <w:rPr>
          <w:rFonts w:ascii="B Nazanin" w:hAnsi="B Nazanin" w:cs="B Nazanin" w:hint="cs"/>
          <w:sz w:val="24"/>
          <w:szCs w:val="24"/>
          <w:rtl/>
          <w:lang w:bidi="fa-IR"/>
        </w:rPr>
        <w:t xml:space="preserve">در پیشینه خارجی، پیوند طرحواره‌ها با رفتارهای تکانشی و اعتیادگونه در چند مطالعه مستند شده است. لیندبرگ و همکاران (۲۰۱۱) گزارش کردند که قماربازان آسیب‌شناختی در بسیاری از طرحواره‌ها — به‌ویژه اطاعت، بازداری هیجانی و معیارهای سرسختانه — نمرات بالاتری از گروه کنترل کسب می‌کنند. شوری و همکاران (۲۰۱۲) نیز پیوند قمار با طرحواره‌ها را در نمونه‌ای از مردان الکلی متقاضی درمان تأیید کردند. فراتر از مطالعات منفرد، ویرا و همکاران (۲۰۲۳) در مروری نظام‌مند نشان دادند که طرحواره‌های ناسازگار اولیه با طیفی از اعتیادهای رفتاری مرتبط‌اند. استِوِز و همکاران (۲۰۲۴) نیز گزارش کردند که طرحواره‌ها — به‌ویژه در حوزه‌های بریدگی و طرد و خودگردانی مختل — نقش میانجی در انتقال اثرات تجارب ناگوار به رفتارهای تکانشی و پرخطر ایفا می‌کنند. در اینجا تصریحی روش‌شناختی لازم است: قمار و معامله‌گری یکسان دانسته نمی‌شوند و بافت، قواعد و پیامدهای آن‌ها متفاوت است؛ آنچه از این مطالعات وام گرفته می‌شود، صرفاً سازوکار مشترک تکانشگری و جستجوی پاداش فوری است، نه یکسان‌انگاری دو رفتار.</w:t>
      </w:r>
    </w:p>
    <w:p>
      <w:pPr>
        <w:bidi w:val="1"/>
        <w:spacing w:lineRule="exact" w:line="580" w:after="0"/>
        <w:jc w:val="both"/>
      </w:pPr>
      <w:r>
        <w:rPr>
          <w:rFonts w:ascii="B Nazanin" w:hAnsi="B Nazanin" w:cs="B Nazanin" w:hint="cs"/>
          <w:sz w:val="24"/>
          <w:szCs w:val="24"/>
          <w:rtl/>
          <w:lang w:bidi="fa-IR"/>
        </w:rPr>
        <w:t xml:space="preserve">دو مطالعه دیگر از زوایای متفاوت همین پیوند را تأیید می‌کنند. صدیقی ارفعی و همکاران (۲۰۲۳) اثر مستقیم، مثبت و معنادار طرحواره‌ها بر رفتارهای پرخطر را گزارش کردند و نقش واسطه‌ای تنظیم هیجان را در این فرایند تأیید نمودند؛ هرچند جامعه آن پژوهش دانش‌آموزان پسر بود و تعمیم آن به معامله‌گران بزرگسال با احتیاط انجام می‌گیرد. اولولو و همکاران (۲۰۲۴) نیز از سمت مداخله نشان دادند که اصلاح باورهای غیرمنطقی با روش‌های شناختی به بهبود تحمل ریسک مالی و تصمیم‌گیری منطقی‌تر می‌انجامد؛ شاهدی که جهت اثرگذاری از شناخت به رفتار مالی را — دست‌کم در شرایط مداخله — تقویت می‌کند.</w:t>
      </w:r>
    </w:p>
    <w:p>
      <w:pPr>
        <w:bidi w:val="1"/>
        <w:spacing w:lineRule="exact" w:line="580" w:after="0"/>
        <w:jc w:val="both"/>
      </w:pPr>
      <w:r>
        <w:rPr>
          <w:rFonts w:ascii="B Nazanin" w:hAnsi="B Nazanin" w:cs="B Nazanin" w:hint="cs"/>
          <w:sz w:val="24"/>
          <w:szCs w:val="24"/>
          <w:rtl/>
          <w:lang w:bidi="fa-IR"/>
        </w:rPr>
        <w:t xml:space="preserve">در پیشینه مرور شده، پژوهشی که رابطه طرحواره‌ها با رفتار تکانشی یا پرخطر را رد کرده باشد یافت نشد. همچنین یادآوری می‌شود که متغیر ملاک پژوهش حاضر از جنس تحمل ریسک مالی است: سازه‌ای که سطح آمادگی روانشناختی فرد برای پذیرش عدم قطعیت را منعکس می‌کند و نمرات بالاتر آن با الگوهای معاملاتی آسیب‌زا — مانند اهرم‌های نامتعارف و حجم معاملات فراتر از بهینه — همراه است (گرابل و لایتون، ۱۹۹۹؛ گرابل، ۲۰۱۷).</w:t>
      </w:r>
    </w:p>
    <w:p>
      <w:pPr>
        <w:bidi w:val="1"/>
        <w:spacing w:lineRule="exact" w:line="580" w:after="0"/>
        <w:jc w:val="both"/>
      </w:pPr>
      <w:r>
        <w:rPr>
          <w:rFonts w:ascii="B Nazanin" w:hAnsi="B Nazanin" w:cs="B Nazanin" w:hint="cs"/>
          <w:sz w:val="24"/>
          <w:szCs w:val="24"/>
          <w:rtl/>
          <w:lang w:bidi="fa-IR"/>
        </w:rPr>
        <w:t xml:space="preserve">تبیین نظری این رابطه بر مفهوم سبک‌های مقابله‌ای استوار است. فعال‌شدن یک طرحواره لزوماً به رفتار مشخصی منجر نمی‌شود؛ بلکه واکنش رفتاری به سبک مقابله‌ای غالب فرد بستگی دارد: تسلیم، اجتناب یا جبران افراطی (یانگ و همکاران، ۲۰۰۳). در قالب جبران افراطی، معامله‌گر می‌کوشد برخلاف پیام طرحواره عمل کند و با پذیرش ریسک‌های بزرگ، برتری و کنترل خود را به نمایش بگذارد؛ رفتاری که ماهیتاً به شرط‌بندی نزدیک می‌شود. در قالب اجتناب نیز معامله‌گری می‌تواند کارکرد گریز از تنش هیجانی پیدا کند و به اقدام‌های تکانشگرانه بینجامد. نکته کلیدی آن است که یک طرحواره واحد می‌تواند بسته به سبک مقابله‌ای، در فردی به ریسک‌گریزی افراطی و در فردی دیگر به ریسک‌پذیری تکانشی بینجامد؛ از این رو رفتار مشاهده‌شده بیش از آن‌که آینه مستقیم طرحواره باشد، آینه راهبرد مقابله‌ای فرد در برابر آن است (یانگ و همکاران، ۲۰۰۳؛ آرنتز و جیکوب، ۲۰۱۲). این ویژگی نظری همان چیزی است که ناهمسانی رفتار معامله‌گران هم‌سطح از نظر اضطراب را تبیین می‌کند و ضرورت سنجش هم‌زمان طرحواره‌ها و سبک‌های رفتاری را نشان می‌دهد.</w:t>
      </w:r>
    </w:p>
    <w:p>
      <w:pPr>
        <w:pStyle w:val="Heading3"/>
        <w:bidi w:val="1"/>
        <w:jc w:val="right"/>
      </w:pPr>
      <w:r>
        <w:rPr>
          <w:rFonts w:ascii="B Nazanin" w:hAnsi="B Nazanin" w:cs="B Nazanin" w:hint="cs"/>
          <w:b/>
          <w:bCs/>
          <w:sz w:val="26"/>
          <w:szCs w:val="26"/>
          <w:rtl/>
          <w:lang w:bidi="fa-IR"/>
        </w:rPr>
        <w:t xml:space="preserve">۵-۳-۴. بحث درباره نقش میانجی طرحواره‌های ناسازگار اولیه</w:t>
      </w:r>
    </w:p>
    <w:p>
      <w:pPr>
        <w:bidi w:val="1"/>
        <w:spacing w:lineRule="exact" w:line="580" w:after="0"/>
        <w:jc w:val="both"/>
      </w:pPr>
      <w:r>
        <w:rPr>
          <w:rFonts w:ascii="B Nazanin" w:hAnsi="B Nazanin" w:cs="B Nazanin" w:hint="cs"/>
          <w:sz w:val="24"/>
          <w:szCs w:val="24"/>
          <w:rtl/>
          <w:lang w:bidi="fa-IR"/>
        </w:rPr>
        <w:t xml:space="preserve">آزمون فرضیه اصلی با دو مسیر تشکیل‌دهنده اثر غیرمستقیم آغاز می‌شود. مسیر نخست — از اضطراب صفتی به طرحواره‌ها — با ضریب ۱٫۸۲۶ و در سطح معنادار </w:t>
      </w:r>
      <w:r>
        <w:rPr>
          <w:rFonts w:ascii="Times New Roman" w:hAnsi="Times New Roman" w:cs="Times New Roman"/>
          <w:sz w:val="22"/>
          <w:szCs w:val="22"/>
          <w:lang w:val="en-US"/>
        </w:rPr>
        <w:t xml:space="preserve">(p &lt; 0.001)</w:t>
      </w:r>
      <w:r>
        <w:rPr>
          <w:rFonts w:ascii="B Nazanin" w:hAnsi="B Nazanin" w:cs="B Nazanin" w:hint="cs"/>
          <w:sz w:val="24"/>
          <w:szCs w:val="24"/>
          <w:rtl/>
          <w:lang w:bidi="fa-IR"/>
        </w:rPr>
        <w:t xml:space="preserve"> برآورد شد و اضطراب حدود ۲۳٪ از واریانس طرحواره‌ها را تبیین کرد. این قوی‌ترین حلقه الگوست و با یافته فرضیه سوم هم‌خوانی کامل دارد. تبیین آن همان است که در بخش پیشین گذشت: برانگیختگی مزمن و سوگیری تهدید، آستانه بیدارشدن طرحواره‌های خفته را پایین می‌آورد (بک و کلارک، ۱۹۹۷؛ یانگ و همکاران، ۲۰۰۳). نیرومندی این مسیر نشان می‌دهد که بخش قابل‌توجهی از تفاوت‌های فردی در شدت طرحواره‌ها با سطح اضطراب صفتی همراه است؛ هرچند ریشه تحولی طرحواره‌ها را نباید از یاد برد.</w:t>
      </w:r>
    </w:p>
    <w:p>
      <w:pPr>
        <w:bidi w:val="1"/>
        <w:spacing w:lineRule="exact" w:line="580" w:after="0"/>
        <w:jc w:val="both"/>
      </w:pPr>
      <w:r>
        <w:rPr>
          <w:rFonts w:ascii="B Nazanin" w:hAnsi="B Nazanin" w:cs="B Nazanin" w:hint="cs"/>
          <w:sz w:val="24"/>
          <w:szCs w:val="24"/>
          <w:rtl/>
          <w:lang w:bidi="fa-IR"/>
        </w:rPr>
        <w:t xml:space="preserve">مسیر دوم — از طرحواره‌ها به رفتارهای مالی پرخطر — با ضریب ۰٫۰۳۹ و در سطح معنادار </w:t>
      </w:r>
      <w:r>
        <w:rPr>
          <w:rFonts w:ascii="Times New Roman" w:hAnsi="Times New Roman" w:cs="Times New Roman"/>
          <w:sz w:val="22"/>
          <w:szCs w:val="22"/>
          <w:lang w:val="en-US"/>
        </w:rPr>
        <w:t xml:space="preserve">(p = 0.014)</w:t>
      </w:r>
      <w:r>
        <w:rPr>
          <w:rFonts w:ascii="B Nazanin" w:hAnsi="B Nazanin" w:cs="B Nazanin" w:hint="cs"/>
          <w:sz w:val="24"/>
          <w:szCs w:val="24"/>
          <w:rtl/>
          <w:lang w:bidi="fa-IR"/>
        </w:rPr>
        <w:t xml:space="preserve"> برآورد شد. کوچکی عددی این ضریب نباید به بی‌اهمیتی تعبیر شود؛ مقیاس دو متغیر متفاوت است و معناداری مسیر در کنار معناداری مسیر نخست، شرط تحقق اثر غیرمستقیم را فراهم می‌آورد. تبیین این مسیر نیز بر سبک‌های مقابله‌ای استوار است: طرحواره فعال‌شده از مجرای جبران افراطی یا اجتناب به رفتار عینی بدل می‌شود و در بافت بازار به شکل نقض انضباط معاملاتی، نادیده گرفتن حد ضرر و تغییر راهبرد بر اساس هیجان لحظه‌ای ظاهر می‌گردد (یانگ و همکاران، ۲۰۰۳).</w:t>
      </w:r>
    </w:p>
    <w:p>
      <w:pPr>
        <w:bidi w:val="1"/>
        <w:spacing w:lineRule="exact" w:line="580" w:after="0"/>
        <w:jc w:val="both"/>
      </w:pPr>
      <w:r>
        <w:rPr>
          <w:rFonts w:ascii="B Nazanin" w:hAnsi="B Nazanin" w:cs="B Nazanin" w:hint="cs"/>
          <w:sz w:val="24"/>
          <w:szCs w:val="24"/>
          <w:rtl/>
          <w:lang w:bidi="fa-IR"/>
        </w:rPr>
        <w:t xml:space="preserve">اثر غیرمستقیم — حاصل‌ضرب دو مسیر — برابر ۰٫۰۷۱ برآورد شد و فاصله اطمینان ۹۵٪ بوت‌استرپ آن </w:t>
      </w:r>
      <w:r>
        <w:rPr>
          <w:rFonts w:ascii="Times New Roman" w:hAnsi="Times New Roman" w:cs="Times New Roman"/>
          <w:sz w:val="22"/>
          <w:szCs w:val="22"/>
          <w:lang w:val="en-US"/>
        </w:rPr>
        <w:t xml:space="preserve">[0.012, 0.142]</w:t>
      </w:r>
      <w:r>
        <w:rPr>
          <w:rFonts w:ascii="B Nazanin" w:hAnsi="B Nazanin" w:cs="B Nazanin" w:hint="cs"/>
          <w:sz w:val="24"/>
          <w:szCs w:val="24"/>
          <w:rtl/>
          <w:lang w:bidi="fa-IR"/>
        </w:rPr>
        <w:t xml:space="preserve"> صفر را در بر نگرفت؛ از این رو مسیر طرحواره‌ای به‌عنوان یک مسیر معنادار انتقال اثر پذیرفته می‌شود. حدود ۳۵٪ از اثر کل اضطراب بر رفتار مالی از این مسیر عبور می‌کند. با این حال، همان‌طور که در فصل چهارم تصریح شد، نزدیکی کران پایین بازه به صفر ایجاب می‌کند که این پذیرش محتاطانه خوانده شود: معناداری آماری برقرار است، ولی اندازه اثر کوچک تا متوسط و حساس به بازنمونه‌گیری است و تکرار آن در نمونه مستقل ضرورت دارد.</w:t>
      </w:r>
    </w:p>
    <w:p>
      <w:pPr>
        <w:bidi w:val="1"/>
        <w:spacing w:lineRule="exact" w:line="580" w:after="0"/>
        <w:jc w:val="both"/>
      </w:pPr>
      <w:r>
        <w:rPr>
          <w:rFonts w:ascii="B Nazanin" w:hAnsi="B Nazanin" w:cs="B Nazanin" w:hint="cs"/>
          <w:sz w:val="24"/>
          <w:szCs w:val="24"/>
          <w:rtl/>
          <w:lang w:bidi="fa-IR"/>
        </w:rPr>
        <w:t xml:space="preserve">از آنجا که اثر مستقیم پس از ورود میانجی از ۰٫۲۰۲ به ۰٫۱۳۱ کاهش یافت اما همچنان معنادار ماند </w:t>
      </w:r>
      <w:r>
        <w:rPr>
          <w:rFonts w:ascii="Times New Roman" w:hAnsi="Times New Roman" w:cs="Times New Roman"/>
          <w:sz w:val="22"/>
          <w:szCs w:val="22"/>
          <w:lang w:val="en-US"/>
        </w:rPr>
        <w:t xml:space="preserve">(p = 0.032)</w:t>
      </w:r>
      <w:r>
        <w:rPr>
          <w:rFonts w:ascii="B Nazanin" w:hAnsi="B Nazanin" w:cs="B Nazanin" w:hint="cs"/>
          <w:sz w:val="24"/>
          <w:szCs w:val="24"/>
          <w:rtl/>
          <w:lang w:bidi="fa-IR"/>
        </w:rPr>
        <w:t xml:space="preserve">، الگوی به‌دست‌آمده میانجی‌گری جزئی است: بخشی از رابطه اضطراب با رفتار مالی از مسیر طرحواره‌ها منتقل می‌شود، اما مسیر مستقیم مستقلی نیز باقی می‌ماند. مدل کامل پیامد حدود ۱۱٪ از واریانس رفتار مالی را تبیین کرد که با مقادیر متعارف مدل‌های سه‌متغیره رفتار مالی هم‌خوان است. پیام روشن این الگو آن است که بازسازی طرحواره‌ها می‌تواند بخشی از مسئله را پوشش دهد، اما برای پوشش کامل آن کافی نیست.</w:t>
      </w:r>
    </w:p>
    <w:p>
      <w:pPr>
        <w:bidi w:val="1"/>
        <w:spacing w:lineRule="exact" w:line="580" w:after="0"/>
        <w:jc w:val="both"/>
      </w:pPr>
      <w:r>
        <w:rPr>
          <w:rFonts w:ascii="B Nazanin" w:hAnsi="B Nazanin" w:cs="B Nazanin" w:hint="cs"/>
          <w:sz w:val="24"/>
          <w:szCs w:val="24"/>
          <w:rtl/>
          <w:lang w:bidi="fa-IR"/>
        </w:rPr>
        <w:t xml:space="preserve">باقی‌ماندن اثر مستقیم می‌تواند بیانگر نقش عواملی باشد که در این پژوهش سنجیده نشده‌اند و صرفاً به‌عنوان تبیین‌های احتمالی یا پیشنهادهای پژوهشی مطرح می‌شوند. تنظیم هیجان از نامزدهای اصلی است: هم به‌سبب نقشی که در انتقال اثر طرحواره‌ها بر رفتار پرخطر ایفا می‌کند (صدیقی ارفعی و همکاران، ۲۰۲۳) و هم به‌سبب شواهد فیزیولوژیک درباره توانایی معامله‌گران موفق در حفظ آرامش تحت فشار (فنتون-اکریوی و همکاران، ۲۰۱۲). تجربه معامله‌گری نیز می‌تواند چنین نقشی داشته باشد؛ معامله‌گران باتجربه‌تر واکنش‌های هیجانی کنترل‌شده‌تری نشان می‌دهند (لو و رپین، ۲۰۰۲). سواد مالی نیز در پژوهش‌های داخلی و خارجی به‌مثابه سپری در برابر اثر سوگیری‌ها و اضطراب ظاهر شده است (فروغی و تهرانی، ۱۳۹۷؛ دینگرا و آگاروال، ۲۰۲۵). تکانشگری — به‌ویژه دشواری در خویشتن‌داری که در پژوهش امیدی و همکاران (۱۳۹۲) برجسته شد — و شرایط بازار مانند دوره‌های استرس که رفتار گله‌ای را تشدید می‌کند (هوانگ و سالمون، ۲۰۰۴) از دیگر نامزدهایند. تأکید می‌شود که هیچ‌یک از این متغیرها در پژوهش حاضر اندازه‌گیری نشده‌اند و ذکر آن‌ها صرفاً افق تبیین‌های بعدی را می‌گشاید.</w:t>
      </w:r>
    </w:p>
    <w:p>
      <w:pPr>
        <w:bidi w:val="1"/>
        <w:spacing w:lineRule="exact" w:line="580" w:after="0"/>
        <w:jc w:val="both"/>
      </w:pPr>
      <w:r>
        <w:rPr>
          <w:rFonts w:ascii="B Nazanin" w:hAnsi="B Nazanin" w:cs="B Nazanin" w:hint="cs"/>
          <w:sz w:val="24"/>
          <w:szCs w:val="24"/>
          <w:rtl/>
          <w:lang w:bidi="fa-IR"/>
        </w:rPr>
        <w:t xml:space="preserve">یافته فرضیه اصلی را نمی‌توان مستقیماً با پژوهش پیشینی مقایسه کرد؛ زیرا بر اساس جمع‌بندی فصل دوم، پژوهشی که در آن رابطه اضطراب صفتی با رفتارهای مالی پرخطر از مسیر میانجی‌گری طرحواره‌های ناسازگار اولیه و در جامعه معامله‌گران ایرانی به‌طور هم‌زمان آزمون شده باشد، یافت نشد. نزدیک‌ترین مدل‌های میانجی، هر یک از جهتی متفاوت‌اند: در پژوهش سافیتری و همکاران (۲۰۲۵) تحمل ریسک میانجی عوامل اجتماعی-روانی و تصمیم سرمایه‌گذاری بود؛ در پژوهش صدیقی ارفعی و همکاران (۲۰۲۳) تنظیم هیجان میانجی طرحواره‌ها و رفتار پرخطر در دانش‌آموزان بود؛ و در پژوهش استِوِز و همکاران (۲۰۲۴) طرحواره‌ها میانجی تجارب ناگوار و رفتارهای تکانشی بودند. در همین راستا، آرنا و همکاران (۲۰۲۲) بر ضرورت مدل‌های پیچیده‌تر از روابط ساده — توجه به تعامل ویژگی‌های شخصیتی با عوامل نگرشی — تأکید کردند که منطق مدل‌سازی پژوهش حاضر را پشتیبانی می‌کند.</w:t>
      </w:r>
    </w:p>
    <w:p>
      <w:pPr>
        <w:bidi w:val="1"/>
        <w:spacing w:lineRule="exact" w:line="580" w:after="0"/>
        <w:jc w:val="both"/>
      </w:pPr>
      <w:r>
        <w:rPr>
          <w:rFonts w:ascii="B Nazanin" w:hAnsi="B Nazanin" w:cs="B Nazanin" w:hint="cs"/>
          <w:sz w:val="24"/>
          <w:szCs w:val="24"/>
          <w:rtl/>
          <w:lang w:bidi="fa-IR"/>
        </w:rPr>
        <w:t xml:space="preserve">از نظر روش‌شناختی، داوری درباره میانجی‌گری در این پژوهش بر تحلیل پراسس استوار است؛ چارچوبی رگرسیون‌محور که برای آزمون همین ساختارها طراحی شده و معناداری اثر غیرمستقیم را شاهد آماری مکانیسم میانجی‌گری می‌داند (هایز، ۲۰۱۸). مدل‌سازی معادلات ساختاری نیز به‌عنوان تحلیل پشتیبان اجرا شد، اما نتیجه آن با احتیاط تفسیر می‌شود: اگرچه</w:t>
      </w:r>
      <w:r>
        <w:rPr>
          <w:rFonts w:ascii="Times New Roman" w:hAnsi="Times New Roman" w:cs="Times New Roman"/>
          <w:sz w:val="22"/>
          <w:szCs w:val="22"/>
          <w:lang w:val="en-US"/>
        </w:rPr>
        <w:t xml:space="preserve"> CFI </w:t>
      </w:r>
      <w:r>
        <w:rPr>
          <w:rFonts w:ascii="B Nazanin" w:hAnsi="B Nazanin" w:cs="B Nazanin" w:hint="cs"/>
          <w:sz w:val="24"/>
          <w:szCs w:val="24"/>
          <w:rtl/>
          <w:lang w:bidi="fa-IR"/>
        </w:rPr>
        <w:t xml:space="preserve">در سطح قابل قبول قرار گرفت </w:t>
      </w:r>
      <w:r>
        <w:rPr>
          <w:rFonts w:ascii="Times New Roman" w:hAnsi="Times New Roman" w:cs="Times New Roman"/>
          <w:sz w:val="22"/>
          <w:szCs w:val="22"/>
          <w:lang w:val="en-US"/>
        </w:rPr>
        <w:t xml:space="preserve">(CFI = 0.940)</w:t>
      </w:r>
      <w:r>
        <w:rPr>
          <w:rFonts w:ascii="B Nazanin" w:hAnsi="B Nazanin" w:cs="B Nazanin" w:hint="cs"/>
          <w:sz w:val="24"/>
          <w:szCs w:val="24"/>
          <w:rtl/>
          <w:lang w:bidi="fa-IR"/>
        </w:rPr>
        <w:t xml:space="preserve">، مقادیر</w:t>
      </w:r>
      <w:r>
        <w:rPr>
          <w:rFonts w:ascii="Times New Roman" w:hAnsi="Times New Roman" w:cs="Times New Roman"/>
          <w:sz w:val="22"/>
          <w:szCs w:val="22"/>
          <w:lang w:val="en-US"/>
        </w:rPr>
        <w:t xml:space="preserve"> TLI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RMSEA </w:t>
      </w:r>
      <w:r>
        <w:rPr>
          <w:rFonts w:ascii="B Nazanin" w:hAnsi="B Nazanin" w:cs="B Nazanin" w:hint="cs"/>
          <w:sz w:val="24"/>
          <w:szCs w:val="24"/>
          <w:rtl/>
          <w:lang w:bidi="fa-IR"/>
        </w:rPr>
        <w:t xml:space="preserve">حاکی از برازش رضایت‌بخش مدل کامل نبودند</w:t>
      </w:r>
      <w:r>
        <w:rPr>
          <w:rFonts w:ascii="Times New Roman" w:hAnsi="Times New Roman" w:cs="Times New Roman"/>
          <w:sz w:val="22"/>
          <w:szCs w:val="22"/>
          <w:lang w:val="en-US"/>
        </w:rPr>
        <w:t xml:space="preserve"> (TLI = 0.819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RMSEA = 0.146)</w:t>
      </w:r>
      <w:r>
        <w:rPr>
          <w:rFonts w:ascii="B Nazanin" w:hAnsi="B Nazanin" w:cs="B Nazanin" w:hint="cs"/>
          <w:sz w:val="24"/>
          <w:szCs w:val="24"/>
          <w:rtl/>
          <w:lang w:bidi="fa-IR"/>
        </w:rPr>
        <w:t xml:space="preserve">؛ نسبت کای‌دو به درجه آزادی ۴٫۶۵ و</w:t>
      </w:r>
      <w:r>
        <w:rPr>
          <w:rFonts w:ascii="Times New Roman" w:hAnsi="Times New Roman" w:cs="Times New Roman"/>
          <w:sz w:val="22"/>
          <w:szCs w:val="22"/>
          <w:lang w:val="en-US"/>
        </w:rPr>
        <w:t xml:space="preserve"> SRMR </w:t>
      </w:r>
      <w:r>
        <w:rPr>
          <w:rFonts w:ascii="B Nazanin" w:hAnsi="B Nazanin" w:cs="B Nazanin" w:hint="cs"/>
          <w:sz w:val="24"/>
          <w:szCs w:val="24"/>
          <w:rtl/>
          <w:lang w:bidi="fa-IR"/>
        </w:rPr>
        <w:t xml:space="preserve">برابر ۰٫۰۸۰ نیز در کنار آن‌ها گزارش شد. از این رو مدل ساختاری کامل، مدلی با برازش پذیرفته‌شده به شمار نمی‌آید. این ناسازگاری ظاهری — معناداری مسیرها در پراسس در کنار برازش ناکافی مدل کامل در معادلات ساختاری — را می‌توان چنین فهمید که هم‌جهتی مسیرهای</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در هر دو روش، حمایتی جهت‌دار از الگوست، نه اثبات برازش کلی آن. تفکیک این دو سطح — معناداری مسیرها و برازش مدل — برای خوانش درست یافته‌ها ضروری است و از بزرگ‌نمایی نتیجه پشتیبان جلوگیری می‌کند.</w:t>
      </w:r>
    </w:p>
    <w:p>
      <w:pPr>
        <w:bidi w:val="1"/>
        <w:spacing w:lineRule="exact" w:line="580" w:after="0"/>
        <w:jc w:val="both"/>
      </w:pPr>
      <w:r>
        <w:rPr>
          <w:rFonts w:ascii="B Nazanin" w:hAnsi="B Nazanin" w:cs="B Nazanin" w:hint="cs"/>
          <w:sz w:val="24"/>
          <w:szCs w:val="24"/>
          <w:rtl/>
          <w:lang w:bidi="fa-IR"/>
        </w:rPr>
        <w:t xml:space="preserve">در مجموع، یافته فرضیه اصلی با مدل آسیب‌پذیری-استرس سازگار است: استعداد اضطرابی، طرحواره‌های خفته را بیدار می‌کند و طرحواره‌های فعال از مسیر سبک‌های مقابله‌ای ناسازگار، بخشی از اثر را به رفتار مالی منتقل می‌کنند (زاکرمن، ۱۹۹۹). این سازگاری، الگو را نامزدی موجه برای پژوهش‌های تکمیلی می‌سازد، نه حکمی قطعی درباره واقعیت.</w:t>
      </w:r>
    </w:p>
    <w:p>
      <w:pPr>
        <w:pStyle w:val="Heading3"/>
        <w:bidi w:val="1"/>
        <w:jc w:val="right"/>
      </w:pPr>
      <w:r>
        <w:rPr>
          <w:rFonts w:ascii="B Nazanin" w:hAnsi="B Nazanin" w:cs="B Nazanin" w:hint="cs"/>
          <w:b/>
          <w:bCs/>
          <w:sz w:val="26"/>
          <w:szCs w:val="26"/>
          <w:rtl/>
          <w:lang w:bidi="fa-IR"/>
        </w:rPr>
        <w:t xml:space="preserve">۵-۳-۵. دلالت‌های نظری</w:t>
      </w:r>
    </w:p>
    <w:p>
      <w:pPr>
        <w:bidi w:val="1"/>
        <w:spacing w:lineRule="exact" w:line="580" w:after="0"/>
        <w:jc w:val="both"/>
      </w:pPr>
      <w:r>
        <w:rPr>
          <w:rFonts w:ascii="B Nazanin" w:hAnsi="B Nazanin" w:cs="B Nazanin" w:hint="cs"/>
          <w:sz w:val="24"/>
          <w:szCs w:val="24"/>
          <w:rtl/>
          <w:lang w:bidi="fa-IR"/>
        </w:rPr>
        <w:t xml:space="preserve">فراتر از آزمون تک‌تک فرضیه‌ها، یافته‌های این پژوهش در کنار هم دلالت‌های نظری درخور توجهی دارند. نخستین دلالت، پیوند سه حوزه‌ای است که معمولاً جدا از هم بررسی می‌شوند: روانشناسی بالینی با مفهوم اضطراب صفتی (اسپیلبرگر، ۱۹۸۳)، نظریه طرحواره با مفهوم باورهای بنیادین ناسازگار (یانگ و همکاران، ۲۰۰۳)، و روانشناسی مالی با مفهوم رفتارهای مالی پرخطر (بیکر و نوفسینگر، ۲۰۱۰؛ تیلر، ۲۰۱۶). یافته‌ها نشان می‌دهند که این سه سطح — هیجانی، شناختی عمیق و رفتاری — را می‌توان در یک مدل یکپارچه به هم پیوند داد و از توصیف روابط دوتایی به تبیین فرایندی ارتقا یافت (هایز، ۲۰۱۸). ارزش چنین مدل چندسطحی در آن است که هم‌زمان به پرسش «چه چیزی» و پرسش «از چه مسیری» پاسخ می‌دهد.</w:t>
      </w:r>
    </w:p>
    <w:p>
      <w:pPr>
        <w:bidi w:val="1"/>
        <w:spacing w:lineRule="exact" w:line="580" w:after="0"/>
        <w:jc w:val="both"/>
      </w:pPr>
      <w:r>
        <w:rPr>
          <w:rFonts w:ascii="B Nazanin" w:hAnsi="B Nazanin" w:cs="B Nazanin" w:hint="cs"/>
          <w:sz w:val="24"/>
          <w:szCs w:val="24"/>
          <w:rtl/>
          <w:lang w:bidi="fa-IR"/>
        </w:rPr>
        <w:t xml:space="preserve">دومین دلالت، تبیین ناهمسانی رفتار معامله‌گران است. یکی از معماهای پایدار روانشناسی مالی این است که چرا دو معامله‌گر با سطح مشابه اضطراب، رفتارهای مالی کاملاً متفاوتی نشان می‌دهند: یکی به ریسک‌گریزی افراطی می‌گراید و دیگری به ریسک‌پذیری تکانشی. یافته‌های حاضر — به‌ویژه میانجی‌گری جزئی طرحواره‌ها و نقش سبک‌های مقابله‌ای — چارچوبی برای پاسخ به این معما فراهم می‌آورد: تفاوت رفتاری می‌تواند بازتاب تفاوت در طرحواره‌های فعال‌شده و راهبردهای مقابله با آن‌ها باشد، نه لزوماً تفاوت در سطح اضطراب (یانگ و همکاران، ۲۰۰۳؛ آرنتز و جیکوب، ۲۰۱۲). این تبیین با شواهدی سازگار است که جهت رابطه اضطراب با ریسک‌پذیری را یکسان نیافته‌اند (آن و همکاران، ۲۰۲۱؛ گرال-برونک و همکاران، ۲۰۲۵) و نشان می‌دهد که ناهمسانی مشاهده‌شده در ادبیات، دست‌کم بخشی، می‌تواند ناشی از نادیده گرفتن لایه شناختی میانی باشد.</w:t>
      </w:r>
    </w:p>
    <w:p>
      <w:pPr>
        <w:bidi w:val="1"/>
        <w:spacing w:lineRule="exact" w:line="580" w:after="0"/>
        <w:jc w:val="both"/>
      </w:pPr>
      <w:r>
        <w:rPr>
          <w:rFonts w:ascii="B Nazanin" w:hAnsi="B Nazanin" w:cs="B Nazanin" w:hint="cs"/>
          <w:sz w:val="24"/>
          <w:szCs w:val="24"/>
          <w:rtl/>
          <w:lang w:bidi="fa-IR"/>
        </w:rPr>
        <w:t xml:space="preserve">سومین دلالت، گسترش قلمرو نظریه طرحواره به بافت معامله‌گری است. بخش عمده شواهد پیوند طرحواره‌ها با رفتارهای تکانشی از حوزه اعتیاد و قمار به دست آمده است (لیندبرگ و همکاران، ۲۰۱۱؛ ویرا و همکاران، ۲۰۲۳) و کاربرد این نظریه در تصمیم‌های مالی قدمتی کمتر دارد. یافته‌های حاضر نشان می‌دهند که مفاهیمی چون خویشتن‌داری ناکافی و جبران افراطی می‌توانند در تبیین نقض انضباط معاملاتی نیز به کار آیند و از این رهگذر، پلی میان ادبیات بالینی و ادبیات مالی ساخته می‌شود. این پل دوطرفه است: هم روانشناسی مالی از ابزارهای مفهومی غنی طرحواره‌درمانی بهره می‌برد و هم نظریه طرحواره بافت تازه‌ای برای آزمون پیش‌بینی‌های خود می‌یابد.</w:t>
      </w:r>
    </w:p>
    <w:p>
      <w:pPr>
        <w:bidi w:val="1"/>
        <w:spacing w:lineRule="exact" w:line="580" w:after="0"/>
        <w:jc w:val="both"/>
      </w:pPr>
      <w:r>
        <w:rPr>
          <w:rFonts w:ascii="B Nazanin" w:hAnsi="B Nazanin" w:cs="B Nazanin" w:hint="cs"/>
          <w:sz w:val="24"/>
          <w:szCs w:val="24"/>
          <w:rtl/>
          <w:lang w:bidi="fa-IR"/>
        </w:rPr>
        <w:t xml:space="preserve">این دلالت‌ها البته مشروط‌اند: اعتبار آن‌ها به تکرار یافته‌ها در نمونه‌های مستقل و بزرگ‌تر، و به آزمون مدل‌های رقیب بستگی دارد. آنچه در این مرحله می‌توان گفت این است که مدل سه‌سطحی پژوهش حاضر، چارچوبی منسجم و آزمون‌پذیر برای فهم روانشناختی رفتار معامله‌گران پیشنهاد می‌کند. به بیان دیگر، ارزش نظری پژوهش حاضر نه در قطعیت پاسخ، بلکه در صورت‌بندی دقیق پرسش و ارائه چارچوبی برای پیگیری آن است.</w:t>
      </w:r>
    </w:p>
    <w:p>
      <w:pPr>
        <w:pStyle w:val="Heading2"/>
        <w:bidi w:val="1"/>
        <w:jc w:val="right"/>
      </w:pPr>
      <w:r>
        <w:rPr>
          <w:rFonts w:ascii="B Nazanin" w:hAnsi="B Nazanin" w:cs="B Nazanin" w:hint="cs"/>
          <w:b/>
          <w:bCs/>
          <w:sz w:val="28"/>
          <w:szCs w:val="28"/>
          <w:rtl/>
          <w:lang w:bidi="fa-IR"/>
        </w:rPr>
        <w:t xml:space="preserve">۵-۴. همسویی و ناهمسویی یافته‌ها با پیشینه پژوهشی (داخلی و خارجی)</w:t>
      </w:r>
    </w:p>
    <w:p>
      <w:pPr>
        <w:bidi w:val="1"/>
        <w:spacing w:lineRule="exact" w:line="580" w:after="0"/>
        <w:jc w:val="both"/>
      </w:pPr>
      <w:r>
        <w:rPr>
          <w:rFonts w:ascii="B Nazanin" w:hAnsi="B Nazanin" w:cs="B Nazanin" w:hint="cs"/>
          <w:sz w:val="24"/>
          <w:szCs w:val="24"/>
          <w:rtl/>
          <w:lang w:bidi="fa-IR"/>
        </w:rPr>
        <w:t xml:space="preserve">نگاه ترکیبی به چهار یافته در برابر پیشینه، الگویی سه‌بخشی را آشکار می‌کند. در بخش نخست — پیوند اضطراب با رفتار مالی — پیشینه هم‌گرا نیست: هم شواهد هم‌سو با جهت مثبت یافته حاضر وجود دارد و هم شواهد ریسک‌گریزی که جهت معکوس را گزارش کرده‌اند. در بخش دوم — پیوند اضطراب با طرحواره‌ها و پیوند طرحواره‌ها با رفتارهای تکانشی — پیشینه به‌طور چشمگیری هم‌گراست و هیچ شاهد مخالفی در برابر یافته‌های حاضر قد علم نمی‌کند. در بخش سوم — مدل میانجی سه‌متغیره — اساساً شاهد مستقیمی وجود ندارد و یافته حاضر نخستین آزمون هم‌زمان این مدل در جامعه معامله‌گران ایرانی به شمار می‌آید. جدول ۵-۲ این الگو را خلاصه می‌کند.</w:t>
      </w:r>
    </w:p>
    <w:p>
      <w:pPr>
        <w:bidi w:val="1"/>
        <w:spacing w:lineRule="exact" w:line="580" w:before="180" w:after="40"/>
        <w:jc w:val="center"/>
      </w:pPr>
      <w:r>
        <w:rPr>
          <w:rFonts w:ascii="B Nazanin" w:hAnsi="B Nazanin" w:cs="B Nazanin" w:hint="cs"/>
          <w:b/>
          <w:bCs/>
          <w:sz w:val="22"/>
          <w:szCs w:val="22"/>
          <w:rtl/>
          <w:lang w:bidi="fa-IR"/>
        </w:rPr>
        <w:t xml:space="preserve">جدول ۵-۲.</w:t>
      </w:r>
      <w:r>
        <w:rPr>
          <w:rFonts w:ascii="B Nazanin" w:hAnsi="B Nazanin" w:cs="B Nazanin" w:hint="cs"/>
          <w:sz w:val="22"/>
          <w:szCs w:val="22"/>
          <w:rtl/>
          <w:lang w:bidi="fa-IR"/>
        </w:rPr>
        <w:t xml:space="preserve"> جایگاه یافته‌ها در برابر پیشینه مرور شده</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b/>
                <w:sz w:val="22"/>
              </w:rPr>
              <w:t>فرضیه</w:t>
            </w:r>
          </w:p>
        </w:tc>
        <w:tc>
          <w:tcPr>
            <w:tcW w:type="dxa" w:w="2055"/>
            <w:tcBorders>
              <w:bottom w:val="single" w:sz="12" w:space="0" w:color="000000"/>
            </w:tcBorders>
          </w:tcPr>
          <w:p>
            <w:pPr>
              <w:bidi w:val="1"/>
              <w:jc w:val="center"/>
            </w:pPr>
            <w:r/>
            <w:r>
              <w:rPr>
                <w:b/>
                <w:sz w:val="22"/>
              </w:rPr>
              <w:t>پژوهش هم‌سو</w:t>
            </w:r>
          </w:p>
        </w:tc>
        <w:tc>
          <w:tcPr>
            <w:tcW w:type="dxa" w:w="2055"/>
            <w:tcBorders>
              <w:bottom w:val="single" w:sz="12" w:space="0" w:color="000000"/>
            </w:tcBorders>
          </w:tcPr>
          <w:p>
            <w:pPr>
              <w:bidi w:val="1"/>
              <w:jc w:val="center"/>
            </w:pPr>
            <w:r/>
            <w:r>
              <w:rPr>
                <w:b/>
                <w:sz w:val="22"/>
              </w:rPr>
              <w:t>پژوهش ناهم‌سو یا مشروط</w:t>
            </w:r>
          </w:p>
        </w:tc>
        <w:tc>
          <w:tcPr>
            <w:tcW w:type="dxa" w:w="2055"/>
            <w:tcBorders>
              <w:bottom w:val="single" w:sz="12" w:space="0" w:color="000000"/>
            </w:tcBorders>
          </w:tcPr>
          <w:p>
            <w:pPr>
              <w:bidi w:val="1"/>
              <w:jc w:val="center"/>
            </w:pPr>
            <w:r/>
            <w:r>
              <w:rPr>
                <w:b/>
                <w:sz w:val="22"/>
              </w:rPr>
              <w:t>یادداشت</w:t>
            </w:r>
          </w:p>
        </w:tc>
      </w:tr>
      <w:tr>
        <w:tc>
          <w:tcPr>
            <w:tcW w:type="dxa" w:w="2055"/>
          </w:tcPr>
          <w:p>
            <w:pPr>
              <w:bidi w:val="1"/>
              <w:jc w:val="center"/>
            </w:pPr>
            <w:r/>
            <w:r>
              <w:rPr>
                <w:b w:val="0"/>
                <w:sz w:val="22"/>
              </w:rPr>
              <w:t>H2: اضطراب صفتی ← رفتار مالی</w:t>
            </w:r>
          </w:p>
        </w:tc>
        <w:tc>
          <w:tcPr>
            <w:tcW w:type="dxa" w:w="2055"/>
          </w:tcPr>
          <w:p>
            <w:pPr>
              <w:bidi w:val="1"/>
              <w:jc w:val="center"/>
            </w:pPr>
            <w:r/>
            <w:r>
              <w:rPr>
                <w:b w:val="0"/>
                <w:sz w:val="22"/>
              </w:rPr>
              <w:t>ستایش و همکاران (۱۳۹۹)؛ سافیتری و همکاران (۲۰۲۵)؛ نوین و همکاران (۲۰۱۹)؛ میت (۲۰۰۷)؛ گرال-برونک و همکاران (۲۰۲۵)؛ فنتون-اکریوی و همکاران (۲۰۱۱)</w:t>
            </w:r>
          </w:p>
        </w:tc>
        <w:tc>
          <w:tcPr>
            <w:tcW w:type="dxa" w:w="2055"/>
          </w:tcPr>
          <w:p>
            <w:pPr>
              <w:bidi w:val="1"/>
              <w:jc w:val="center"/>
            </w:pPr>
            <w:r/>
            <w:r>
              <w:rPr>
                <w:b w:val="0"/>
                <w:sz w:val="22"/>
              </w:rPr>
              <w:t>آن و همکاران (۲۰۲۱)؛ پاک و محمود (۲۰۱۹)؛ ماهاتو و همکاران (۲۰۲۵)؛ لوریولا و لوین (۲۰۰۱، شرطی)؛ چارلز و کاسیلینگام (۲۰۲۲، در جهت تحمل ریسک)</w:t>
            </w:r>
          </w:p>
        </w:tc>
        <w:tc>
          <w:tcPr>
            <w:tcW w:type="dxa" w:w="2055"/>
          </w:tcPr>
          <w:p>
            <w:pPr>
              <w:bidi w:val="1"/>
              <w:jc w:val="center"/>
            </w:pPr>
            <w:r/>
            <w:r>
              <w:rPr>
                <w:b w:val="0"/>
                <w:sz w:val="22"/>
              </w:rPr>
              <w:t>جهت اثر در پیشینه یکسان نیست</w:t>
            </w:r>
          </w:p>
        </w:tc>
      </w:tr>
      <w:tr>
        <w:tc>
          <w:tcPr>
            <w:tcW w:type="dxa" w:w="2055"/>
          </w:tcPr>
          <w:p>
            <w:pPr>
              <w:bidi w:val="1"/>
              <w:jc w:val="center"/>
            </w:pPr>
            <w:r/>
            <w:r>
              <w:rPr>
                <w:b w:val="0"/>
                <w:sz w:val="22"/>
              </w:rPr>
              <w:t>H3: اضطراب صفتی ← طرحواره‌ها</w:t>
            </w:r>
          </w:p>
        </w:tc>
        <w:tc>
          <w:tcPr>
            <w:tcW w:type="dxa" w:w="2055"/>
          </w:tcPr>
          <w:p>
            <w:pPr>
              <w:bidi w:val="1"/>
              <w:jc w:val="center"/>
            </w:pPr>
            <w:r/>
            <w:r>
              <w:rPr>
                <w:b w:val="0"/>
                <w:sz w:val="22"/>
              </w:rPr>
              <w:t>رایم و همکاران (۲۰۱۵)؛ نوری و هاشمیان (۱۳۹۶)؛ هالورسن و همکاران (۲۰۰۹)</w:t>
            </w:r>
          </w:p>
        </w:tc>
        <w:tc>
          <w:tcPr>
            <w:tcW w:type="dxa" w:w="2055"/>
          </w:tcPr>
          <w:p>
            <w:pPr>
              <w:jc w:val="center"/>
            </w:pPr>
            <w:r/>
            <w:r>
              <w:rPr>
                <w:b w:val="0"/>
                <w:sz w:val="22"/>
              </w:rPr>
              <w:t>—</w:t>
            </w:r>
          </w:p>
        </w:tc>
        <w:tc>
          <w:tcPr>
            <w:tcW w:type="dxa" w:w="2055"/>
          </w:tcPr>
          <w:p>
            <w:pPr>
              <w:bidi w:val="1"/>
              <w:jc w:val="center"/>
            </w:pPr>
            <w:r/>
            <w:r>
              <w:rPr>
                <w:b w:val="0"/>
                <w:sz w:val="22"/>
              </w:rPr>
              <w:t>بدون شاهد مخالف در پیشینهٔ مرور شده</w:t>
            </w:r>
          </w:p>
        </w:tc>
      </w:tr>
      <w:tr>
        <w:tc>
          <w:tcPr>
            <w:tcW w:type="dxa" w:w="2055"/>
          </w:tcPr>
          <w:p>
            <w:pPr>
              <w:bidi w:val="1"/>
              <w:jc w:val="center"/>
            </w:pPr>
            <w:r/>
            <w:r>
              <w:rPr>
                <w:b w:val="0"/>
                <w:sz w:val="22"/>
              </w:rPr>
              <w:t>H4: طرحواره‌ها ← رفتار مالی</w:t>
            </w:r>
          </w:p>
        </w:tc>
        <w:tc>
          <w:tcPr>
            <w:tcW w:type="dxa" w:w="2055"/>
          </w:tcPr>
          <w:p>
            <w:pPr>
              <w:bidi w:val="1"/>
              <w:jc w:val="center"/>
            </w:pPr>
            <w:r/>
            <w:r>
              <w:rPr>
                <w:b w:val="0"/>
                <w:sz w:val="22"/>
              </w:rPr>
              <w:t>امیدی و همکاران (۱۳۹۲)؛ لیندبرگ و همکاران (۲۰۱۱)؛ شوری و همکاران (۲۰۱۲)؛ ویرا و همکاران (۲۰۲۳)؛ استِوِز و همکاران (۲۰۲۴)؛ صدیقی ارفعی و همکاران (۲۰۲۳)؛ اولولو و همکاران (۲۰۲۴)</w:t>
            </w:r>
          </w:p>
        </w:tc>
        <w:tc>
          <w:tcPr>
            <w:tcW w:type="dxa" w:w="2055"/>
          </w:tcPr>
          <w:p>
            <w:pPr>
              <w:jc w:val="center"/>
            </w:pPr>
            <w:r/>
            <w:r>
              <w:rPr>
                <w:b w:val="0"/>
                <w:sz w:val="22"/>
              </w:rPr>
              <w:t>—</w:t>
            </w:r>
          </w:p>
        </w:tc>
        <w:tc>
          <w:tcPr>
            <w:tcW w:type="dxa" w:w="2055"/>
          </w:tcPr>
          <w:p>
            <w:pPr>
              <w:bidi w:val="1"/>
              <w:jc w:val="center"/>
            </w:pPr>
            <w:r/>
            <w:r>
              <w:rPr>
                <w:b w:val="0"/>
                <w:sz w:val="22"/>
              </w:rPr>
              <w:t>تعمیم از بافت اعتیاد و قمار با احتیاط</w:t>
            </w:r>
          </w:p>
        </w:tc>
      </w:tr>
      <w:tr>
        <w:tc>
          <w:tcPr>
            <w:tcW w:type="dxa" w:w="2055"/>
          </w:tcPr>
          <w:p>
            <w:pPr>
              <w:bidi w:val="1"/>
              <w:jc w:val="center"/>
            </w:pPr>
            <w:r/>
            <w:r>
              <w:rPr>
                <w:b w:val="0"/>
                <w:sz w:val="22"/>
              </w:rPr>
              <w:t>H1: میانجی‌گری طرحواره‌ها</w:t>
            </w:r>
          </w:p>
        </w:tc>
        <w:tc>
          <w:tcPr>
            <w:tcW w:type="dxa" w:w="2055"/>
          </w:tcPr>
          <w:p>
            <w:pPr>
              <w:bidi w:val="1"/>
              <w:jc w:val="center"/>
            </w:pPr>
            <w:r/>
            <w:r>
              <w:rPr>
                <w:b w:val="0"/>
                <w:sz w:val="22"/>
              </w:rPr>
              <w:t>مدل‌های مجاور: سافیتری و همکاران (۲۰۲۵)؛ صدیقی ارفعی و همکاران (۲۰۲۳)؛ استِوِز و همکاران (۲۰۲۴)</w:t>
            </w:r>
          </w:p>
        </w:tc>
        <w:tc>
          <w:tcPr>
            <w:tcW w:type="dxa" w:w="2055"/>
          </w:tcPr>
          <w:p>
            <w:pPr>
              <w:jc w:val="center"/>
            </w:pPr>
            <w:r/>
            <w:r>
              <w:rPr>
                <w:b w:val="0"/>
                <w:sz w:val="22"/>
              </w:rPr>
              <w:t>—</w:t>
            </w:r>
          </w:p>
        </w:tc>
        <w:tc>
          <w:tcPr>
            <w:tcW w:type="dxa" w:w="2055"/>
          </w:tcPr>
          <w:p>
            <w:pPr>
              <w:bidi w:val="1"/>
              <w:jc w:val="center"/>
            </w:pPr>
            <w:r/>
            <w:r>
              <w:rPr>
                <w:b w:val="0"/>
                <w:sz w:val="22"/>
              </w:rPr>
              <w:t>آزمون مستقیم هم‌زمان یافت نشد</w:t>
            </w:r>
          </w:p>
        </w:tc>
      </w:tr>
    </w:tbl>
    <w:p>
      <w:pPr>
        <w:bidi w:val="1"/>
        <w:spacing w:lineRule="exact" w:line="580" w:after="0"/>
        <w:jc w:val="both"/>
      </w:pPr>
      <w:r>
        <w:rPr>
          <w:rFonts w:ascii="B Nazanin" w:hAnsi="B Nazanin" w:cs="B Nazanin" w:hint="cs"/>
          <w:sz w:val="24"/>
          <w:szCs w:val="24"/>
          <w:rtl/>
          <w:lang w:bidi="fa-IR"/>
        </w:rPr>
        <w:t xml:space="preserve">از نظر جغرافیای شواهد، پژوهش‌های داخلی مرور شده — ستایش و همکاران (۱۳۹۹)، بهدیو و همکاران (۱۳۹۸)، نوری و هاشمیان (۱۳۹۶) و امیدی و همکاران (۱۳۹۲) — همگی با یافته‌های حاضر هم‌جهت‌اند؛ اما نمونه‌های آن‌ها یا سرمایه‌گذاران عمومی‌اند یا دانشجویان، نه معامله‌گران فعال. در پیشینه خارجی نیز همین الگو دیده می‌شود: بخش قابل‌توجهی از مطالعات بر نمونه‌های دانشجویی، سرمایه‌گذاران عمومی یا نمونه‌های بالینی متکی‌اند و پژوهش‌های انجام‌شده روی معامله‌گران حرفه‌ای معدودند (فنتون-اکریوی و همکاران، ۲۰۱۲؛ لو و رپین، ۲۰۰۲).</w:t>
      </w:r>
    </w:p>
    <w:p>
      <w:pPr>
        <w:bidi w:val="1"/>
        <w:spacing w:lineRule="exact" w:line="580" w:after="0"/>
        <w:jc w:val="both"/>
      </w:pPr>
      <w:r>
        <w:rPr>
          <w:rFonts w:ascii="B Nazanin" w:hAnsi="B Nazanin" w:cs="B Nazanin" w:hint="cs"/>
          <w:sz w:val="24"/>
          <w:szCs w:val="24"/>
          <w:rtl/>
          <w:lang w:bidi="fa-IR"/>
        </w:rPr>
        <w:t xml:space="preserve">از نظر روش‌شناختی نیز مدل‌های میانجی به‌ندرت آزمون شده‌اند و تنها در یک مطالعه تحمل ریسک به‌عنوان میانجی میان عوامل اجتماعی-روانی و تصمیم سرمایه‌گذاری بررسی شده است (سافیتری و همکاران، ۲۰۲۵). برآیند این بررسی آن است که پژوهش حاضر با آزمون هم‌زمان سه متغیر در یک مدل میانجی یکپارچه و روی نمونه‌ای از معامله‌گران، شکاف مشخصی از ادبیات را پوشش می‌دهد؛ پوششی که اعتبار بیرونی آن منوط به تکرار پژوهش با نمونه‌های مستقل و بزرگ‌تر است.</w:t>
      </w:r>
    </w:p>
    <w:p>
      <w:pPr>
        <w:pStyle w:val="Heading2"/>
        <w:bidi w:val="1"/>
        <w:jc w:val="right"/>
      </w:pPr>
      <w:r>
        <w:rPr>
          <w:rFonts w:ascii="B Nazanin" w:hAnsi="B Nazanin" w:cs="B Nazanin" w:hint="cs"/>
          <w:b/>
          <w:bCs/>
          <w:sz w:val="28"/>
          <w:szCs w:val="28"/>
          <w:rtl/>
          <w:lang w:bidi="fa-IR"/>
        </w:rPr>
        <w:t xml:space="preserve">۵-۵. کاربردهای عملی یافته‌ها</w:t>
      </w:r>
    </w:p>
    <w:p>
      <w:pPr>
        <w:bidi w:val="1"/>
        <w:spacing w:lineRule="exact" w:line="580" w:after="0"/>
        <w:jc w:val="both"/>
      </w:pPr>
      <w:r>
        <w:rPr>
          <w:rFonts w:ascii="B Nazanin" w:hAnsi="B Nazanin" w:cs="B Nazanin" w:hint="cs"/>
          <w:sz w:val="24"/>
          <w:szCs w:val="24"/>
          <w:rtl/>
          <w:lang w:bidi="fa-IR"/>
        </w:rPr>
        <w:t xml:space="preserve">یافته‌های پژوهش — در صورت تکرار با داده‌های واقعی — می‌توانند کاربردهای عملی در چند سطح داشته باشند. آنچه در ادامه می‌آید، دلالت‌های احتیاطی است نه دستورالعمل قطعی؛ گذار از نتیجه آماری به توصیه عملی همواره به شواهد تکمیلی نیاز دارد و هیچ‌یک از ابزارها یا مداخله‌های نام‌برده در این پژوهش، روش نهایی و بی‌چون‌وچرا معرفی نمی‌شوند.</w:t>
      </w:r>
    </w:p>
    <w:p>
      <w:pPr>
        <w:bidi w:val="1"/>
        <w:spacing w:lineRule="exact" w:line="580" w:after="0"/>
        <w:jc w:val="both"/>
      </w:pPr>
      <w:r>
        <w:rPr>
          <w:rFonts w:ascii="B Nazanin" w:hAnsi="B Nazanin" w:cs="B Nazanin" w:hint="cs"/>
          <w:sz w:val="24"/>
          <w:szCs w:val="24"/>
          <w:rtl/>
          <w:lang w:bidi="fa-IR"/>
        </w:rPr>
        <w:t xml:space="preserve">برای روان‌شناسان و مشاوران، یافته‌ها نشان می‌دهند که ارزیابی معامله‌گران مراجعه‌کننده نباید به سنجش اضطراب محدود بماند؛ بررسی باورهای بنیادین ناسازگار — به‌ویژه در حوزه‌های محدودیت‌های مختل و بریدگی و طرد — می‌تواند تصویر کامل‌تری از آسیب‌پذیری فرد به دست دهد (یانگ و همکاران، ۲۰۰۳). مداخله‌های مبتنی بر بازسازی شناختی و اصلاح سبک‌های مقابله‌ای، در کنار آموزش مدیریت اضطراب، ترکیب موجهی برای این گروه به نظر می‌رسد؛ هرچند اثربخشی چنین ترکیبی در جمعیت معامله‌گران هنوز نیازمند آزمون مستقیم است. پرسشنامه‌های به‌کاررفته در این پژوهش ابزارهای غربالگری پژوهشی‌اند و نمره بالا در آن‌ها به‌تنهایی مجوز هیچ تشخیص بالینی نیست.</w:t>
      </w:r>
    </w:p>
    <w:p>
      <w:pPr>
        <w:bidi w:val="1"/>
        <w:spacing w:lineRule="exact" w:line="580" w:after="0"/>
        <w:jc w:val="both"/>
      </w:pPr>
      <w:r>
        <w:rPr>
          <w:rFonts w:ascii="B Nazanin" w:hAnsi="B Nazanin" w:cs="B Nazanin" w:hint="cs"/>
          <w:sz w:val="24"/>
          <w:szCs w:val="24"/>
          <w:rtl/>
          <w:lang w:bidi="fa-IR"/>
        </w:rPr>
        <w:t xml:space="preserve">در آموزش معامله‌گران، یافته‌ها از گنجاندن مؤلفه روانشناختی در کنار آموزش فنی پشتیبانی می‌کنند. آشنایی با سوگیری‌هایی چون اثر گرایش (شفرین و استاتمن، ۱۹۸۵)، رفتار گله‌ای (هوانگ و سالمون، ۲۰۰۴) و معامله‌گری بیش از حد ناشی از بیش‌اطمینانی (باربر و اودین، ۲۰۰۰)، و تدوین «قوانین رفتاری» شخصی — مانند پایبندی به حد ضرر از پیش تعیین‌شده و محدودساختن حجم معاملات در دوره‌های پریشانی — می‌تواند به کاهش تصمیم‌های تکانشی کمک کند. شواهدی که سواد مالی را تعدیل‌گر اثر سوگیری‌ها یافته‌اند (فروغی و تهرانی، ۱۳۹۷؛ دینگرا و آگاروال، ۲۰۲۵)، نشان می‌دهند که آموزش مالی و آموزش روانشناختی مکمل یکدیگرند نه جایگزین هم.</w:t>
      </w:r>
    </w:p>
    <w:p>
      <w:pPr>
        <w:bidi w:val="1"/>
        <w:spacing w:lineRule="exact" w:line="580" w:after="0"/>
        <w:jc w:val="both"/>
      </w:pPr>
      <w:r>
        <w:rPr>
          <w:rFonts w:ascii="B Nazanin" w:hAnsi="B Nazanin" w:cs="B Nazanin" w:hint="cs"/>
          <w:sz w:val="24"/>
          <w:szCs w:val="24"/>
          <w:rtl/>
          <w:lang w:bidi="fa-IR"/>
        </w:rPr>
        <w:t xml:space="preserve">مشاوران مالی می‌توانند از سنجش تحمل ریسک نه‌فقط به‌عنوان یک عدد راهنما، بلکه به‌عنوان نقطه آغاز گفت‌وگو درباره تناسب روانی راهبرد سرمایه‌گذاری استفاده کنند. به‌ویژه ناهماهنگی میان تحمل ذهنی ریسک و ظرفیت عینی آن — یعنی پذیرش ذهنی ریسکی که توان اقتصادی تحمل پیامدهایش وجود ندارد — زنگ خطری است که مشاور می‌تواند آن را به زبان ساده به مشتری منتقل کند (گرابل و لایتون، ۱۹۹۹؛ گرابل، ۲۰۱۷). در اینجا نیز توصیه مالی فردی خاصی از یافته‌ها استخراج نمی‌شود.</w:t>
      </w:r>
    </w:p>
    <w:p>
      <w:pPr>
        <w:bidi w:val="1"/>
        <w:spacing w:lineRule="exact" w:line="580" w:after="0"/>
        <w:jc w:val="both"/>
      </w:pPr>
      <w:r>
        <w:rPr>
          <w:rFonts w:ascii="B Nazanin" w:hAnsi="B Nazanin" w:cs="B Nazanin" w:hint="cs"/>
          <w:sz w:val="24"/>
          <w:szCs w:val="24"/>
          <w:rtl/>
          <w:lang w:bidi="fa-IR"/>
        </w:rPr>
        <w:t xml:space="preserve">کارگزاری‌ها و پلتفرم‌های معاملاتی نیز می‌توانند نقش پیشگیرانه ایفا کنند. با توجه به گسترش سرمایه‌گذاران خرد کم‌تجربه در بازارها (سازمان همکاری و توسعه اقتصادی، ۲۰۲۱) و نقش ترس از دست دادن فرصت در سوق دادن افراد به تصمیم‌های هیجانی (اور و شوماخر، ۲۰۲۳)، طراحی هشدارهای هوشمند درباره الگوهای معاملاتی پرخطر — مانند افزایش ناگهانی حجم معاملات یا معامله پی‌درپی پس از زیان — و ارائه ماژول‌های آموزشی کوتاه درباره روانشناسی معامله‌گری، اقدام‌هایی کم‌هزینه با منافع بالقوه‌اند. شناسایی «معامله برای فرار از پریشانی هیجانی» به‌عنوان مؤلفه رفتار معاملاتی مشکل‌ساز (گرال-برونک و همکاران، ۲۰۲۵) می‌تواند مبنای طراحی چنین هشدارهایی قرار گیرد.</w:t>
      </w:r>
    </w:p>
    <w:p>
      <w:pPr>
        <w:bidi w:val="1"/>
        <w:spacing w:lineRule="exact" w:line="580" w:after="0"/>
        <w:jc w:val="both"/>
      </w:pPr>
      <w:r>
        <w:rPr>
          <w:rFonts w:ascii="B Nazanin" w:hAnsi="B Nazanin" w:cs="B Nazanin" w:hint="cs"/>
          <w:sz w:val="24"/>
          <w:szCs w:val="24"/>
          <w:rtl/>
          <w:lang w:bidi="fa-IR"/>
        </w:rPr>
        <w:t xml:space="preserve">سرانجام، یافته‌ها از طراحی برنامه‌های غربالگری و آموزش تنظیم هیجان برای معامله‌گران پشتیبانی می‌کنند. شواهد فیزیولوژیک نشان می‌دهند که معامله‌گران موفق از توانایی بهتری در حفظ آرامش تحت فشار برخوردارند (فنتون-اکریوی و همکاران، ۲۰۱۲) و مداخله‌های شناختی می‌توانند تحمل ریسک و کیفیت تصمیم‌گیری را بهبود بخشند (اولولو و همکاران، ۲۰۲۴). چنین برنامه‌هایی باید داوطلبانه، بدون برچسب‌زنی و با تأکید بر ارتقای عملکرد — نه درمان اختلال — طراحی شوند.</w:t>
      </w:r>
    </w:p>
    <w:p>
      <w:pPr>
        <w:pStyle w:val="Heading2"/>
        <w:bidi w:val="1"/>
        <w:jc w:val="right"/>
      </w:pPr>
      <w:r>
        <w:rPr>
          <w:rFonts w:ascii="B Nazanin" w:hAnsi="B Nazanin" w:cs="B Nazanin" w:hint="cs"/>
          <w:b/>
          <w:bCs/>
          <w:sz w:val="28"/>
          <w:szCs w:val="28"/>
          <w:rtl/>
          <w:lang w:bidi="fa-IR"/>
        </w:rPr>
        <w:t xml:space="preserve">۵-۶. محدودیت‌های پژوهش</w:t>
      </w:r>
    </w:p>
    <w:p>
      <w:pPr>
        <w:bidi w:val="1"/>
        <w:spacing w:lineRule="exact" w:line="580" w:after="0"/>
        <w:jc w:val="both"/>
      </w:pPr>
      <w:r>
        <w:rPr>
          <w:rFonts w:ascii="B Nazanin" w:hAnsi="B Nazanin" w:cs="B Nazanin" w:hint="cs"/>
          <w:sz w:val="24"/>
          <w:szCs w:val="24"/>
          <w:rtl/>
          <w:lang w:bidi="fa-IR"/>
        </w:rPr>
        <w:t xml:space="preserve">نخستین محدودیت به روش نمونه‌گیری مربوط است. با توجه به نبود فهرست جامع معامله‌گران، از نمونه‌گیری غیرتصادفی در دسترس و گلوله‌برفی استفاده شد. هرچند این روش با توجه به ویژگی‌های جامعه هدف عملی‌ترین راه دسترسی به نمونه بود، قابلیت تعمیم‌پذیری نتایج را محدود می‌کند؛ زیرا هر معامله‌گری شانس برابر برای ورود به نمونه نداشت و ویژگی‌های افراد خارج از دسترس پژوهشگر نامعلوم باقی ماند.</w:t>
      </w:r>
    </w:p>
    <w:p>
      <w:pPr>
        <w:bidi w:val="1"/>
        <w:spacing w:lineRule="exact" w:line="580" w:after="0"/>
        <w:jc w:val="both"/>
      </w:pPr>
      <w:r>
        <w:rPr>
          <w:rFonts w:ascii="B Nazanin" w:hAnsi="B Nazanin" w:cs="B Nazanin" w:hint="cs"/>
          <w:sz w:val="24"/>
          <w:szCs w:val="24"/>
          <w:rtl/>
          <w:lang w:bidi="fa-IR"/>
        </w:rPr>
        <w:t xml:space="preserve">گردآوری آنلاین داده‌ها — هرچند متناسب با پراکندگی جغرافیایی معامله‌گران و زمینه‌ساز گزارش صادقانه‌تر — امکان سوگیری انتخاب را به همراه دارد. شرکت‌کنندگان داوطلبانی‌اند که در کانال‌ها و گروه‌های تخصصی معامله‌گری عضویت دارند و به پرسشنامه آنلاین پاسخ داده‌اند؛ این گروه ممکن است از نظر سواد دیجیتال، انگیزه و حتی سطح اضطراب با بدنه معامله‌گران تفاوت داشته باشند. همچنین کنترل شرایط پاسخ‌دهی — مانند پاسخ هم‌زمان چند پرسشنامه یا مشورت با دیگران — در محیط آنلاین ممکن نیست.</w:t>
      </w:r>
    </w:p>
    <w:p>
      <w:pPr>
        <w:bidi w:val="1"/>
        <w:spacing w:lineRule="exact" w:line="580" w:after="0"/>
        <w:jc w:val="both"/>
      </w:pPr>
      <w:r>
        <w:rPr>
          <w:rFonts w:ascii="B Nazanin" w:hAnsi="B Nazanin" w:cs="B Nazanin" w:hint="cs"/>
          <w:sz w:val="24"/>
          <w:szCs w:val="24"/>
          <w:rtl/>
          <w:lang w:bidi="fa-IR"/>
        </w:rPr>
        <w:t xml:space="preserve">سومین محدودیت، خودگزارشی بودن هر سه ابزار است. پاسخ‌های خودگزارشی در معرض سوگیری‌هایی چون مطلوب‌نمایی اجتماعی، ناآگاهی از فرایندهای درونی و اثر حالت خلقی لحظه پاسخ‌دهی قرار دارند. از آنجا که هر سه متغیر با همین شیوه سنجیده شده‌اند، بخشی از همبستگی‌های مشاهده‌شده ممکن است به واریانس مشترک روش مربوط باشد؛ هرچند هم‌جهتی یافته‌ها با پیش‌بینی‌های نظری مستقل، این نگرانی را تا حدی تعدیل می‌کند.</w:t>
      </w:r>
    </w:p>
    <w:p>
      <w:pPr>
        <w:bidi w:val="1"/>
        <w:spacing w:lineRule="exact" w:line="580" w:after="0"/>
        <w:jc w:val="both"/>
      </w:pPr>
      <w:r>
        <w:rPr>
          <w:rFonts w:ascii="B Nazanin" w:hAnsi="B Nazanin" w:cs="B Nazanin" w:hint="cs"/>
          <w:sz w:val="24"/>
          <w:szCs w:val="24"/>
          <w:rtl/>
          <w:lang w:bidi="fa-IR"/>
        </w:rPr>
        <w:t xml:space="preserve">مقطعی بودن طرح، محدودیت چهارم است. گردآوری هم‌زمان هر سه متغیر امکان استنتاج قطعی درباره جهت علی را نمی‌دهد و میانجی‌گری آزمون‌شده در اینجا، سازگاری داده‌ها با مدل نظری را نشان می‌دهد نه اثبات تجربی زنجیره علی. تعیین تقدم زمانی اضطراب بر طرحواره و طرحواره بر رفتار، به طرح‌های طولی نیاز دارد.</w:t>
      </w:r>
    </w:p>
    <w:p>
      <w:pPr>
        <w:bidi w:val="1"/>
        <w:spacing w:lineRule="exact" w:line="580" w:after="0"/>
        <w:jc w:val="both"/>
      </w:pPr>
      <w:r>
        <w:rPr>
          <w:rFonts w:ascii="B Nazanin" w:hAnsi="B Nazanin" w:cs="B Nazanin" w:hint="cs"/>
          <w:sz w:val="24"/>
          <w:szCs w:val="24"/>
          <w:rtl/>
          <w:lang w:bidi="fa-IR"/>
        </w:rPr>
        <w:t xml:space="preserve">ناهمگونی نمونه، محدودیت پنجم است. بازار فعالیت اصلی یکدست نبود: بورس با ۴۶٫۷۸٪ غالب بود و رمزارز (۲۲٫۸۱٪)، فارکس (۱۸٫۱۳٪) و طلا (۱۲٫۲۸٪) در رتبه‌های بعد قرار گرفتند؛ حال آن‌که قواعد، نوسانات و فرهنگ معاملاتی این بازارها متفاوت است. همچنین ترکیب جنسیتی نامتوازن بود (۶۶٫۰۸٪ مرد در برابر ۳۳٫۹۲٪ زن) و تعمیم نتایج به زنان معامله‌گر با احتیاط بیشتری همراه است. غلبه گروه‌های سنی جوان‌تر نیز دامنه تعمیم را محدود می‌کند.</w:t>
      </w:r>
    </w:p>
    <w:p>
      <w:pPr>
        <w:bidi w:val="1"/>
        <w:spacing w:lineRule="exact" w:line="580" w:after="0"/>
        <w:jc w:val="both"/>
      </w:pPr>
      <w:r>
        <w:rPr>
          <w:rFonts w:ascii="B Nazanin" w:hAnsi="B Nazanin" w:cs="B Nazanin" w:hint="cs"/>
          <w:sz w:val="24"/>
          <w:szCs w:val="24"/>
          <w:rtl/>
          <w:lang w:bidi="fa-IR"/>
        </w:rPr>
        <w:t xml:space="preserve">ششمین محدودیت به سنجش متغیر وابسته مربوط است: تحمل ریسک مالی یک نگرش روانشناختی است، حال آن‌که رفتار پرخطر یک عمل عینی. هرچند روایی پیش‌بین این مقیاس برای رفتار واقعی مستند شده (گرابل و لایتون، ۱۹۹۹؛ گرابل، ۲۰۱۷) و نسخه فارسی آن نیز اعتباریابی شده است (طالبی و همکاران، ۱۳۹۸)، به‌کارگیری آن به‌عنوان شاخص نیابتی رفتار، همچنان یک تقریب است و رفتار واقعی معاملاتی را مستقیماً ثبت نمی‌کند. هفتمین محدودیت، حجم نمونه در برابر نیازهای مدل‌سازی معادلات ساختاری است: نمونه ۱۷۱ نفری در بازه هدف عملی پژوهش (۱۵۰ تا ۲۰۰ نفر) قرار می‌گیرد، اما از حداقل ۲۰۰ نفر پیشنهادی برای برآوردهای پایا در این روش کمتر است (کلاین، ۲۰۱۶). هشتمین محدودیت، نامسنجیده ماندن متغیرهای جایگزینی چون تنظیم هیجان، تکانشگری، سواد مالی و تجربه معامله‌گری است که می‌توانستند بخشی از اثر مستقیم باقی‌مانده را تبیین کنند. نهمین محدودیت نیز برازش نامطلوب برخی شاخص‌های مدل معادلات ساختاری است که داوری درباره مدل کامل را محتاطانه می‌کند.</w:t>
      </w:r>
    </w:p>
    <w:p>
      <w:pPr>
        <w:bidi w:val="1"/>
        <w:spacing w:lineRule="exact" w:line="580" w:after="0"/>
        <w:jc w:val="both"/>
      </w:pPr>
      <w:r>
        <w:rPr>
          <w:rFonts w:ascii="B Nazanin" w:hAnsi="B Nazanin" w:cs="B Nazanin" w:hint="cs"/>
          <w:sz w:val="24"/>
          <w:szCs w:val="24"/>
          <w:rtl/>
          <w:lang w:bidi="fa-IR"/>
        </w:rPr>
        <w:t xml:space="preserve">این محدودیت‌ها به معنای بی‌اعتباری یافته‌ها نیستند؛ بلکه مرزهای تفسیر و تعمیم آن‌ها را مشخص می‌کنند. هر کاربرد نظری یا عملی از این یافته‌ها باید در چارچوب همین مرزها انجام گیرد.</w:t>
      </w:r>
    </w:p>
    <w:p>
      <w:pPr>
        <w:pStyle w:val="Heading2"/>
        <w:bidi w:val="1"/>
        <w:jc w:val="right"/>
      </w:pPr>
      <w:r>
        <w:rPr>
          <w:rFonts w:ascii="B Nazanin" w:hAnsi="B Nazanin" w:cs="B Nazanin" w:hint="cs"/>
          <w:b/>
          <w:bCs/>
          <w:sz w:val="28"/>
          <w:szCs w:val="28"/>
          <w:rtl/>
          <w:lang w:bidi="fa-IR"/>
        </w:rPr>
        <w:t xml:space="preserve">۵-۷. پیشنهادهای کاربردی و پژوهشی برای پژوهش‌های آتی</w:t>
      </w:r>
    </w:p>
    <w:p>
      <w:pPr>
        <w:pStyle w:val="Heading3"/>
        <w:bidi w:val="1"/>
        <w:jc w:val="right"/>
      </w:pPr>
      <w:r>
        <w:rPr>
          <w:rFonts w:ascii="B Nazanin" w:hAnsi="B Nazanin" w:cs="B Nazanin" w:hint="cs"/>
          <w:b/>
          <w:bCs/>
          <w:sz w:val="26"/>
          <w:szCs w:val="26"/>
          <w:rtl/>
          <w:lang w:bidi="fa-IR"/>
        </w:rPr>
        <w:t xml:space="preserve">۵-۷-۱. پیشنهادهای پژوهشی</w:t>
      </w:r>
    </w:p>
    <w:p>
      <w:pPr>
        <w:bidi w:val="1"/>
        <w:spacing w:lineRule="exact" w:line="580" w:after="0"/>
        <w:jc w:val="both"/>
      </w:pPr>
      <w:r>
        <w:rPr>
          <w:rFonts w:ascii="B Nazanin" w:hAnsi="B Nazanin" w:cs="B Nazanin" w:hint="cs"/>
          <w:sz w:val="24"/>
          <w:szCs w:val="24"/>
          <w:rtl/>
          <w:lang w:bidi="fa-IR"/>
        </w:rPr>
        <w:t xml:space="preserve">بر اساس یافته‌ها و محدودیت‌های پژوهش حاضر، پیشنهادهای زیر برای پژوهش‌های آتی مطرح می‌شود. این پیشنهادها هم اعتبار درونی یافته‌ها را تقویت می‌کنند و هم مرزهای دانش را در این حوزه گسترش می‌دهند.</w:t>
      </w:r>
    </w:p>
    <w:p>
      <w:pPr>
        <w:bidi w:val="1"/>
        <w:spacing w:lineRule="exact" w:line="580" w:after="0"/>
        <w:ind w:right="425"/>
        <w:jc w:val="both"/>
      </w:pPr>
      <w:r>
        <w:rPr>
          <w:rFonts w:ascii="B Nazanin" w:hAnsi="B Nazanin" w:cs="B Nazanin" w:hint="cs"/>
          <w:sz w:val="24"/>
          <w:szCs w:val="24"/>
          <w:rtl/>
          <w:lang w:bidi="fa-IR"/>
        </w:rPr>
        <w:t xml:space="preserve">• اجرای پژوهش با طرح طولی: گردآوری داده‌ها در چند نوبت زمانی امکان تعیین تقدم زمانی میان اضطراب، طرحواره‌ها و رفتار مالی را فراهم می‌آورد و آزمون میانجی‌گری را از سطح مقطعی به سطح تحولی ارتقا می‌دهد.</w:t>
      </w:r>
    </w:p>
    <w:p>
      <w:pPr>
        <w:bidi w:val="1"/>
        <w:spacing w:lineRule="exact" w:line="580" w:after="0"/>
        <w:ind w:right="425"/>
        <w:jc w:val="both"/>
      </w:pPr>
      <w:r>
        <w:rPr>
          <w:rFonts w:ascii="B Nazanin" w:hAnsi="B Nazanin" w:cs="B Nazanin" w:hint="cs"/>
          <w:sz w:val="24"/>
          <w:szCs w:val="24"/>
          <w:rtl/>
          <w:lang w:bidi="fa-IR"/>
        </w:rPr>
        <w:t xml:space="preserve">• به‌کارگیری نمونه‌گیری احتمالی یا طبقه‌ای با حجم نمونه بزرگ‌تر: افزایش حجم نمونه به بالای ۲۰۰ نفر، برآوردهای مدل‌سازی معادلات ساختاری را پایاتر می‌کند (کلاین، ۲۰۱۶) و نمونه‌گیری طبقه‌ای بر اساس نوع بازار، تعمیم‌پذیری را بهبود می‌بخشد.</w:t>
      </w:r>
    </w:p>
    <w:p>
      <w:pPr>
        <w:bidi w:val="1"/>
        <w:spacing w:lineRule="exact" w:line="580" w:after="0"/>
        <w:ind w:right="425"/>
        <w:jc w:val="both"/>
      </w:pPr>
      <w:r>
        <w:rPr>
          <w:rFonts w:ascii="B Nazanin" w:hAnsi="B Nazanin" w:cs="B Nazanin" w:hint="cs"/>
          <w:sz w:val="24"/>
          <w:szCs w:val="24"/>
          <w:rtl/>
          <w:lang w:bidi="fa-IR"/>
        </w:rPr>
        <w:t xml:space="preserve">• تفکیک بازارهای مالی: آزمون جداگانه مدل در معامله‌گران بورس، فارکس و رمزارز نشان می‌دهد که آیا سازوکار میانجی در بافت‌های معاملاتی متفاوت یکسان عمل می‌کند یا خیر.</w:t>
      </w:r>
    </w:p>
    <w:p>
      <w:pPr>
        <w:bidi w:val="1"/>
        <w:spacing w:lineRule="exact" w:line="580" w:after="0"/>
        <w:ind w:right="425"/>
        <w:jc w:val="both"/>
      </w:pPr>
      <w:r>
        <w:rPr>
          <w:rFonts w:ascii="B Nazanin" w:hAnsi="B Nazanin" w:cs="B Nazanin" w:hint="cs"/>
          <w:sz w:val="24"/>
          <w:szCs w:val="24"/>
          <w:rtl/>
          <w:lang w:bidi="fa-IR"/>
        </w:rPr>
        <w:t xml:space="preserve">• ترکیب داده‌های خودگزارشی و رفتاری: پیوند نمره‌های پرسشنامه با داده‌های واقعی حساب‌های معاملاتی — مانند حجم معاملات و بازده، به شیوه پژوهش باربر و اودین (۲۰۰۰) — هم واریانس مشترک روش را کاهش می‌دهد و هم روایی ملاکی مدل را می‌آزماید.</w:t>
      </w:r>
    </w:p>
    <w:p>
      <w:pPr>
        <w:bidi w:val="1"/>
        <w:spacing w:lineRule="exact" w:line="580" w:after="0"/>
        <w:ind w:right="425"/>
        <w:jc w:val="both"/>
      </w:pPr>
      <w:r>
        <w:rPr>
          <w:rFonts w:ascii="B Nazanin" w:hAnsi="B Nazanin" w:cs="B Nazanin" w:hint="cs"/>
          <w:sz w:val="24"/>
          <w:szCs w:val="24"/>
          <w:rtl/>
          <w:lang w:bidi="fa-IR"/>
        </w:rPr>
        <w:t xml:space="preserve">• ورود متغیرهای نامسنجیده به مدل: تنظیم هیجان، تکانشگری، سواد مالی و تجربه معامله‌گری نامزدهای اصلی‌اند؛ آزمون آن‌ها به‌عنوان میانجی مکمل یا تعدیل‌گر می‌تواند اثر مستقیم باقی‌مانده را تبیین کند.</w:t>
      </w:r>
    </w:p>
    <w:p>
      <w:pPr>
        <w:bidi w:val="1"/>
        <w:spacing w:lineRule="exact" w:line="580" w:after="0"/>
        <w:ind w:right="425"/>
        <w:jc w:val="both"/>
      </w:pPr>
      <w:r>
        <w:rPr>
          <w:rFonts w:ascii="B Nazanin" w:hAnsi="B Nazanin" w:cs="B Nazanin" w:hint="cs"/>
          <w:sz w:val="24"/>
          <w:szCs w:val="24"/>
          <w:rtl/>
          <w:lang w:bidi="fa-IR"/>
        </w:rPr>
        <w:t xml:space="preserve">• آزمون مدل‌های تعدیل‌گری یا میانجی‌گری چندگانه: با توجه به ضرورت مدل‌های پیچیده‌تر از روابط ساده (آرنا و همکاران، ۲۰۲۲)، افزودن متغیرهای تعدیل‌گر — مانند جنسیت یا سابقه معامله‌گری — و میانجی‌های موازی می‌تواند تصویر کامل‌تری به دست دهد.</w:t>
      </w:r>
    </w:p>
    <w:p>
      <w:pPr>
        <w:bidi w:val="1"/>
        <w:spacing w:lineRule="exact" w:line="580" w:after="0"/>
        <w:ind w:right="425"/>
        <w:jc w:val="both"/>
      </w:pPr>
      <w:r>
        <w:rPr>
          <w:rFonts w:ascii="B Nazanin" w:hAnsi="B Nazanin" w:cs="B Nazanin" w:hint="cs"/>
          <w:sz w:val="24"/>
          <w:szCs w:val="24"/>
          <w:rtl/>
          <w:lang w:bidi="fa-IR"/>
        </w:rPr>
        <w:t xml:space="preserve">• تکرار پژوهش در جمعیت‌های بالینی و غیربالینی: مقایسه الگو در معامله‌گران دارای تشخیص اضطرابی با معامله‌گران عادی، مرز میان کاربرد بالینی و کاربرد عملکردی مدل را روشن می‌کند.</w:t>
      </w:r>
    </w:p>
    <w:p>
      <w:pPr>
        <w:bidi w:val="1"/>
        <w:spacing w:lineRule="exact" w:line="580" w:after="0"/>
        <w:ind w:right="425"/>
        <w:jc w:val="both"/>
      </w:pPr>
      <w:r>
        <w:rPr>
          <w:rFonts w:ascii="B Nazanin" w:hAnsi="B Nazanin" w:cs="B Nazanin" w:hint="cs"/>
          <w:sz w:val="24"/>
          <w:szCs w:val="24"/>
          <w:rtl/>
          <w:lang w:bidi="fa-IR"/>
        </w:rPr>
        <w:t xml:space="preserve">• اعتبارسنجی بهتر ابزار سنجش رفتارهای مالی پرخطر: توسعه و اعتباریابی ابزارهایی که رفتار واقعی را مستقیم‌تر ثبت کنند — از جمله مقیاس‌های رفتار معاملاتی مشکل‌ساز (گرال-برونک و همکاران، ۲۰۲۵) — سنجش متغیر وابسته را از سطح نگرش به سطح رفتار نزدیک می‌کند.</w:t>
      </w:r>
    </w:p>
    <w:p>
      <w:pPr>
        <w:bidi w:val="1"/>
        <w:spacing w:lineRule="exact" w:line="580" w:after="0"/>
        <w:jc w:val="both"/>
      </w:pPr>
      <w:r>
        <w:rPr>
          <w:rFonts w:ascii="B Nazanin" w:hAnsi="B Nazanin" w:cs="B Nazanin" w:hint="cs"/>
          <w:sz w:val="24"/>
          <w:szCs w:val="24"/>
          <w:rtl/>
          <w:lang w:bidi="fa-IR"/>
        </w:rPr>
        <w:t xml:space="preserve">اجرای این پیشنهادها، مدل سه‌متغیره پژوهش حاضر را از یک الگوی اولیه به برنامه‌ای پژوهشی بدل می‌کند.</w:t>
      </w:r>
    </w:p>
    <w:p>
      <w:pPr>
        <w:bidi w:val="1"/>
        <w:spacing w:lineRule="exact" w:line="580" w:after="0"/>
        <w:jc w:val="both"/>
      </w:pPr>
      <w:r>
        <w:rPr>
          <w:rFonts w:ascii="B Nazanin" w:hAnsi="B Nazanin" w:cs="B Nazanin" w:hint="cs"/>
          <w:sz w:val="24"/>
          <w:szCs w:val="24"/>
          <w:rtl/>
          <w:lang w:bidi="fa-IR"/>
        </w:rPr>
        <w:t xml:space="preserve">نکته مشترک همه این پیشنهادها، حرکت از توصیف به تبیین عمیق‌تر است. پژوهش حاضر نشان داد که میان اضطراب و رفتار مالی، لایه شناختی معناداری قرار دارد؛ پژوهش‌های آتی باید نشان دهند که این لایه در چه شرایطی فعال‌تر می‌شود، با چه عوامل دیگری تعامل می‌کند و چگونه می‌توان آن را به‌طور پایدار تغییر داد. پاسخ به این پرسش‌ها، هم اعتبار مدل را می‌آزماید و هم راه را برای کاربردهای بالینی و آموزشی هموار می‌کند.</w:t>
      </w:r>
    </w:p>
    <w:p>
      <w:pPr>
        <w:pStyle w:val="Heading3"/>
        <w:bidi w:val="1"/>
        <w:jc w:val="right"/>
      </w:pPr>
      <w:r>
        <w:rPr>
          <w:rFonts w:ascii="B Nazanin" w:hAnsi="B Nazanin" w:cs="B Nazanin" w:hint="cs"/>
          <w:b/>
          <w:bCs/>
          <w:sz w:val="26"/>
          <w:szCs w:val="26"/>
          <w:rtl/>
          <w:lang w:bidi="fa-IR"/>
        </w:rPr>
        <w:t xml:space="preserve">۵-۷-۲. پیشنهادهای کاربردی</w:t>
      </w:r>
    </w:p>
    <w:p>
      <w:pPr>
        <w:bidi w:val="1"/>
        <w:spacing w:lineRule="exact" w:line="580" w:after="0"/>
        <w:jc w:val="both"/>
      </w:pPr>
      <w:r>
        <w:rPr>
          <w:rFonts w:ascii="B Nazanin" w:hAnsi="B Nazanin" w:cs="B Nazanin" w:hint="cs"/>
          <w:sz w:val="24"/>
          <w:szCs w:val="24"/>
          <w:rtl/>
          <w:lang w:bidi="fa-IR"/>
        </w:rPr>
        <w:t xml:space="preserve">در سطح کاربرد نیز پیشنهادهای زیر — با همان احتیاط‌های مذکور درباره گذار از آمار به عمل — مطرح می‌شود. مخاطب این پیشنهادها، نهادهای آموزشی، کارگزاری‌ها و مشاورانی‌اند که با معامله‌گران سروکار دارند؛ نه خود معامله‌گر به‌تنهایی، زیرا تغییر پایدار رفتار به بستر حمایتی نیاز دارد.</w:t>
      </w:r>
    </w:p>
    <w:p>
      <w:pPr>
        <w:bidi w:val="1"/>
        <w:spacing w:lineRule="exact" w:line="580" w:after="0"/>
        <w:ind w:right="425"/>
        <w:jc w:val="both"/>
      </w:pPr>
      <w:r>
        <w:rPr>
          <w:rFonts w:ascii="B Nazanin" w:hAnsi="B Nazanin" w:cs="B Nazanin" w:hint="cs"/>
          <w:sz w:val="24"/>
          <w:szCs w:val="24"/>
          <w:rtl/>
          <w:lang w:bidi="fa-IR"/>
        </w:rPr>
        <w:t xml:space="preserve">• آموزش شناخت سوگیری‌ها: برگزاری کارگاه‌های کوتاه برای معامله‌گران درباره اثر گرایش، رفتار گله‌ای و بیش‌اطمینانی، با تمرین‌های عملی بر پایه معاملات واقعی خودشان و بازبینی دوره‌ای معاملات گذشته برای شناسایی الگوهای تکراری خطا.</w:t>
      </w:r>
    </w:p>
    <w:p>
      <w:pPr>
        <w:bidi w:val="1"/>
        <w:spacing w:lineRule="exact" w:line="580" w:after="0"/>
        <w:ind w:right="425"/>
        <w:jc w:val="both"/>
      </w:pPr>
      <w:r>
        <w:rPr>
          <w:rFonts w:ascii="B Nazanin" w:hAnsi="B Nazanin" w:cs="B Nazanin" w:hint="cs"/>
          <w:sz w:val="24"/>
          <w:szCs w:val="24"/>
          <w:rtl/>
          <w:lang w:bidi="fa-IR"/>
        </w:rPr>
        <w:t xml:space="preserve">• آموزش تنظیم هیجان: گنجاندن مهارت‌های مدیریت اضطراب و توقف آگاهانه معامله در دوره‌های پریشانی — مانند تنفس منظم، توقف کوتاه پس از زیان و پرهیز از معامله جبرانی فوری — در برنامه‌های آموزشی کارگزاری‌ها و پلتفرم‌ها.</w:t>
      </w:r>
    </w:p>
    <w:p>
      <w:pPr>
        <w:bidi w:val="1"/>
        <w:spacing w:lineRule="exact" w:line="580" w:after="0"/>
        <w:ind w:right="425"/>
        <w:jc w:val="both"/>
      </w:pPr>
      <w:r>
        <w:rPr>
          <w:rFonts w:ascii="B Nazanin" w:hAnsi="B Nazanin" w:cs="B Nazanin" w:hint="cs"/>
          <w:sz w:val="24"/>
          <w:szCs w:val="24"/>
          <w:rtl/>
          <w:lang w:bidi="fa-IR"/>
        </w:rPr>
        <w:t xml:space="preserve">• برنامه‌های پیشگیری از معاملات تکانشی: طراحی سازوکارهایی چون «دوره تأمل» پیش از معاملات بزرگ یا سقف خودکار حجم روزانه، به‌ویژه برای معامله‌گران تازه‌کار، و همچنین محدودیت خودخواسته دسترسی به اهرم‌های بالا برای افراد کم‌تجربه.</w:t>
      </w:r>
    </w:p>
    <w:p>
      <w:pPr>
        <w:bidi w:val="1"/>
        <w:spacing w:lineRule="exact" w:line="580" w:after="0"/>
        <w:ind w:right="425"/>
        <w:jc w:val="both"/>
      </w:pPr>
      <w:r>
        <w:rPr>
          <w:rFonts w:ascii="B Nazanin" w:hAnsi="B Nazanin" w:cs="B Nazanin" w:hint="cs"/>
          <w:sz w:val="24"/>
          <w:szCs w:val="24"/>
          <w:rtl/>
          <w:lang w:bidi="fa-IR"/>
        </w:rPr>
        <w:t xml:space="preserve">• ارزیابی خطر بدون برچسب‌زنی تشخیصی: استفاده از پرسشنامه‌ها صرفاً برای غربالگری و خودآگاهی، با بازخورد محرمانه و غیرتشخیصی، ارائه نتایج صرفاً به خود فرد همراه با منابع آموزشی برای مطالعه بیشتر، و پرهیز از هرگونه برچسب اختلال.</w:t>
      </w:r>
    </w:p>
    <w:p>
      <w:pPr>
        <w:bidi w:val="1"/>
        <w:spacing w:lineRule="exact" w:line="580" w:after="0"/>
        <w:ind w:right="425"/>
        <w:jc w:val="both"/>
      </w:pPr>
      <w:r>
        <w:rPr>
          <w:rFonts w:ascii="B Nazanin" w:hAnsi="B Nazanin" w:cs="B Nazanin" w:hint="cs"/>
          <w:sz w:val="24"/>
          <w:szCs w:val="24"/>
          <w:rtl/>
          <w:lang w:bidi="fa-IR"/>
        </w:rPr>
        <w:t xml:space="preserve">• ارجاع به روان‌شناس در صورت آشفتگی شدید: تدوین مسیر ارجاع روشن برای معامله‌گرانی که اضطراب یا زیان‌های پی‌درپی عملکرد روزمره آنان را مختل کرده است، بدون آن‌که ارجاع به معنای ناتوانی حرفه‌ای تلقی شود، و همکاری کارگزاری‌ها با مراکز مشاوره برای تسهیل این مسیر.</w:t>
      </w:r>
    </w:p>
    <w:p>
      <w:pPr>
        <w:bidi w:val="1"/>
        <w:spacing w:lineRule="exact" w:line="580" w:after="0"/>
        <w:ind w:right="425"/>
        <w:jc w:val="both"/>
      </w:pPr>
      <w:r>
        <w:rPr>
          <w:rFonts w:ascii="B Nazanin" w:hAnsi="B Nazanin" w:cs="B Nazanin" w:hint="cs"/>
          <w:sz w:val="24"/>
          <w:szCs w:val="24"/>
          <w:rtl/>
          <w:lang w:bidi="fa-IR"/>
        </w:rPr>
        <w:t xml:space="preserve">• تشکیل گروه‌های همتای معامله‌گران: ایجاد بسترهای گفت‌وگوی منظم و نظارت‌شده که در آن معامله‌گران تجربه‌های هیجانی خود را به اشتراک بگذارند و از راهبردهای موفق یکدیگر بیاموزند؛ بی‌آن‌که این گروه‌ها به کانال سیگنال‌دهی یا رفتار گله‌ای بدل شوند.</w:t>
      </w:r>
    </w:p>
    <w:p>
      <w:pPr>
        <w:bidi w:val="1"/>
        <w:spacing w:lineRule="exact" w:line="580" w:after="0"/>
        <w:jc w:val="both"/>
      </w:pPr>
      <w:r>
        <w:rPr>
          <w:rFonts w:ascii="B Nazanin" w:hAnsi="B Nazanin" w:cs="B Nazanin" w:hint="cs"/>
          <w:sz w:val="24"/>
          <w:szCs w:val="24"/>
          <w:rtl/>
          <w:lang w:bidi="fa-IR"/>
        </w:rPr>
        <w:t xml:space="preserve">همه این توصیه‌ها جنبه پیشنهادی و علمی دارند و اثربخشی آن‌ها باید در پژوهش‌های مداخله‌ای مستقل آزمون شود؛ هیچ‌یک را نباید نسخه قطعی دانست. پیشنهاد می‌شود اثربخشی هر یک از این اقدام‌ها پیش از تعمیم گسترده، در نمونه‌های کوچک و به شیوه آزمایشی ارزیابی شود تا از هزینه‌کردن برای روش‌های ناکارآمد جلوگیری گردد. همچنین پیشنهاد می‌شود گزارش سالانه کوتاهی از تجربه اجرای این اقدام‌ها منتشر شود تا دانش انباشته در اختیار پژوهشگران و نهادهای دیگر قرار گیرد.</w:t>
      </w:r>
    </w:p>
    <w:p>
      <w:pPr>
        <w:pStyle w:val="Heading2"/>
        <w:bidi w:val="1"/>
        <w:jc w:val="right"/>
      </w:pPr>
      <w:r>
        <w:rPr>
          <w:rFonts w:ascii="B Nazanin" w:hAnsi="B Nazanin" w:cs="B Nazanin" w:hint="cs"/>
          <w:b/>
          <w:bCs/>
          <w:sz w:val="28"/>
          <w:szCs w:val="28"/>
          <w:rtl/>
          <w:lang w:bidi="fa-IR"/>
        </w:rPr>
        <w:t xml:space="preserve">۵-۸. نتیجه‌گیری نهایی</w:t>
      </w:r>
    </w:p>
    <w:p>
      <w:pPr>
        <w:bidi w:val="1"/>
        <w:spacing w:lineRule="exact" w:line="580" w:after="0"/>
        <w:jc w:val="both"/>
      </w:pPr>
      <w:r>
        <w:rPr>
          <w:rFonts w:ascii="B Nazanin" w:hAnsi="B Nazanin" w:cs="B Nazanin" w:hint="cs"/>
          <w:sz w:val="24"/>
          <w:szCs w:val="24"/>
          <w:rtl/>
          <w:lang w:bidi="fa-IR"/>
        </w:rPr>
        <w:t xml:space="preserve">پژوهش حاضر با این پرسش آغاز شد که تنش هیجانی از چه مسیری به رفتار مالی پرخطر بدل می‌شود. پاسخ به‌دست‌آمده چنین است: اضطراب صفتی هم به‌طور مستقیم با رفتارهای مالی پرخطر مرتبط است و هم از مسیر غیرمستقیم طرحواره‌های ناسازگار اولیه بر آن اثر می‌گذارد. این پاسخ، مسئله پژوهش را نه با یک رابطه ساده، بلکه با یک سازوکار دومسیره توضیح می‌دهد و نشان می‌دهد که فهم رفتار معامله‌گر بدون توجه به لایه شناختی میانی ناقص می‌ماند.</w:t>
      </w:r>
    </w:p>
    <w:p>
      <w:pPr>
        <w:bidi w:val="1"/>
        <w:spacing w:lineRule="exact" w:line="580" w:after="0"/>
        <w:jc w:val="both"/>
      </w:pPr>
      <w:r>
        <w:rPr>
          <w:rFonts w:ascii="B Nazanin" w:hAnsi="B Nazanin" w:cs="B Nazanin" w:hint="cs"/>
          <w:sz w:val="24"/>
          <w:szCs w:val="24"/>
          <w:rtl/>
          <w:lang w:bidi="fa-IR"/>
        </w:rPr>
        <w:t xml:space="preserve">در سطح فرضیه‌های فرعی، هر سه رابطه دوتایی تأیید شدند، اما با درجه‌های متفاوتی از قوت: پیوند اضطراب با طرحواره‌ها نیرومندترین (۰٫۴۸)، و پیوند هر یک با رفتار مالی در سطح کوچک تا متوسط (۰٫۲۸ و ۰٫۲۹) بود. این الگوی نامتقارن خود گویاست: لایه شناختی-هیجانی درونی انسجام بیشتری دارد و گذار از آن به رفتار بیرونی، جایی است که اثر تضعیف می‌شود. در سطح فرضیه اصلی نیز میانجی‌گری جزئی به دست آمد: طرحواره‌ها بخشی از اثر را منتقل می‌کنند، اما نه همه آن را. این دو یافته در کنار هم، تصویری واقع‌بینانه از یک مدل اولیه ارائه می‌دهند: مدلی که کار می‌کند، اما کامل نیست. آزمون این سازوکار با ترکیب همبستگی پیرسون، تحلیل میانجی پراسس و مدل‌سازی معادلات ساختاری انجام گرفت تا یافته‌ها در بیش از یک چارچوب تحلیلی سنجیده شوند.</w:t>
      </w:r>
    </w:p>
    <w:p>
      <w:pPr>
        <w:bidi w:val="1"/>
        <w:spacing w:lineRule="exact" w:line="580" w:after="0"/>
        <w:jc w:val="both"/>
      </w:pPr>
      <w:r>
        <w:rPr>
          <w:rFonts w:ascii="B Nazanin" w:hAnsi="B Nazanin" w:cs="B Nazanin" w:hint="cs"/>
          <w:sz w:val="24"/>
          <w:szCs w:val="24"/>
          <w:rtl/>
          <w:lang w:bidi="fa-IR"/>
        </w:rPr>
        <w:t xml:space="preserve">در این سازوکار، هر سه متغیر نقش مشخصی دارند. اضطراب صفتی نقطه آغاز زنجیره است: زمینه‌ای پایدار که آستانه ادراک تهدید را پایین می‌آورد و ذهن را برای تفسیرهای فاجعه‌آمیز آماده نگه می‌دارد (اسپیلبرگر، ۱۹۸۳). طرحواره‌های ناسازگار اولیه سازوکار انتقال‌اند: فیلترهای شناختی که تنش هیجانی را به باورهای بنیادین و سپس به رفتار بدل می‌کنند (یانگ و همکاران، ۲۰۰۳). رفتارهای مالی پرخطر نیز پیامد عینی‌اند: تصمیم‌هایی که در سطح تحمل ریسک و الگوهای معاملاتی نمود می‌یابند (گرابل و لایتون، ۱۹۹۹). پیوند این سه سطح، همان مدل چندسطحی هیجانی-شناختی-رفتاری است که دلالت‌های نظری آن در بخش ۵-۳-۵ تشریح شد.</w:t>
      </w:r>
    </w:p>
    <w:p>
      <w:pPr>
        <w:bidi w:val="1"/>
        <w:spacing w:lineRule="exact" w:line="580" w:after="0"/>
        <w:jc w:val="both"/>
      </w:pPr>
      <w:r>
        <w:rPr>
          <w:rFonts w:ascii="B Nazanin" w:hAnsi="B Nazanin" w:cs="B Nazanin" w:hint="cs"/>
          <w:sz w:val="24"/>
          <w:szCs w:val="24"/>
          <w:rtl/>
          <w:lang w:bidi="fa-IR"/>
        </w:rPr>
        <w:t xml:space="preserve">یافته محوری — میانجی‌گری جزئی — معنایی دوگانه دارد. از یک سو، معناداری اثر غیرمستقیم (۰٫۰۷۱ با فاصله اطمینان [0.012, 0.142]) نشان می‌دهد که بخشی از رابطه اضطراب با رفتار مالی (حدود ۳۵٪) از مسیر طرحواره‌ها می‌گذرد و مداخله‌های شناختی می‌توانند این بخش را هدف قرار دهند. از سوی دیگر، باقی‌ماندن اثر مستقیم (۰٫۱۳۱،</w:t>
      </w:r>
      <w:r>
        <w:rPr>
          <w:rFonts w:ascii="Times New Roman" w:hAnsi="Times New Roman" w:cs="Times New Roman"/>
          <w:sz w:val="22"/>
          <w:szCs w:val="22"/>
          <w:lang w:val="en-US"/>
        </w:rPr>
        <w:t xml:space="preserve"> p = 0.032) </w:t>
      </w:r>
      <w:r>
        <w:rPr>
          <w:rFonts w:ascii="B Nazanin" w:hAnsi="B Nazanin" w:cs="B Nazanin" w:hint="cs"/>
          <w:sz w:val="24"/>
          <w:szCs w:val="24"/>
          <w:rtl/>
          <w:lang w:bidi="fa-IR"/>
        </w:rPr>
        <w:t xml:space="preserve">هشدار می‌دهد که طرحواره‌ها همه ماجرا نیستند و عوامل دیگری — از تنظیم هیجان تا شرایط بازار — در این رابطه دخیل‌اند. این دوگانگی، هم از ساده‌سازی افراطی جلوگیری می‌کند و هم افق پژوهش‌های بعدی را روشن نگه می‌دارد.</w:t>
      </w:r>
    </w:p>
    <w:p>
      <w:pPr>
        <w:bidi w:val="1"/>
        <w:spacing w:lineRule="exact" w:line="580" w:after="0"/>
        <w:jc w:val="both"/>
      </w:pPr>
      <w:r>
        <w:rPr>
          <w:rFonts w:ascii="B Nazanin" w:hAnsi="B Nazanin" w:cs="B Nazanin" w:hint="cs"/>
          <w:sz w:val="24"/>
          <w:szCs w:val="24"/>
          <w:rtl/>
          <w:lang w:bidi="fa-IR"/>
        </w:rPr>
        <w:t xml:space="preserve">خوانش این نتیجه‌گیری باید محتاطانه و غیرعلی بماند. طرح مقطعی، نمونه‌گیری غیرتصادفی و برازش ناکافی مدل کامل معادلات ساختاری، هر یک مرزی بر قطعیت تفسیر می‌نهند. همچنین باید میان نتیجه آماری و کاربرد بالینی تفکیک نهاد: معناداری یک مسیر در مدل، به معنای نیاز بالینی همه افراد با نمره بالا نیست و نمره پرسشنامه — هرقدر هم بالا — معادل تشخیص اختلال نیست. یافته‌ها در سطح گروه و احتمال سخن می‌گویند، نه در سطح فرد و قطعیت؛ و هرگونه کاربرد فردی آن‌ها باید با ارزیابی بالینی جامع همراه شود.</w:t>
      </w:r>
    </w:p>
    <w:p>
      <w:pPr>
        <w:bidi w:val="1"/>
        <w:spacing w:lineRule="exact" w:line="580" w:after="0"/>
        <w:jc w:val="both"/>
      </w:pPr>
      <w:r>
        <w:rPr>
          <w:rFonts w:ascii="B Nazanin" w:hAnsi="B Nazanin" w:cs="B Nazanin" w:hint="cs"/>
          <w:sz w:val="24"/>
          <w:szCs w:val="24"/>
          <w:rtl/>
          <w:lang w:bidi="fa-IR"/>
        </w:rPr>
        <w:t xml:space="preserve">در پایان، پژوهش حاضر گامی در جهت فهم روانشناختی رفتار معامله‌گران برداشت: نشان داد که اضطراب و طرحواره‌ها هر دو با رفتارهای مالی پرخطر مرتبط‌اند، که طرحواره‌ها بخشی از اثر اضطراب را منتقل می‌کنند، و که این انتقال از مسیر سبک‌های مقابله‌ای ناسازگار قابل تبیین است. این تصویر چارچوبی منسجم برای اندیشیدن درباره پیوند هیجان، شناخت و رفتار مالی پیشنهاد می‌کند؛ چارچوبی که اعتبار نهایی آن در گرو تکرار پژوهش با داده‌ها و نمونه‌های مستقل است.</w:t>
      </w:r>
    </w:p>
    <w:p>
      <w:pPr>
        <w:bidi w:val="1"/>
        <w:spacing w:lineRule="exact" w:line="580" w:after="0"/>
        <w:jc w:val="both"/>
      </w:pPr>
      <w:r>
        <w:rPr>
          <w:rFonts w:ascii="B Nazanin" w:hAnsi="B Nazanin" w:cs="B Nazanin" w:hint="cs"/>
          <w:sz w:val="24"/>
          <w:szCs w:val="24"/>
          <w:rtl/>
          <w:lang w:bidi="fa-IR"/>
        </w:rPr>
        <w:t xml:space="preserve">سهم پژوهش حاضر را می‌توان در سه نکته خلاصه کرد: نخست، آزمون هم‌زمان سه متغیر در یک مدل یکپارچه به‌جای روابط پراکنده دوتایی؛ دوم، نشان دادن این‌که ناهمسانی رفتار معامله‌گران می‌تواند ریشه در لایه شناختی میانی داشته باشد؛ و سوم، ترسیم مرزهای دقیق آنچه از این یافته‌ها می‌توان و نمی‌توان نتیجه گرفت. هر سه نکته، بیش از آن‌که پایان یک بحث باشند، آغاز بحث‌های بعدی‌اند.</w:t>
      </w:r>
    </w:p>
    <w:p>
      <w:pPr>
        <w:bidi w:val="1"/>
        <w:spacing w:lineRule="exact" w:line="580" w:after="0"/>
        <w:jc w:val="both"/>
      </w:pPr>
      <w:r>
        <w:rPr>
          <w:rFonts w:ascii="B Nazanin" w:hAnsi="B Nazanin" w:cs="B Nazanin" w:hint="cs"/>
          <w:sz w:val="24"/>
          <w:szCs w:val="24"/>
          <w:rtl/>
          <w:lang w:bidi="fa-IR"/>
        </w:rPr>
        <w:t xml:space="preserve">فصل پنجم با همین چشم‌انداز به پایان می‌رسد: یافته‌ها، الگویی معنادار و تبیین‌پذیر را نشان داده‌اند؛ محدودیت‌ها، مرزهای این الگو را مشخص کرده‌اند؛ و پیشنهادها، مسیر عبور از این مرزها را ترسیم نموده‌اند. داوری نهایی درباره پایداری این الگو بر عهده پژوهش‌های آتی است و هر گام بعدی، چه در جهت تأیید و چه در جهت اصلاح این الگو، به فهم عمیق‌تر رفتار مالی معامله‌گران کمک خواهد کرد.</w:t>
      </w:r>
    </w:p>
    <w:p>
      <w:pPr>
        <w:bidi w:val="1"/>
        <w:spacing w:lineRule="exact" w:line="580" w:before="240" w:after="180"/>
        <w:jc w:val="right"/>
      </w:pPr>
      <w:r>
        <w:rPr>
          <w:rFonts w:ascii="B Nazanin" w:hAnsi="B Nazanin" w:cs="B Nazanin" w:hint="cs"/>
          <w:b/>
          <w:bCs/>
          <w:sz w:val="28"/>
          <w:szCs w:val="28"/>
          <w:rtl/>
          <w:lang w:bidi="fa-IR"/>
        </w:rPr>
        <w:t xml:space="preserve">منابع</w:t>
      </w:r>
    </w:p>
    <w:p>
      <w:pPr>
        <w:bidi w:val="1"/>
        <w:spacing w:lineRule="exact" w:line="580" w:before="180" w:after="60"/>
        <w:jc w:val="right"/>
      </w:pPr>
      <w:r>
        <w:rPr>
          <w:rFonts w:ascii="B Nazanin" w:hAnsi="B Nazanin" w:cs="B Nazanin" w:hint="cs"/>
          <w:b/>
          <w:bCs/>
          <w:sz w:val="28"/>
          <w:szCs w:val="28"/>
          <w:rtl/>
          <w:lang w:bidi="fa-IR"/>
        </w:rPr>
        <w:t xml:space="preserve">الف) منابع فارسی</w:t>
      </w:r>
    </w:p>
    <w:p>
      <w:pPr>
        <w:bidi w:val="1"/>
        <w:spacing w:lineRule="exact" w:line="580" w:after="40"/>
        <w:jc w:val="right"/>
      </w:pPr>
      <w:r>
        <w:rPr>
          <w:rFonts w:ascii="B Nazanin" w:hAnsi="B Nazanin" w:cs="B Nazanin" w:hint="cs"/>
          <w:sz w:val="24"/>
          <w:szCs w:val="24"/>
          <w:rtl/>
          <w:lang w:bidi="fa-IR"/>
        </w:rPr>
        <w:t xml:space="preserve">امیدی، ع.، کدیور، پ.، و فرزاد، و. (۱۳۹۲). رابطه بین طرحواره‌های ناسازگار اولیه، سبک‌های فرزندپروری و سبک‌های هویت با گرایش به اعتیاد. اعتیاد پژوهی، ۷(۲۷)، ۹-۲۶.</w:t>
      </w:r>
    </w:p>
    <w:p>
      <w:pPr>
        <w:bidi w:val="1"/>
        <w:spacing w:lineRule="exact" w:line="580" w:after="40"/>
        <w:jc w:val="right"/>
      </w:pPr>
      <w:r>
        <w:rPr>
          <w:rFonts w:ascii="B Nazanin" w:hAnsi="B Nazanin" w:cs="B Nazanin" w:hint="cs"/>
          <w:sz w:val="24"/>
          <w:szCs w:val="24"/>
          <w:rtl/>
          <w:lang w:bidi="fa-IR"/>
        </w:rPr>
        <w:t xml:space="preserve">بهدیو، ع.، نمازی، م.، و خواجوی، ش. (۱۳۹۸). ارائه مدلی برای بررسی تأثیرات ترکیبی ریسک‌پذیری، ویژگی‌های فردی و فرهنگی بر بروز رفتار توده‌وار سرمایه‌گذاران در بورس اوراق بهادار تهران. پژوهش های حسابداری مالی و حسابرسی، ۱۱(۴۲)، ۱-۲۶.</w:t>
      </w:r>
    </w:p>
    <w:p>
      <w:pPr>
        <w:bidi w:val="1"/>
        <w:spacing w:lineRule="exact" w:line="580" w:after="40"/>
        <w:jc w:val="right"/>
      </w:pPr>
      <w:r>
        <w:rPr>
          <w:rFonts w:ascii="B Nazanin" w:hAnsi="B Nazanin" w:cs="B Nazanin" w:hint="cs"/>
          <w:sz w:val="24"/>
          <w:szCs w:val="24"/>
          <w:rtl/>
          <w:lang w:bidi="fa-IR"/>
        </w:rPr>
        <w:t xml:space="preserve">ستایش، م. ح.، کاظم‌پور، م.، و دلالی اصفهانی، ر. (۱۳۹۹). بررسی نقش منابع اطلاعاتی بر رابطه میان ویژگی‌های شخصیتی و رفتار معاملاتی سرمایه‌گذاران حقیقی در بورس اوراق بهادار تهران. مطالعات مدیریت مالی، ۸(۱۶)، ۲۹-۶۱.</w:t>
      </w:r>
    </w:p>
    <w:p>
      <w:pPr>
        <w:bidi w:val="1"/>
        <w:spacing w:lineRule="exact" w:line="580" w:after="40"/>
        <w:jc w:val="right"/>
      </w:pPr>
      <w:r>
        <w:rPr>
          <w:rFonts w:ascii="B Nazanin" w:hAnsi="B Nazanin" w:cs="B Nazanin" w:hint="cs"/>
          <w:sz w:val="24"/>
          <w:szCs w:val="24"/>
          <w:rtl/>
          <w:lang w:bidi="fa-IR"/>
        </w:rPr>
        <w:t xml:space="preserve">طالبی، محمد؛ یحیی‌زاده‌فر، محمود؛ و سعیدی، پرویز. (۱۳۹۸). اعتباریابی مقیاس تحمل ریسک مالی گرابل و لایتون در بورس اوراق بهادار تهران. فصلنامه علمی-پژوهشی دانش سرمایه‌گذاری، ۸(۳۱)، ۱۵۱-۱۶۸.</w:t>
      </w:r>
    </w:p>
    <w:p>
      <w:pPr>
        <w:bidi w:val="1"/>
        <w:spacing w:lineRule="exact" w:line="580" w:after="40"/>
        <w:jc w:val="right"/>
      </w:pPr>
      <w:r>
        <w:rPr>
          <w:rFonts w:ascii="B Nazanin" w:hAnsi="B Nazanin" w:cs="B Nazanin" w:hint="cs"/>
          <w:sz w:val="24"/>
          <w:szCs w:val="24"/>
          <w:rtl/>
          <w:lang w:bidi="fa-IR"/>
        </w:rPr>
        <w:t xml:space="preserve">فلاح، م.، و خدایی، ا. (۱۳۹۸). رابطه هوش هیجانی و سبک های تصمیم گیری با عملکرد سرمایه گذاری در بورس اوراق بهادار تهران. فصلنامه علمی پژوهشی دانش مالی تحلیل اوراق بهادار، ۱۲) ۴۲(، ۱-۱۶.</w:t>
      </w:r>
    </w:p>
    <w:p>
      <w:pPr>
        <w:bidi w:val="1"/>
        <w:spacing w:lineRule="exact" w:line="580" w:after="40"/>
        <w:jc w:val="right"/>
      </w:pPr>
      <w:r>
        <w:rPr>
          <w:rFonts w:ascii="B Nazanin" w:hAnsi="B Nazanin" w:cs="B Nazanin" w:hint="cs"/>
          <w:sz w:val="24"/>
          <w:szCs w:val="24"/>
          <w:rtl/>
          <w:lang w:bidi="fa-IR"/>
        </w:rPr>
        <w:t xml:space="preserve">فروغی، د.، و تهرانی، ر. (۱۳۹۷). نقش سواد مالی در تعدیل رابطه بین سوگیری های رفتاری و عملکرد سرمایه گذاری در بورس اوراق بهادار تهران. تحقیقات مالی، ۲۰) ۲(، ۱۸۹-۲۰۸.</w:t>
      </w:r>
    </w:p>
    <w:p>
      <w:pPr>
        <w:bidi w:val="1"/>
        <w:spacing w:lineRule="exact" w:line="580" w:after="40"/>
        <w:jc w:val="right"/>
      </w:pPr>
      <w:r>
        <w:rPr>
          <w:rFonts w:ascii="B Nazanin" w:hAnsi="B Nazanin" w:cs="B Nazanin" w:hint="cs"/>
          <w:sz w:val="24"/>
          <w:szCs w:val="24"/>
          <w:rtl/>
          <w:lang w:bidi="fa-IR"/>
        </w:rPr>
        <w:t xml:space="preserve">نوری، ر.، و هاشمیان، ک. (۱۳۹۶). رابطه بین طرحواره های ناسازگار اولیه و اضطراب اجتماعی در دانشجویان. مطالعات روانشناختی، ۱۳(۲)، ۱۴۱-۱۵۸.</w:t>
      </w:r>
    </w:p>
    <w:p>
      <w:pPr>
        <w:bidi w:val="1"/>
        <w:spacing w:lineRule="exact" w:line="580" w:before="180" w:after="60"/>
        <w:jc w:val="right"/>
      </w:pPr>
      <w:r>
        <w:rPr>
          <w:rFonts w:ascii="B Nazanin" w:hAnsi="B Nazanin" w:cs="B Nazanin" w:hint="cs"/>
          <w:b/>
          <w:bCs/>
          <w:sz w:val="28"/>
          <w:szCs w:val="28"/>
          <w:rtl/>
          <w:lang w:bidi="fa-IR"/>
        </w:rPr>
        <w:t xml:space="preserve">ب) منابع لاتین</w:t>
      </w:r>
    </w:p>
    <w:p>
      <w:pPr>
        <w:bidi w:val="0"/>
        <w:spacing w:lineRule="exact" w:line="580" w:after="40"/>
        <w:ind w:left="720" w:hanging="720"/>
        <w:jc w:val="left"/>
      </w:pPr>
      <w:r>
        <w:rPr>
          <w:rFonts w:ascii="Times New Roman" w:hAnsi="Times New Roman" w:cs="Times New Roman"/>
          <w:sz w:val="22"/>
          <w:szCs w:val="22"/>
          <w:lang w:val="en-US"/>
        </w:rPr>
        <w:t xml:space="preserve">An, H., Li, M., &amp; Wu, W. (2021). The impact of financial anxiety on individual investor's risky asset holdings: Evidence from China. Emerging Markets Finance and Trade, 57(11), 3217-3232.</w:t>
      </w:r>
    </w:p>
    <w:p>
      <w:pPr>
        <w:bidi w:val="0"/>
        <w:spacing w:lineRule="exact" w:line="580" w:after="40"/>
        <w:ind w:left="720" w:hanging="720"/>
        <w:jc w:val="left"/>
      </w:pPr>
      <w:r>
        <w:rPr>
          <w:rFonts w:ascii="Times New Roman" w:hAnsi="Times New Roman" w:cs="Times New Roman"/>
          <w:sz w:val="22"/>
          <w:szCs w:val="22"/>
          <w:lang w:val="en-US"/>
        </w:rPr>
        <w:t xml:space="preserve">Arena, M., Sbai, E., &amp; Soriya, S. (2022). Personality traits and behaviour biases: The moderating role of risk-tolerance. Frontiers in Psychology, 13, 949638.</w:t>
      </w:r>
    </w:p>
    <w:p>
      <w:pPr>
        <w:bidi w:val="0"/>
        <w:spacing w:lineRule="exact" w:line="580" w:after="40"/>
        <w:ind w:left="720" w:hanging="720"/>
        <w:jc w:val="left"/>
      </w:pPr>
      <w:r>
        <w:rPr>
          <w:rFonts w:ascii="Times New Roman" w:hAnsi="Times New Roman" w:cs="Times New Roman"/>
          <w:sz w:val="22"/>
          <w:szCs w:val="22"/>
          <w:lang w:val="en-US"/>
        </w:rPr>
        <w:t xml:space="preserve">Arntz, A., &amp; Jacob, G. (2012). Schema therapy in practice: An introductory guide to the schema mode approach. John Wiley &amp; Sons.</w:t>
      </w:r>
    </w:p>
    <w:p>
      <w:pPr>
        <w:bidi w:val="0"/>
        <w:spacing w:lineRule="exact" w:line="580" w:after="40"/>
        <w:ind w:left="720" w:hanging="720"/>
        <w:jc w:val="left"/>
      </w:pPr>
      <w:r>
        <w:rPr>
          <w:rFonts w:ascii="Times New Roman" w:hAnsi="Times New Roman" w:cs="Times New Roman"/>
          <w:sz w:val="22"/>
          <w:szCs w:val="22"/>
          <w:lang w:val="en-US"/>
        </w:rPr>
        <w:t xml:space="preserve">Auer, B. R., &amp; Schuhmacher, F. (2023). FOMO and the dark side of social trading. Finance Research Letters, 54, 103759.</w:t>
      </w:r>
    </w:p>
    <w:p>
      <w:pPr>
        <w:bidi w:val="0"/>
        <w:spacing w:lineRule="exact" w:line="580" w:after="40"/>
        <w:ind w:left="720" w:hanging="720"/>
        <w:jc w:val="left"/>
      </w:pPr>
      <w:r>
        <w:rPr>
          <w:rFonts w:ascii="Times New Roman" w:hAnsi="Times New Roman" w:cs="Times New Roman"/>
          <w:sz w:val="22"/>
          <w:szCs w:val="22"/>
          <w:lang w:val="en-US"/>
        </w:rPr>
        <w:t xml:space="preserve">Baker, H. K., &amp; Nofsinger, J. R. (Eds.). (2010). Behavioral finance: Investors, corporations, and markets. John Wiley &amp; Sons.</w:t>
      </w:r>
    </w:p>
    <w:p>
      <w:pPr>
        <w:bidi w:val="0"/>
        <w:spacing w:lineRule="exact" w:line="580" w:after="40"/>
        <w:ind w:left="720" w:hanging="720"/>
        <w:jc w:val="left"/>
      </w:pPr>
      <w:r>
        <w:rPr>
          <w:rFonts w:ascii="Times New Roman" w:hAnsi="Times New Roman" w:cs="Times New Roman"/>
          <w:sz w:val="22"/>
          <w:szCs w:val="22"/>
          <w:lang w:val="en-US"/>
        </w:rPr>
        <w:t xml:space="preserve">Barber, B. M., &amp; Odean, T. (2000). Trading is hazardous to your wealth: The common stock investment performance of individual investors. The Journal of Finance, 55(2), 773-806.</w:t>
      </w:r>
    </w:p>
    <w:p>
      <w:pPr>
        <w:bidi w:val="0"/>
        <w:spacing w:lineRule="exact" w:line="580" w:after="40"/>
        <w:ind w:left="720" w:hanging="720"/>
        <w:jc w:val="left"/>
      </w:pPr>
      <w:r>
        <w:rPr>
          <w:rFonts w:ascii="Times New Roman" w:hAnsi="Times New Roman" w:cs="Times New Roman"/>
          <w:sz w:val="22"/>
          <w:szCs w:val="22"/>
          <w:lang w:val="en-US"/>
        </w:rPr>
        <w:t xml:space="preserve">Beck, A. T. (1976). Cognitive therapy and the emotional disorders. International Universities Press.</w:t>
      </w:r>
    </w:p>
    <w:p>
      <w:pPr>
        <w:bidi w:val="0"/>
        <w:spacing w:lineRule="exact" w:line="580" w:after="40"/>
        <w:ind w:left="720" w:hanging="720"/>
        <w:jc w:val="left"/>
      </w:pPr>
      <w:r>
        <w:rPr>
          <w:rFonts w:ascii="Times New Roman" w:hAnsi="Times New Roman" w:cs="Times New Roman"/>
          <w:sz w:val="22"/>
          <w:szCs w:val="22"/>
          <w:lang w:val="en-US"/>
        </w:rPr>
        <w:t xml:space="preserve">Beck, A. T., &amp; Clark, D. A. (1997). An information processing model of anxiety: Automatic and strategic processes. Behaviour Research and Therapy, 35(1), 49–58. https://doi.org/10.1016/s0005-7967(96)00069-1</w:t>
      </w:r>
    </w:p>
    <w:p>
      <w:pPr>
        <w:bidi w:val="0"/>
        <w:spacing w:lineRule="exact" w:line="580" w:after="40"/>
        <w:ind w:left="720" w:hanging="720"/>
        <w:jc w:val="left"/>
      </w:pPr>
      <w:r>
        <w:rPr>
          <w:rFonts w:ascii="Times New Roman" w:hAnsi="Times New Roman" w:cs="Times New Roman"/>
          <w:sz w:val="22"/>
          <w:szCs w:val="22"/>
          <w:lang w:val="en-US"/>
        </w:rPr>
        <w:t xml:space="preserve">Charles, V., &amp; Kasilingam, R. (2022). The role of anxiety in financial decisions. Review of Behavioral Finance, 14(5), 720-735.</w:t>
      </w:r>
    </w:p>
    <w:p>
      <w:pPr>
        <w:bidi w:val="0"/>
        <w:spacing w:lineRule="exact" w:line="580" w:after="40"/>
        <w:ind w:left="720" w:hanging="720"/>
        <w:jc w:val="left"/>
      </w:pPr>
      <w:r>
        <w:rPr>
          <w:rFonts w:ascii="Times New Roman" w:hAnsi="Times New Roman" w:cs="Times New Roman"/>
          <w:sz w:val="22"/>
          <w:szCs w:val="22"/>
          <w:lang w:val="en-US"/>
        </w:rPr>
        <w:t xml:space="preserve">Dhingra, J., &amp; Aggarwal, N. (2025). Exploring Trait Anxiety as a Psychological Construct: Impacts of Gender, Educational Attainment and Financial Training. Indian Journal of Positive Psychology, 16(1), 45-58.</w:t>
      </w:r>
    </w:p>
    <w:p>
      <w:pPr>
        <w:bidi w:val="0"/>
        <w:spacing w:lineRule="exact" w:line="580" w:after="40"/>
        <w:ind w:left="720" w:hanging="720"/>
        <w:jc w:val="left"/>
      </w:pPr>
      <w:r>
        <w:rPr>
          <w:rFonts w:ascii="Times New Roman" w:hAnsi="Times New Roman" w:cs="Times New Roman"/>
          <w:sz w:val="22"/>
          <w:szCs w:val="22"/>
          <w:lang w:val="en-US"/>
        </w:rPr>
        <w:t xml:space="preserve">Estévez, A., et al. (2024). Association between gambling motives, violence and early maladaptive schemas in women with gambling disorder. Journal of Gambling Studies. https://doi.org/10.1007/s10899-024-10285-8</w:t>
      </w:r>
    </w:p>
    <w:p>
      <w:pPr>
        <w:bidi w:val="0"/>
        <w:spacing w:lineRule="exact" w:line="580" w:after="40"/>
        <w:ind w:left="720" w:hanging="720"/>
        <w:jc w:val="left"/>
      </w:pPr>
      <w:r>
        <w:rPr>
          <w:rFonts w:ascii="Times New Roman" w:hAnsi="Times New Roman" w:cs="Times New Roman"/>
          <w:sz w:val="22"/>
          <w:szCs w:val="22"/>
          <w:lang w:val="en-US"/>
        </w:rPr>
        <w:t xml:space="preserve">Eysenck, M. W., Derakshan, N., Santos, R., &amp; Calvo, M. G. (2007). Anxiety and cognitive performance: attentional control theory. Emotion, 7(2), 336–353.</w:t>
      </w:r>
    </w:p>
    <w:p>
      <w:pPr>
        <w:bidi w:val="0"/>
        <w:spacing w:lineRule="exact" w:line="580" w:after="40"/>
        <w:ind w:left="720" w:hanging="720"/>
        <w:jc w:val="left"/>
      </w:pPr>
      <w:r>
        <w:rPr>
          <w:rFonts w:ascii="Times New Roman" w:hAnsi="Times New Roman" w:cs="Times New Roman"/>
          <w:sz w:val="22"/>
          <w:szCs w:val="22"/>
          <w:lang w:val="en-US"/>
        </w:rPr>
        <w:t xml:space="preserve">Fenton-O'Creevy, M., Soane, E., Nicholson, N., &amp; Willman, P. (2011). Thinking, feeling and deciding: The influence of emotions on the decision making and performance of traders. Journal of Organizational Behavior, 32(8), 1044-1061. https://doi.org/10.1002/job.720</w:t>
      </w:r>
    </w:p>
    <w:p>
      <w:pPr>
        <w:bidi w:val="0"/>
        <w:spacing w:lineRule="exact" w:line="580" w:after="40"/>
        <w:ind w:left="720" w:hanging="720"/>
        <w:jc w:val="left"/>
      </w:pPr>
      <w:r>
        <w:rPr>
          <w:rFonts w:ascii="Times New Roman" w:hAnsi="Times New Roman" w:cs="Times New Roman"/>
          <w:sz w:val="22"/>
          <w:szCs w:val="22"/>
          <w:lang w:val="en-US"/>
        </w:rPr>
        <w:t xml:space="preserve">Fenton-O’Creevy, M., et al. (2012) Emotion regulation and trader expertise: Heart rate variability on the trading floor. Journal of Neuroscience, Psychology, and Economics, 5 (4), 227–237</w:t>
      </w:r>
    </w:p>
    <w:p>
      <w:pPr>
        <w:bidi w:val="0"/>
        <w:spacing w:lineRule="exact" w:line="580" w:after="40"/>
        <w:ind w:left="720" w:hanging="720"/>
        <w:jc w:val="left"/>
      </w:pPr>
      <w:r>
        <w:rPr>
          <w:rFonts w:ascii="Times New Roman" w:hAnsi="Times New Roman" w:cs="Times New Roman"/>
          <w:sz w:val="22"/>
          <w:szCs w:val="22"/>
          <w:lang w:val="en-US"/>
        </w:rPr>
        <w:t xml:space="preserve">Gambetti, E., &amp; Giusberti, F. (2012). The effect of anger and anxiety on investment decisions. Journal of Economic Psychology, 33 (5), 1059–1069</w:t>
      </w:r>
    </w:p>
    <w:p>
      <w:pPr>
        <w:bidi w:val="0"/>
        <w:spacing w:lineRule="exact" w:line="580" w:after="40"/>
        <w:ind w:left="720" w:hanging="720"/>
        <w:jc w:val="left"/>
      </w:pPr>
      <w:r>
        <w:rPr>
          <w:rFonts w:ascii="Times New Roman" w:hAnsi="Times New Roman" w:cs="Times New Roman"/>
          <w:sz w:val="22"/>
          <w:szCs w:val="22"/>
          <w:lang w:val="en-US"/>
        </w:rPr>
        <w:t xml:space="preserve">Grable, J. E. (2017). Financial risk tolerance: A psychometric review. Financial Services Review, 26(2), 1-18.</w:t>
      </w:r>
    </w:p>
    <w:p>
      <w:pPr>
        <w:bidi w:val="0"/>
        <w:spacing w:lineRule="exact" w:line="580" w:after="40"/>
        <w:ind w:left="720" w:hanging="720"/>
        <w:jc w:val="left"/>
      </w:pPr>
      <w:r>
        <w:rPr>
          <w:rFonts w:ascii="Times New Roman" w:hAnsi="Times New Roman" w:cs="Times New Roman"/>
          <w:sz w:val="22"/>
          <w:szCs w:val="22"/>
          <w:lang w:val="en-US"/>
        </w:rPr>
        <w:t xml:space="preserve">Grable, J. E., &amp; Lytton, R. H. (1999). Financial risk tolerance revisited: The development of a risk assessment instrument. Financial Services Review, 8(3), 163-181.</w:t>
      </w:r>
    </w:p>
    <w:p>
      <w:pPr>
        <w:bidi w:val="0"/>
        <w:spacing w:lineRule="exact" w:line="580" w:after="40"/>
        <w:ind w:left="720" w:hanging="720"/>
        <w:jc w:val="left"/>
      </w:pPr>
      <w:r>
        <w:rPr>
          <w:rFonts w:ascii="Times New Roman" w:hAnsi="Times New Roman" w:cs="Times New Roman"/>
          <w:sz w:val="22"/>
          <w:szCs w:val="22"/>
          <w:lang w:val="en-US"/>
        </w:rPr>
        <w:t xml:space="preserve">Grall-Bronnec, M., et al. (2025). Development and validation of the Trading Disorder Scale for assessing problematic trading behaviors. Journal of Behavioral Addictions, 14(1), 112-128.</w:t>
      </w:r>
    </w:p>
    <w:p>
      <w:pPr>
        <w:bidi w:val="0"/>
        <w:spacing w:lineRule="exact" w:line="580" w:after="40"/>
        <w:ind w:left="720" w:hanging="720"/>
        <w:jc w:val="left"/>
      </w:pPr>
      <w:r>
        <w:rPr>
          <w:rFonts w:ascii="Times New Roman" w:hAnsi="Times New Roman" w:cs="Times New Roman"/>
          <w:sz w:val="22"/>
          <w:szCs w:val="22"/>
          <w:lang w:val="en-US"/>
        </w:rPr>
        <w:t xml:space="preserve">Halvorsen, M., Wang, C. E., Richter, J., Myrland, I., Pedersen, S. K., Eisemann, M., &amp; Waterloo, K. (2009). Early maladaptive schemas, temperament and character traits in clinically depressed and previously depressed subjects. Clinical Psychology &amp; Psychotherapy, 16(5), 394-407. https://doi.org/10.1002/cpp.618</w:t>
      </w:r>
    </w:p>
    <w:p>
      <w:pPr>
        <w:bidi w:val="0"/>
        <w:spacing w:lineRule="exact" w:line="580" w:after="40"/>
        <w:ind w:left="720" w:hanging="720"/>
        <w:jc w:val="left"/>
      </w:pPr>
      <w:r>
        <w:rPr>
          <w:rFonts w:ascii="Times New Roman" w:hAnsi="Times New Roman" w:cs="Times New Roman"/>
          <w:sz w:val="22"/>
          <w:szCs w:val="22"/>
          <w:lang w:val="en-US"/>
        </w:rPr>
        <w:t xml:space="preserve">Hartley, C. A., &amp; Phelps, E. A. (2012). Anxiety and decision-making. Biological Psychiatry, 72 (2), 113–118</w:t>
      </w:r>
    </w:p>
    <w:p>
      <w:pPr>
        <w:bidi w:val="0"/>
        <w:spacing w:lineRule="exact" w:line="580" w:after="40"/>
        <w:ind w:left="720" w:hanging="720"/>
        <w:jc w:val="left"/>
      </w:pPr>
      <w:r>
        <w:rPr>
          <w:rFonts w:ascii="Times New Roman" w:hAnsi="Times New Roman" w:cs="Times New Roman"/>
          <w:sz w:val="22"/>
          <w:szCs w:val="22"/>
          <w:lang w:val="en-US"/>
        </w:rPr>
        <w:t xml:space="preserve">Hayes, A. F. (2018). Introduction to mediation, moderation, and conditional process analysis: A regression-based approach (2nd ed.). Guilford Press.</w:t>
      </w:r>
    </w:p>
    <w:p>
      <w:pPr>
        <w:bidi w:val="0"/>
        <w:spacing w:lineRule="exact" w:line="580" w:after="40"/>
        <w:ind w:left="720" w:hanging="720"/>
        <w:jc w:val="left"/>
      </w:pPr>
      <w:r>
        <w:rPr>
          <w:rFonts w:ascii="Times New Roman" w:hAnsi="Times New Roman" w:cs="Times New Roman"/>
          <w:sz w:val="22"/>
          <w:szCs w:val="22"/>
          <w:lang w:val="en-US"/>
        </w:rPr>
        <w:t xml:space="preserve">Hwang, S., &amp; Salmon, M. (2004). Market stress and herding. Journal of Empirical Finance, 11(4), 585-616.</w:t>
      </w:r>
    </w:p>
    <w:p>
      <w:pPr>
        <w:bidi w:val="0"/>
        <w:spacing w:lineRule="exact" w:line="580" w:after="40"/>
        <w:ind w:left="720" w:hanging="720"/>
        <w:jc w:val="left"/>
      </w:pPr>
      <w:r>
        <w:rPr>
          <w:rFonts w:ascii="Times New Roman" w:hAnsi="Times New Roman" w:cs="Times New Roman"/>
          <w:sz w:val="22"/>
          <w:szCs w:val="22"/>
          <w:lang w:val="en-US"/>
        </w:rPr>
        <w:t xml:space="preserve">Kahneman, D., &amp; Tversky, A. (1979). Prospect theory: An analysis of decision under risk. Econometrica, 47(2), 263-291.</w:t>
      </w:r>
    </w:p>
    <w:p>
      <w:pPr>
        <w:bidi w:val="0"/>
        <w:spacing w:lineRule="exact" w:line="580" w:after="40"/>
        <w:ind w:left="720" w:hanging="720"/>
        <w:jc w:val="left"/>
      </w:pPr>
      <w:r>
        <w:rPr>
          <w:rFonts w:ascii="Times New Roman" w:hAnsi="Times New Roman" w:cs="Times New Roman"/>
          <w:sz w:val="22"/>
          <w:szCs w:val="22"/>
          <w:lang w:val="en-US"/>
        </w:rPr>
        <w:t xml:space="preserve">Kline, R. B. (2016). Principles and practice of structural equation modeling (4th ed.). Guilford Press.</w:t>
      </w:r>
    </w:p>
    <w:p>
      <w:pPr>
        <w:bidi w:val="0"/>
        <w:spacing w:lineRule="exact" w:line="580" w:after="40"/>
        <w:ind w:left="720" w:hanging="720"/>
        <w:jc w:val="left"/>
      </w:pPr>
      <w:r>
        <w:rPr>
          <w:rFonts w:ascii="Times New Roman" w:hAnsi="Times New Roman" w:cs="Times New Roman"/>
          <w:sz w:val="22"/>
          <w:szCs w:val="22"/>
          <w:lang w:val="en-US"/>
        </w:rPr>
        <w:t xml:space="preserve">Lauriola, M., &amp; Levin, I. P. (2001). Personality traits and risky decision-making in a controlled experimental task: An exploratory study. Personality and Individual Differences, 31(2), 215-226.</w:t>
      </w:r>
    </w:p>
    <w:p>
      <w:pPr>
        <w:bidi w:val="0"/>
        <w:spacing w:lineRule="exact" w:line="580" w:after="40"/>
        <w:ind w:left="720" w:hanging="720"/>
        <w:jc w:val="left"/>
      </w:pPr>
      <w:r>
        <w:rPr>
          <w:rFonts w:ascii="Times New Roman" w:hAnsi="Times New Roman" w:cs="Times New Roman"/>
          <w:sz w:val="22"/>
          <w:szCs w:val="22"/>
          <w:lang w:val="en-US"/>
        </w:rPr>
        <w:t xml:space="preserve">Lindberg, N., et al. (2011). Early maladaptive schemas in pathological gambling. Journal of Gambling Studies, 27(2), 277-287.</w:t>
      </w:r>
    </w:p>
    <w:p>
      <w:pPr>
        <w:bidi w:val="0"/>
        <w:spacing w:lineRule="exact" w:line="580" w:after="40"/>
        <w:ind w:left="720" w:hanging="720"/>
        <w:jc w:val="left"/>
      </w:pPr>
      <w:r>
        <w:rPr>
          <w:rFonts w:ascii="Times New Roman" w:hAnsi="Times New Roman" w:cs="Times New Roman"/>
          <w:sz w:val="22"/>
          <w:szCs w:val="22"/>
          <w:lang w:val="en-US"/>
        </w:rPr>
        <w:t xml:space="preserve">Lo, A. W., &amp; Repin, D. V. (2002). The psychophysiology of real-time financial risk processing. Journal of Cognitive Neuroscience, 14(3), 323-339.</w:t>
      </w:r>
    </w:p>
    <w:p>
      <w:pPr>
        <w:bidi w:val="0"/>
        <w:spacing w:lineRule="exact" w:line="580" w:after="40"/>
        <w:ind w:left="720" w:hanging="720"/>
        <w:jc w:val="left"/>
      </w:pPr>
      <w:r>
        <w:rPr>
          <w:rFonts w:ascii="Times New Roman" w:hAnsi="Times New Roman" w:cs="Times New Roman"/>
          <w:sz w:val="22"/>
          <w:szCs w:val="22"/>
          <w:lang w:val="en-US"/>
        </w:rPr>
        <w:t xml:space="preserve">Lo, A. W., Repin, D. V., &amp; Steenbarger, B. N. (2005). Fear and Greed in Financial Markets: A Clinical Study of Day-Traders. American Economic Review, 95 (2), 352–359.</w:t>
      </w:r>
    </w:p>
    <w:p>
      <w:pPr>
        <w:bidi w:val="0"/>
        <w:spacing w:lineRule="exact" w:line="580" w:after="40"/>
        <w:ind w:left="720" w:hanging="720"/>
        <w:jc w:val="left"/>
      </w:pPr>
      <w:r>
        <w:rPr>
          <w:rFonts w:ascii="Times New Roman" w:hAnsi="Times New Roman" w:cs="Times New Roman"/>
          <w:sz w:val="22"/>
          <w:szCs w:val="22"/>
          <w:lang w:val="en-US"/>
        </w:rPr>
        <w:t xml:space="preserve">Mahato, S., et al. (2025). Millennials and zoomers as investors: Behavioral factors shaping financial choices. All Finance Journal, 3(2), 15-29.</w:t>
      </w:r>
    </w:p>
    <w:p>
      <w:pPr>
        <w:bidi w:val="0"/>
        <w:spacing w:lineRule="exact" w:line="580" w:after="40"/>
        <w:ind w:left="720" w:hanging="720"/>
        <w:jc w:val="left"/>
      </w:pPr>
      <w:r>
        <w:rPr>
          <w:rFonts w:ascii="Times New Roman" w:hAnsi="Times New Roman" w:cs="Times New Roman"/>
          <w:sz w:val="22"/>
          <w:szCs w:val="22"/>
          <w:lang w:val="en-US"/>
        </w:rPr>
        <w:t xml:space="preserve">Maner, J. K., &amp; Schmidt, N. B. (2006). The role of risk avoidance in anxiety. Behavior Therapy, 37 (3), 290–305.</w:t>
      </w:r>
    </w:p>
    <w:p>
      <w:pPr>
        <w:bidi w:val="0"/>
        <w:spacing w:lineRule="exact" w:line="580" w:after="40"/>
        <w:ind w:left="720" w:hanging="720"/>
        <w:jc w:val="left"/>
      </w:pPr>
      <w:r>
        <w:rPr>
          <w:rFonts w:ascii="Times New Roman" w:hAnsi="Times New Roman" w:cs="Times New Roman"/>
          <w:sz w:val="22"/>
          <w:szCs w:val="22"/>
          <w:lang w:val="en-US"/>
        </w:rPr>
        <w:t xml:space="preserve">Mitte, K. (2007). Anxiety and risky decision-making: The role of cognitive processing. Psychological Review, 114 (4), 893-912.</w:t>
      </w:r>
    </w:p>
    <w:p>
      <w:pPr>
        <w:bidi w:val="0"/>
        <w:spacing w:lineRule="exact" w:line="580" w:after="40"/>
        <w:ind w:left="720" w:hanging="720"/>
        <w:jc w:val="left"/>
      </w:pPr>
      <w:r>
        <w:rPr>
          <w:rFonts w:ascii="Times New Roman" w:hAnsi="Times New Roman" w:cs="Times New Roman"/>
          <w:sz w:val="22"/>
          <w:szCs w:val="22"/>
          <w:lang w:val="en-US"/>
        </w:rPr>
        <w:t xml:space="preserve">Nguyen, M. T. T., Nguyen, L. H., &amp; Ho, T. H. (2019). Personality traits and stock investment of individuals. Sustainability, 11(19), 5474.</w:t>
      </w:r>
    </w:p>
    <w:p>
      <w:pPr>
        <w:bidi w:val="0"/>
        <w:spacing w:lineRule="exact" w:line="580" w:after="40"/>
        <w:ind w:left="720" w:hanging="720"/>
        <w:jc w:val="left"/>
      </w:pPr>
      <w:r>
        <w:rPr>
          <w:rFonts w:ascii="Times New Roman" w:hAnsi="Times New Roman" w:cs="Times New Roman"/>
          <w:sz w:val="22"/>
          <w:szCs w:val="22"/>
          <w:lang w:val="en-US"/>
        </w:rPr>
        <w:t xml:space="preserve">OECD. (2021). Retail investors in capital markets: Key findings and main messages. OECD Publishing.</w:t>
      </w:r>
    </w:p>
    <w:p>
      <w:pPr>
        <w:bidi w:val="0"/>
        <w:spacing w:lineRule="exact" w:line="580" w:after="40"/>
        <w:ind w:left="720" w:hanging="720"/>
        <w:jc w:val="left"/>
      </w:pPr>
      <w:r>
        <w:rPr>
          <w:rFonts w:ascii="Times New Roman" w:hAnsi="Times New Roman" w:cs="Times New Roman"/>
          <w:sz w:val="22"/>
          <w:szCs w:val="22"/>
          <w:lang w:val="en-US"/>
        </w:rPr>
        <w:t xml:space="preserve">Ololo, K., et al. (2024). Rational Emotive and Cognitive Behavior Coaching Intervention for Promoting College Students’ Financial Risk Tolerance. Journal of Rational-Emotive &amp; Cognitive-Behavior Therapy, 42, 398-418.</w:t>
      </w:r>
    </w:p>
    <w:p>
      <w:pPr>
        <w:bidi w:val="0"/>
        <w:spacing w:lineRule="exact" w:line="580" w:after="40"/>
        <w:ind w:left="720" w:hanging="720"/>
        <w:jc w:val="left"/>
      </w:pPr>
      <w:r>
        <w:rPr>
          <w:rFonts w:ascii="Times New Roman" w:hAnsi="Times New Roman" w:cs="Times New Roman"/>
          <w:sz w:val="22"/>
          <w:szCs w:val="22"/>
          <w:lang w:val="en-US"/>
        </w:rPr>
        <w:t xml:space="preserve">Pak, O., &amp; Mahmood, M. (2019). Personality traits and investor profile analysis: A behavioral finance study. PLoS ONE, 14(3), e0213626.</w:t>
      </w:r>
    </w:p>
    <w:p>
      <w:pPr>
        <w:bidi w:val="0"/>
        <w:spacing w:lineRule="exact" w:line="580" w:after="40"/>
        <w:ind w:left="720" w:hanging="720"/>
        <w:jc w:val="left"/>
      </w:pPr>
      <w:r>
        <w:rPr>
          <w:rFonts w:ascii="Times New Roman" w:hAnsi="Times New Roman" w:cs="Times New Roman"/>
          <w:sz w:val="22"/>
          <w:szCs w:val="22"/>
          <w:lang w:val="en-US"/>
        </w:rPr>
        <w:t xml:space="preserve">Rehm, I. C., et al. (2015). Neuroticism and its facets in relation to early maladaptive schemas. Journal of Affective Disorders, 172, 424-431.</w:t>
      </w:r>
    </w:p>
    <w:p>
      <w:pPr>
        <w:bidi w:val="0"/>
        <w:spacing w:lineRule="exact" w:line="580" w:after="40"/>
        <w:ind w:left="720" w:hanging="720"/>
        <w:jc w:val="left"/>
      </w:pPr>
      <w:r>
        <w:rPr>
          <w:rFonts w:ascii="Times New Roman" w:hAnsi="Times New Roman" w:cs="Times New Roman"/>
          <w:sz w:val="22"/>
          <w:szCs w:val="22"/>
          <w:lang w:val="en-US"/>
        </w:rPr>
        <w:t xml:space="preserve">Safitri, H., Giriati, G., &amp; Wendy, W. (2025). Socio-Psychological Effect in Investment Decision-Making Mediated by Risk Tolerance. Journal of Information Systems Engineering and Management, 10(1), 22015.</w:t>
      </w:r>
    </w:p>
    <w:p>
      <w:pPr>
        <w:bidi w:val="0"/>
        <w:spacing w:lineRule="exact" w:line="580" w:after="40"/>
        <w:ind w:left="720" w:hanging="720"/>
        <w:jc w:val="left"/>
      </w:pPr>
      <w:r>
        <w:rPr>
          <w:rFonts w:ascii="Times New Roman" w:hAnsi="Times New Roman" w:cs="Times New Roman"/>
          <w:sz w:val="22"/>
          <w:szCs w:val="22"/>
          <w:lang w:val="en-US"/>
        </w:rPr>
        <w:t xml:space="preserve">Sedighi Arfaee, F., Navabi Semiromi, M. J., &amp; Karami, A. A. (2023). The effect of early maladaptive schemas on tendency to risky behaviors with the mediating role of emotion regulation in male secondary school students. Knowledge &amp; Research in Applied Psychology. https://sanad.iau.ir/journal/jsrp</w:t>
      </w:r>
    </w:p>
    <w:p>
      <w:pPr>
        <w:bidi w:val="0"/>
        <w:spacing w:lineRule="exact" w:line="580" w:after="40"/>
        <w:ind w:left="720" w:hanging="720"/>
        <w:jc w:val="left"/>
      </w:pPr>
      <w:r>
        <w:rPr>
          <w:rFonts w:ascii="Times New Roman" w:hAnsi="Times New Roman" w:cs="Times New Roman"/>
          <w:sz w:val="22"/>
          <w:szCs w:val="22"/>
          <w:lang w:val="en-US"/>
        </w:rPr>
        <w:t xml:space="preserve">Shefrin, H., &amp; Statman, M. (1985). The disposition to sell winners too early and ride losers too long: Theory and evidence. The Journal of Finance, 40(3), 777-790.</w:t>
      </w:r>
    </w:p>
    <w:p>
      <w:pPr>
        <w:bidi w:val="0"/>
        <w:spacing w:lineRule="exact" w:line="580" w:after="40"/>
        <w:ind w:left="720" w:hanging="720"/>
        <w:jc w:val="left"/>
      </w:pPr>
      <w:r>
        <w:rPr>
          <w:rFonts w:ascii="Times New Roman" w:hAnsi="Times New Roman" w:cs="Times New Roman"/>
          <w:sz w:val="22"/>
          <w:szCs w:val="22"/>
          <w:lang w:val="en-US"/>
        </w:rPr>
        <w:t xml:space="preserve">Shorey, R. C., et al. (2012). Gambling and early maladaptive schemas in a treatment seeking sample of male alcohol users: A preliminary investigation. Addictive Disorders &amp; Their Treatment, 11(4), 173-182. https://doi.org/10.1097/adt.0b013e31823eda8f</w:t>
      </w:r>
    </w:p>
    <w:p>
      <w:pPr>
        <w:bidi w:val="0"/>
        <w:spacing w:lineRule="exact" w:line="580" w:after="40"/>
        <w:ind w:left="720" w:hanging="720"/>
        <w:jc w:val="left"/>
      </w:pPr>
      <w:r>
        <w:rPr>
          <w:rFonts w:ascii="Times New Roman" w:hAnsi="Times New Roman" w:cs="Times New Roman"/>
          <w:sz w:val="22"/>
          <w:szCs w:val="22"/>
          <w:lang w:val="en-US"/>
        </w:rPr>
        <w:t xml:space="preserve">Spielberger, C. D. (1983). Manual for the State-Trait Anxiety Inventory. Consulting Psychologists Press.</w:t>
      </w:r>
    </w:p>
    <w:p>
      <w:pPr>
        <w:bidi w:val="0"/>
        <w:spacing w:lineRule="exact" w:line="580" w:after="40"/>
        <w:ind w:left="720" w:hanging="720"/>
        <w:jc w:val="left"/>
      </w:pPr>
      <w:r>
        <w:rPr>
          <w:rFonts w:ascii="Times New Roman" w:hAnsi="Times New Roman" w:cs="Times New Roman"/>
          <w:sz w:val="22"/>
          <w:szCs w:val="22"/>
          <w:lang w:val="en-US"/>
        </w:rPr>
        <w:t xml:space="preserve">Thaler, R. H. (2016). Behavioral finance: Past, present, and future. American Economic Review, 106(7), 1577-1600.</w:t>
      </w:r>
    </w:p>
    <w:p>
      <w:pPr>
        <w:bidi w:val="0"/>
        <w:spacing w:lineRule="exact" w:line="580" w:after="40"/>
        <w:ind w:left="720" w:hanging="720"/>
        <w:jc w:val="left"/>
      </w:pPr>
      <w:r>
        <w:rPr>
          <w:rFonts w:ascii="Times New Roman" w:hAnsi="Times New Roman" w:cs="Times New Roman"/>
          <w:sz w:val="22"/>
          <w:szCs w:val="22"/>
          <w:lang w:val="en-US"/>
        </w:rPr>
        <w:t xml:space="preserve">Vieira, C., Kuss, D. J., &amp; Griffiths, M. D. (2023). Early maladaptive schemas and behavioural addictions: A systematic literature review. Clinical Psychology Review, 105, 102340. https://doi.org/10.1016/j.cpr.2023.102340</w:t>
      </w:r>
    </w:p>
    <w:p>
      <w:pPr>
        <w:bidi w:val="0"/>
        <w:spacing w:lineRule="exact" w:line="580" w:after="40"/>
        <w:ind w:left="720" w:hanging="720"/>
        <w:jc w:val="left"/>
      </w:pPr>
      <w:r>
        <w:rPr>
          <w:rFonts w:ascii="Times New Roman" w:hAnsi="Times New Roman" w:cs="Times New Roman"/>
          <w:sz w:val="22"/>
          <w:szCs w:val="22"/>
          <w:lang w:val="en-US"/>
        </w:rPr>
        <w:t xml:space="preserve">Young, J. E., Klosko, J. S., &amp; Weishaar, M. E. (2003). Schema Therapy: A Practitioner's Guide. Guilford Press.</w:t>
      </w:r>
    </w:p>
    <w:p>
      <w:pPr>
        <w:bidi w:val="0"/>
        <w:spacing w:lineRule="exact" w:line="580" w:after="40"/>
        <w:ind w:left="720" w:hanging="720"/>
        <w:jc w:val="left"/>
      </w:pPr>
      <w:r>
        <w:rPr>
          <w:rFonts w:ascii="Times New Roman" w:hAnsi="Times New Roman" w:cs="Times New Roman"/>
          <w:sz w:val="22"/>
          <w:szCs w:val="22"/>
          <w:lang w:val="en-US"/>
        </w:rPr>
        <w:t xml:space="preserve">Zuckerman, M. (1999). Vulnerability to psychopathology: A biosocial model. American Psychological Association.</w:t>
      </w:r>
    </w:p>
    <w:sectPr w:rsidR="00FC693F" w:rsidRPr="0006063C" w:rsidSect="00034616">
      <w:footerReference w:type="default" r:id="rId9"/>
      <w:footnotePr>
        <w:numFmt w:val="hindi"/>
        <w:numRestart w:val="eachPage"/>
      </w:footnotePr>
      <w:pgSz w:w="11906" w:h="16838"/>
      <w:pgMar w:top="1701" w:right="2268" w:bottom="1417" w:left="1417" w:header="720" w:footer="567"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fa-I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sz w:val="28"/>
      <w:szCs w:val="28"/>
    </w:rPr>
  </w:style>
  <w:style w:type="paragraph" w:styleId="Heading2">
    <w:name w:val="heading 2"/>
    <w:basedOn w:val="Normal"/>
    <w:next w:val="Normal"/>
    <w:link w:val="Heading2Char"/>
    <w:uiPriority w:val="9"/>
    <w:unhideWhenUsed/>
    <w:qFormat/>
    <w:rsid w:val="00FC693F"/>
    <w:pPr>
      <w:keepNext/>
      <w:keepLines/>
      <w:bidi w:val="1"/>
      <w:spacing w:before="240" w:after="60" w:lineRule="exact" w:line="580"/>
      <w:jc w:val="right"/>
      <w:outlineLvl w:val="1"/>
    </w:pPr>
    <w:rPr>
      <w:rFonts w:ascii="Times New Roman" w:hAnsi="Times New Roman" w:cs="B Nazanin"/>
      <w:b/>
      <w:bCs/>
      <w:color w:val="000000"/>
      <w:sz w:val="28"/>
      <w:szCs w:val="26"/>
    </w:rPr>
  </w:style>
  <w:style w:type="paragraph" w:styleId="Heading3">
    <w:name w:val="heading 3"/>
    <w:basedOn w:val="Normal"/>
    <w:next w:val="Normal"/>
    <w:link w:val="Heading3Char"/>
    <w:uiPriority w:val="9"/>
    <w:unhideWhenUsed/>
    <w:qFormat/>
    <w:rsid w:val="00FC693F"/>
    <w:pPr>
      <w:keepNext/>
      <w:keepLines/>
      <w:bidi w:val="1"/>
      <w:spacing w:before="180" w:after="40" w:lineRule="exact" w:line="580"/>
      <w:jc w:val="right"/>
      <w:outlineLvl w:val="2"/>
    </w:pPr>
    <w:rPr>
      <w:rFonts w:ascii="Times New Roman" w:hAnsi="Times New Roman" w:cs="B Nazanin"/>
      <w:b/>
      <w:bCs/>
      <w:color w:val="000000"/>
      <w:sz w:val="26"/>
    </w:rPr>
  </w:style>
  <w:style w:type="paragraph" w:styleId="Heading4">
    <w:name w:val="heading 4"/>
    <w:basedOn w:val="Normal"/>
    <w:next w:val="Normal"/>
    <w:link w:val="Heading4Char"/>
    <w:uiPriority w:val="9"/>
    <w:semiHidden/>
    <w:unhideWhenUsed/>
    <w:qFormat/>
    <w:rsid w:val="00FC693F"/>
    <w:pPr>
      <w:keepNext/>
      <w:keepLines/>
      <w:bidi w:val="1"/>
      <w:spacing w:before="120" w:after="40" w:lineRule="exact" w:line="580"/>
      <w:jc w:val="right"/>
      <w:outlineLvl w:val="3"/>
    </w:pPr>
    <w:rPr>
      <w:rFonts w:ascii="Times New Roman" w:hAnsi="Times New Roman" w:cs="B Nazanin"/>
      <w:b/>
      <w:b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pBdr>
        <w:bottom w:val="single" w:sz="8" w:space="4" w:color="4F81BD"/>
      </w:pBdr>
      <w:spacing w:after="300" w:line="240" w:lineRule="auto"/>
      <w:contextualSpacing/>
    </w:pPr>
    <w:rPr>
      <w:rFonts/>
      <w:color w:val="17365D"/>
      <w:spacing w:val="5"/>
      <w:kern w:val="28"/>
      <w:sz w:val="52"/>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spacing w:val="15"/>
      <w:sz w:val="24"/>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b/>
        <w:bCs/>
      </w:rPr>
    </w:tblStylePr>
    <w:tblStylePr w:type="lastCol">
      <w:rPr>
        <w:rFonts/>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b/>
        <w:bCs/>
      </w:rPr>
    </w:tblStylePr>
    <w:tblStylePr w:type="lastCol">
      <w:rPr>
        <w:rFonts/>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b/>
        <w:bCs/>
      </w:rPr>
    </w:tblStylePr>
    <w:tblStylePr w:type="lastCol">
      <w:rPr>
        <w:rFonts/>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b/>
        <w:bCs/>
      </w:rPr>
    </w:tblStylePr>
    <w:tblStylePr w:type="lastCol">
      <w:rPr>
        <w:rFonts/>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b/>
        <w:bCs/>
      </w:rPr>
    </w:tblStylePr>
    <w:tblStylePr w:type="lastCol">
      <w:rPr>
        <w:rFonts/>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b/>
        <w:bCs/>
      </w:rPr>
    </w:tblStylePr>
    <w:tblStylePr w:type="lastCol">
      <w:rPr>
        <w:rFonts/>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b/>
        <w:bCs/>
      </w:rPr>
    </w:tblStylePr>
    <w:tblStylePr w:type="lastCol">
      <w:rPr>
        <w:rFonts/>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imes New Roman" w:hAnsi="Times New Roman" w:cs="B Nazanin"/>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