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120" w:after="240"/>
        <w:jc w:val="center"/>
      </w:pPr>
      <w:r>
        <w:rPr>
          <w:rFonts w:ascii="B Nazanin" w:hAnsi="B Nazanin" w:cs="B Nazanin" w:hint="cs"/>
          <w:b/>
          <w:bCs/>
          <w:sz w:val="32"/>
          <w:szCs w:val="32"/>
          <w:rtl/>
          <w:lang w:bidi="fa-IR"/>
        </w:rPr>
        <w:t xml:space="preserve">فصل پنجم: بحث و نتیجه‌گیری</w:t>
      </w:r>
    </w:p>
    <w:p>
      <w:pPr>
        <w:bidi w:val="1"/>
        <w:spacing w:lineRule="exact" w:line="580" w:after="120"/>
        <w:jc w:val="both"/>
      </w:pPr>
      <w:r>
        <w:rPr>
          <w:rFonts w:ascii="B Nazanin" w:hAnsi="B Nazanin" w:cs="B Nazanin" w:hint="cs"/>
          <w:sz w:val="24"/>
          <w:szCs w:val="24"/>
          <w:rtl/>
          <w:lang w:bidi="fa-IR"/>
        </w:rPr>
        <w:t xml:space="preserve">این فصل یک نمونه آموزشی است که بر پایه یافته‌های فصل چهارم شبیه‌سازی‌شده تدوین شده است و صرفاً نحوه بحث، تفسیر و نتیجه‌گیری از یافته‌ها را نمایش می‌دهد. متن نهایی فصل پنجم پس از تحلیل داده‌های واقعی پژوهش بازنویسی خواهد شد.</w:t>
      </w:r>
    </w:p>
    <w:p>
      <w:pPr>
        <w:pStyle w:val="Heading2"/>
        <w:bidi w:val="1"/>
        <w:jc w:val="right"/>
      </w:pPr>
      <w:r>
        <w:rPr>
          <w:rFonts w:ascii="B Nazanin" w:hAnsi="B Nazanin" w:cs="B Nazanin" w:hint="cs"/>
          <w:b/>
          <w:bCs/>
          <w:sz w:val="28"/>
          <w:szCs w:val="28"/>
          <w:rtl/>
          <w:lang w:bidi="fa-IR"/>
        </w:rPr>
        <w:t xml:space="preserve">۵-۱. مقدمه</w:t>
      </w:r>
    </w:p>
    <w:p>
      <w:pPr>
        <w:bidi w:val="1"/>
        <w:spacing w:lineRule="exact" w:line="580" w:after="0"/>
        <w:jc w:val="both"/>
      </w:pPr>
      <w:r>
        <w:rPr>
          <w:rFonts w:ascii="B Nazanin" w:hAnsi="B Nazanin" w:cs="B Nazanin" w:hint="cs"/>
          <w:sz w:val="24"/>
          <w:szCs w:val="24"/>
          <w:rtl/>
          <w:lang w:bidi="fa-IR"/>
        </w:rPr>
        <w:t xml:space="preserve">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pPr>
        <w:bidi w:val="1"/>
        <w:spacing w:lineRule="exact" w:line="580" w:after="0"/>
        <w:jc w:val="both"/>
      </w:pPr>
      <w:r>
        <w:rPr>
          <w:rFonts w:ascii="B Nazanin" w:hAnsi="B Nazanin" w:cs="B Nazanin" w:hint="cs"/>
          <w:sz w:val="24"/>
          <w:szCs w:val="24"/>
          <w:rtl/>
          <w:lang w:bidi="fa-IR"/>
        </w:rPr>
        <w:t xml:space="preserve">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pPr>
        <w:bidi w:val="1"/>
        <w:spacing w:lineRule="exact" w:line="580" w:after="0"/>
        <w:jc w:val="both"/>
      </w:pPr>
      <w:r>
        <w:rPr>
          <w:rFonts w:ascii="B Nazanin" w:hAnsi="B Nazanin" w:cs="B Nazanin" w:hint="cs"/>
          <w:sz w:val="24"/>
          <w:szCs w:val="24"/>
          <w:rtl/>
          <w:lang w:bidi="fa-IR"/>
        </w:rPr>
        <w:t xml:space="preserve">نقشه راه فصل چنین است: بخش ۵-۲ تصویر فشرده‌ای از مسئله، روش و یافته‌های پژوهش به دست می‌دهد؛ بخش ۵-۳ یافته هر فرضیه را جداگانه بحث و تبیین می‌کند. بخش ۵-۴ نتیجه‌گیری کلی، بخش ۵-۵ کاربردهای عملی، بخش ۵-۶ محدودیت‌ها و بخش ۵-۷ پیشنهادهای پژوهشی را ارائه می‌دهند. بخش ۵-۸ نیز با جمع‌بندی نهایی فصل را می‌بندد.</w:t>
      </w:r>
    </w:p>
    <w:p>
      <w:pPr>
        <w:pStyle w:val="Heading2"/>
        <w:bidi w:val="1"/>
        <w:jc w:val="right"/>
      </w:pPr>
      <w:r>
        <w:rPr>
          <w:rFonts w:ascii="B Nazanin" w:hAnsi="B Nazanin" w:cs="B Nazanin" w:hint="cs"/>
          <w:b/>
          <w:bCs/>
          <w:sz w:val="28"/>
          <w:szCs w:val="28"/>
          <w:rtl/>
          <w:lang w:bidi="fa-IR"/>
        </w:rPr>
        <w:t xml:space="preserve">۵-۲. خلاصه یافته‌ها</w:t>
      </w:r>
    </w:p>
    <w:p>
      <w:pPr>
        <w:bidi w:val="1"/>
        <w:spacing w:lineRule="exact" w:line="580" w:after="0"/>
        <w:jc w:val="both"/>
      </w:pPr>
      <w:r>
        <w:rPr>
          <w:rFonts w:ascii="B Nazanin" w:hAnsi="B Nazanin" w:cs="B Nazanin" w:hint="cs"/>
          <w:sz w:val="24"/>
          <w:szCs w:val="24"/>
          <w:rtl/>
          <w:lang w:bidi="fa-IR"/>
        </w:rPr>
        <w:t xml:space="preserve">مسئله پژوهش، تبیین سازوکار پیوند میان اضطراب صفتی و رفتارهای مالی پرخطر در معامله‌گران بازارهای مالی بود و نقش میانجی طرحواره‌های ناسازگار اولیه در این رابطه آزمون شد. داده‌ها از ۱۸۵ معامله‌گر معتبر (از ۲۴۳ پاسخ خام، پس از حذف ۵۸ پاسخ در شش مرحله غربالگری) گردآوری شد. میانگین سنی نمونه ۳۶٫۳ سال بود، دوسوم آن را مردان تشکیل می‌دادند و بازار اصلی فعالیت ۴۲٫۷ درصد بورس بود. ابزارهای پژوهش عبارت بودند از فرم اضطراب صفتی اسپیلبرگر (۲۰ گویه با ۸ گویه معکوس، دامنه ۲۰ تا ۸۰)، فرم کوتاه طرحواره یانگ (۷۵ گویه در ۱۵ طرحواره ۵ گویه‌ای بدون گویه معکوس، دامنه ۷۵ تا ۴۵۰) و مقیاس ۱۳ سؤالی تحمل ریسک گرابل و لایتون (دامنه ۱۳ تا ۵۲) که نمره بالاتر در آن نشان‌دهنده تحمل ریسک بیشتر و تمایل بالاتر به رفتار پرخطر است.</w:t>
      </w:r>
    </w:p>
    <w:p>
      <w:pPr>
        <w:bidi w:val="1"/>
        <w:spacing w:lineRule="exact" w:line="580" w:after="0"/>
        <w:jc w:val="both"/>
      </w:pPr>
      <w:r>
        <w:rPr>
          <w:rFonts w:ascii="B Nazanin" w:hAnsi="B Nazanin" w:cs="B Nazanin" w:hint="cs"/>
          <w:sz w:val="24"/>
          <w:szCs w:val="24"/>
          <w:rtl/>
          <w:lang w:bidi="fa-IR"/>
        </w:rPr>
        <w:t xml:space="preserve">میانگین اضطراب صفتی ۴۵٫۳۶ (انحراف معیار ۱۱٫۴۲)، میانگین طرحواره‌ها ۲۱۸٫۱۱ (انحراف معیار ۴۰٫۷۸) و میانگین رفتارهای مالی پرخطر ۳۱٫۸۰ (انحراف معیار ۷٫۶۳) بود و هر سه دامنه مشاهده‌شده درون دامنه نظری ابزار مربوطه قرار گرفت. پایایی هر سه ابزار مطلوب بود (آلفای ۰٫۸۸، ۰٫۹۲ و ۰٫۸۲) و پایایی ۱۵ خرده‌مقیاس طرحواره بین ۰٫۶۱ تا ۰٫۷۸ قرار گرفت. پیش‌فرض‌های تحلیل نیز برقرار بودند: هیچ مورد پرت چندمتغیره‌ای دیده نشد (بیشینه ماهالانوبیس ۱۴٫۸۸ در برابر مقدار بحرانی ۱۶٫۲۷)، هم‌خطی نگران‌کننده نبود (عامل تورم واریانس ۱٫۳۴) و پسماندها مستقل بودند (دوربین–واتسون ۱٫۸۱).</w:t>
      </w:r>
    </w:p>
    <w:p>
      <w:pPr>
        <w:bidi w:val="1"/>
        <w:spacing w:lineRule="exact" w:line="580" w:after="0"/>
        <w:jc w:val="both"/>
      </w:pPr>
      <w:r>
        <w:rPr>
          <w:rFonts w:ascii="B Nazanin" w:hAnsi="B Nazanin" w:cs="B Nazanin" w:hint="cs"/>
          <w:sz w:val="24"/>
          <w:szCs w:val="24"/>
          <w:rtl/>
          <w:lang w:bidi="fa-IR"/>
        </w:rPr>
        <w:t xml:space="preserve">هر سه فرضیه فرعی تأیید شدند: رابطه اضطراب صفتی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رابطه اضطراب صفتی با طرحواره‌های ناسازگار اولیه</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و رابطه طرحواره‌ها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اصلی نیز تأیید شد: اثر غیرمستقیم اضطراب بر رفتار پرخطر از مسیر طرحواره‌ها برابر ۰٫۰۷۰ بود و فاصله اطمینان ۹۵ درصد آن (۰٫۰۱۱ تا ۰٫۱۳۳) صفر را در بر نداشت؛ چون اثر مستقیم نیز پس از کنترل میانجی معنادار ماند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الگوی به‌دست‌آمده از نوع میانجی‌گری جزئی است و حدود یک‌سوم اثر کل از مسیر میانجی می‌گذرد. تحلیل مسیر تکمیلی با متغیرهای مشاهده‌شده نیز همسو بود: مدل اشباع ضرایب استانداردشده ۰٫۵۰۱، ۰٫۲۰۹ و ۰٫۲۲۲ را نشان داد و مدل مقید میانجی‌گری کامل رد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w:t>
      </w:r>
    </w:p>
    <w:p>
      <w:pPr>
        <w:pStyle w:val="Heading2"/>
        <w:bidi w:val="1"/>
        <w:jc w:val="right"/>
      </w:pPr>
      <w:r>
        <w:rPr>
          <w:rFonts w:ascii="B Nazanin" w:hAnsi="B Nazanin" w:cs="B Nazanin" w:hint="cs"/>
          <w:b/>
          <w:bCs/>
          <w:sz w:val="28"/>
          <w:szCs w:val="28"/>
          <w:rtl/>
          <w:lang w:bidi="fa-IR"/>
        </w:rPr>
        <w:t xml:space="preserve">۵-۳. بحث درباره یافته‌ها</w:t>
      </w:r>
    </w:p>
    <w:p>
      <w:pPr>
        <w:pStyle w:val="Heading3"/>
        <w:bidi w:val="1"/>
        <w:jc w:val="right"/>
      </w:pPr>
      <w:r>
        <w:rPr>
          <w:rFonts w:ascii="B Nazanin" w:hAnsi="B Nazanin" w:cs="B Nazanin" w:hint="cs"/>
          <w:b/>
          <w:bCs/>
          <w:sz w:val="26"/>
          <w:szCs w:val="26"/>
          <w:rtl/>
          <w:lang w:bidi="fa-IR"/>
        </w:rPr>
        <w:t xml:space="preserve">۵-۳-۱. فرضیه اصلی: میانجی‌گری جزئی طرحواره‌های ناسازگار اولیه</w:t>
      </w:r>
    </w:p>
    <w:p>
      <w:pPr>
        <w:bidi w:val="1"/>
        <w:spacing w:lineRule="exact" w:line="580" w:after="0"/>
        <w:jc w:val="both"/>
      </w:pPr>
      <w:r>
        <w:rPr>
          <w:rFonts w:ascii="B Nazanin" w:hAnsi="B Nazanin" w:cs="B Nazanin" w:hint="cs"/>
          <w:sz w:val="24"/>
          <w:szCs w:val="24"/>
          <w:rtl/>
          <w:lang w:bidi="fa-IR"/>
        </w:rPr>
        <w:t xml:space="preserve">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pPr>
        <w:bidi w:val="1"/>
        <w:spacing w:lineRule="exact" w:line="580" w:after="0"/>
        <w:jc w:val="both"/>
      </w:pPr>
      <w:r>
        <w:rPr>
          <w:rFonts w:ascii="B Nazanin" w:hAnsi="B Nazanin" w:cs="B Nazanin" w:hint="cs"/>
          <w:sz w:val="24"/>
          <w:szCs w:val="24"/>
          <w:rtl/>
          <w:lang w:bidi="fa-IR"/>
        </w:rPr>
        <w:t xml:space="preserve">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pPr>
        <w:bidi w:val="1"/>
        <w:spacing w:lineRule="exact" w:line="580" w:after="0"/>
        <w:jc w:val="both"/>
      </w:pPr>
      <w:r>
        <w:rPr>
          <w:rFonts w:ascii="B Nazanin" w:hAnsi="B Nazanin" w:cs="B Nazanin" w:hint="cs"/>
          <w:sz w:val="24"/>
          <w:szCs w:val="24"/>
          <w:rtl/>
          <w:lang w:bidi="fa-IR"/>
        </w:rPr>
        <w:t xml:space="preserve">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نیز مؤید همین نکته است: حذف اثر مستقیم، برازش مدل را به‌طور معنادار تضعیف می‌کند.</w:t>
      </w:r>
    </w:p>
    <w:p>
      <w:pPr>
        <w:pStyle w:val="Heading3"/>
        <w:bidi w:val="1"/>
        <w:jc w:val="right"/>
      </w:pPr>
      <w:r>
        <w:rPr>
          <w:rFonts w:ascii="B Nazanin" w:hAnsi="B Nazanin" w:cs="B Nazanin" w:hint="cs"/>
          <w:b/>
          <w:bCs/>
          <w:sz w:val="26"/>
          <w:szCs w:val="26"/>
          <w:rtl/>
          <w:lang w:bidi="fa-IR"/>
        </w:rPr>
        <w:t xml:space="preserve">۵-۳-۲. فرضیه دوم: رابطه اضطراب صفتی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اضطراب صفتی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pPr>
        <w:bidi w:val="1"/>
        <w:spacing w:lineRule="exact" w:line="580" w:after="0"/>
        <w:jc w:val="both"/>
      </w:pPr>
      <w:r>
        <w:rPr>
          <w:rFonts w:ascii="B Nazanin" w:hAnsi="B Nazanin" w:cs="B Nazanin" w:hint="cs"/>
          <w:sz w:val="24"/>
          <w:szCs w:val="24"/>
          <w:rtl/>
          <w:lang w:bidi="fa-IR"/>
        </w:rPr>
        <w:t xml:space="preserve">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pPr>
        <w:pStyle w:val="Heading3"/>
        <w:bidi w:val="1"/>
        <w:jc w:val="right"/>
      </w:pPr>
      <w:r>
        <w:rPr>
          <w:rFonts w:ascii="B Nazanin" w:hAnsi="B Nazanin" w:cs="B Nazanin" w:hint="cs"/>
          <w:b/>
          <w:bCs/>
          <w:sz w:val="26"/>
          <w:szCs w:val="26"/>
          <w:rtl/>
          <w:lang w:bidi="fa-IR"/>
        </w:rPr>
        <w:t xml:space="preserve">۵-۳-۳. فرضیه سوم: رابطه اضطراب صفتی با طرحواره‌های ناسازگار اولیه</w:t>
      </w:r>
    </w:p>
    <w:p>
      <w:pPr>
        <w:bidi w:val="1"/>
        <w:spacing w:lineRule="exact" w:line="580" w:after="0"/>
        <w:jc w:val="both"/>
      </w:pPr>
      <w:r>
        <w:rPr>
          <w:rFonts w:ascii="B Nazanin" w:hAnsi="B Nazanin" w:cs="B Nazanin" w:hint="cs"/>
          <w:sz w:val="24"/>
          <w:szCs w:val="24"/>
          <w:rtl/>
          <w:lang w:bidi="fa-IR"/>
        </w:rPr>
        <w:t xml:space="preserve">قوی‌ترین رابطه دوتایی پژوهش، پیوند اضطراب صفتی با طرحواره‌های ناسازگار اولیه بود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طرحواره‌محور را دشوار می‌سازد (آیزنک و همکاران، ۲۰۰۷). مرور میته (۲۰۰۷) نیز بر نقش پردازش شناختی در پیوند اضطراب با تصمیم‌گیری تأکید دارد.</w:t>
      </w:r>
    </w:p>
    <w:p>
      <w:pPr>
        <w:bidi w:val="1"/>
        <w:spacing w:lineRule="exact" w:line="580" w:after="0"/>
        <w:jc w:val="both"/>
      </w:pPr>
      <w:r>
        <w:rPr>
          <w:rFonts w:ascii="B Nazanin" w:hAnsi="B Nazanin" w:cs="B Nazanin" w:hint="cs"/>
          <w:sz w:val="24"/>
          <w:szCs w:val="24"/>
          <w:rtl/>
          <w:lang w:bidi="fa-IR"/>
        </w:rPr>
        <w:t xml:space="preserve">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pPr>
        <w:pStyle w:val="Heading3"/>
        <w:bidi w:val="1"/>
        <w:jc w:val="right"/>
      </w:pPr>
      <w:r>
        <w:rPr>
          <w:rFonts w:ascii="B Nazanin" w:hAnsi="B Nazanin" w:cs="B Nazanin" w:hint="cs"/>
          <w:b/>
          <w:bCs/>
          <w:sz w:val="26"/>
          <w:szCs w:val="26"/>
          <w:rtl/>
          <w:lang w:bidi="fa-IR"/>
        </w:rPr>
        <w:t xml:space="preserve">۵-۳-۴. فرضیه چهارم: رابطه طرحواره‌های ناسازگار اولیه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طرحواره‌ها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pPr>
        <w:bidi w:val="1"/>
        <w:spacing w:lineRule="exact" w:line="580" w:after="0"/>
        <w:jc w:val="both"/>
      </w:pPr>
      <w:r>
        <w:rPr>
          <w:rFonts w:ascii="B Nazanin" w:hAnsi="B Nazanin" w:cs="B Nazanin" w:hint="cs"/>
          <w:sz w:val="24"/>
          <w:szCs w:val="24"/>
          <w:rtl/>
          <w:lang w:bidi="fa-IR"/>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pPr>
        <w:pStyle w:val="Heading3"/>
        <w:bidi w:val="1"/>
        <w:jc w:val="right"/>
      </w:pPr>
      <w:r>
        <w:rPr>
          <w:rFonts w:ascii="B Nazanin" w:hAnsi="B Nazanin" w:cs="B Nazanin" w:hint="cs"/>
          <w:b/>
          <w:bCs/>
          <w:sz w:val="26"/>
          <w:szCs w:val="26"/>
          <w:rtl/>
          <w:lang w:bidi="fa-IR"/>
        </w:rPr>
        <w:t xml:space="preserve">۵-۳-۵. جمع‌بندی نظری بحث</w:t>
      </w:r>
    </w:p>
    <w:p>
      <w:pPr>
        <w:bidi w:val="1"/>
        <w:spacing w:lineRule="exact" w:line="580" w:after="0"/>
        <w:jc w:val="both"/>
      </w:pPr>
      <w:r>
        <w:rPr>
          <w:rFonts w:ascii="B Nazanin" w:hAnsi="B Nazanin" w:cs="B Nazanin" w:hint="cs"/>
          <w:sz w:val="24"/>
          <w:szCs w:val="24"/>
          <w:rtl/>
          <w:lang w:bidi="fa-IR"/>
        </w:rPr>
        <w:t xml:space="preserve">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pPr>
        <w:pStyle w:val="Heading2"/>
        <w:bidi w:val="1"/>
        <w:jc w:val="right"/>
      </w:pPr>
      <w:r>
        <w:rPr>
          <w:rFonts w:ascii="B Nazanin" w:hAnsi="B Nazanin" w:cs="B Nazanin" w:hint="cs"/>
          <w:b/>
          <w:bCs/>
          <w:sz w:val="28"/>
          <w:szCs w:val="28"/>
          <w:rtl/>
          <w:lang w:bidi="fa-IR"/>
        </w:rPr>
        <w:t xml:space="preserve">۵-۴. همسویی و ناهمسویی یافته‌ها با پیشینه پژوهش</w:t>
      </w:r>
    </w:p>
    <w:p>
      <w:pPr>
        <w:bidi w:val="1"/>
        <w:spacing w:lineRule="exact" w:line="580" w:after="0"/>
        <w:jc w:val="both"/>
      </w:pPr>
      <w:r>
        <w:rPr>
          <w:rFonts w:ascii="B Nazanin" w:hAnsi="B Nazanin" w:cs="B Nazanin" w:hint="cs"/>
          <w:sz w:val="24"/>
          <w:szCs w:val="24"/>
          <w:rtl/>
          <w:lang w:bidi="fa-IR"/>
        </w:rPr>
        <w:t xml:space="preserve">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pPr>
        <w:bidi w:val="1"/>
        <w:spacing w:lineRule="exact" w:line="580" w:after="0"/>
        <w:jc w:val="both"/>
      </w:pPr>
      <w:r>
        <w:rPr>
          <w:rFonts w:ascii="B Nazanin" w:hAnsi="B Nazanin" w:cs="B Nazanin" w:hint="cs"/>
          <w:sz w:val="24"/>
          <w:szCs w:val="24"/>
          <w:rtl/>
          <w:lang w:bidi="fa-IR"/>
        </w:rPr>
        <w:t xml:space="preserve">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pPr>
        <w:pStyle w:val="Heading2"/>
        <w:bidi w:val="1"/>
        <w:jc w:val="right"/>
      </w:pPr>
      <w:r>
        <w:rPr>
          <w:rFonts w:ascii="B Nazanin" w:hAnsi="B Nazanin" w:cs="B Nazanin" w:hint="cs"/>
          <w:b/>
          <w:bCs/>
          <w:sz w:val="28"/>
          <w:szCs w:val="28"/>
          <w:rtl/>
          <w:lang w:bidi="fa-IR"/>
        </w:rPr>
        <w:t xml:space="preserve">۵-۵. دلالت‌های کاربردی</w:t>
      </w:r>
    </w:p>
    <w:p>
      <w:pPr>
        <w:bidi w:val="1"/>
        <w:spacing w:lineRule="exact" w:line="580" w:after="0"/>
        <w:jc w:val="both"/>
      </w:pPr>
      <w:r>
        <w:rPr>
          <w:rFonts w:ascii="B Nazanin" w:hAnsi="B Nazanin" w:cs="B Nazanin" w:hint="cs"/>
          <w:sz w:val="24"/>
          <w:szCs w:val="24"/>
          <w:rtl/>
          <w:lang w:bidi="fa-IR"/>
        </w:rPr>
        <w:t xml:space="preserve">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pPr>
        <w:pStyle w:val="Heading2"/>
        <w:bidi w:val="1"/>
        <w:jc w:val="right"/>
      </w:pPr>
      <w:r>
        <w:rPr>
          <w:rFonts w:ascii="B Nazanin" w:hAnsi="B Nazanin" w:cs="B Nazanin" w:hint="cs"/>
          <w:b/>
          <w:bCs/>
          <w:sz w:val="28"/>
          <w:szCs w:val="28"/>
          <w:rtl/>
          <w:lang w:bidi="fa-IR"/>
        </w:rPr>
        <w:t xml:space="preserve">۵-۶. محدودیت‌های پژوهش</w:t>
      </w:r>
    </w:p>
    <w:p>
      <w:pPr>
        <w:bidi w:val="1"/>
        <w:spacing w:lineRule="exact" w:line="580" w:after="0"/>
        <w:jc w:val="both"/>
      </w:pPr>
      <w:r>
        <w:rPr>
          <w:rFonts w:ascii="B Nazanin" w:hAnsi="B Nazanin" w:cs="B Nazanin" w:hint="cs"/>
          <w:sz w:val="24"/>
          <w:szCs w:val="24"/>
          <w:rtl/>
          <w:lang w:bidi="fa-IR"/>
        </w:rPr>
        <w:t xml:space="preserve">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pPr>
        <w:pStyle w:val="Heading2"/>
        <w:bidi w:val="1"/>
        <w:jc w:val="right"/>
      </w:pPr>
      <w:r>
        <w:rPr>
          <w:rFonts w:ascii="B Nazanin" w:hAnsi="B Nazanin" w:cs="B Nazanin" w:hint="cs"/>
          <w:b/>
          <w:bCs/>
          <w:sz w:val="28"/>
          <w:szCs w:val="28"/>
          <w:rtl/>
          <w:lang w:bidi="fa-IR"/>
        </w:rPr>
        <w:t xml:space="preserve">۵-۷. پیشنهادها برای پژوهش‌های آینده</w:t>
      </w:r>
    </w:p>
    <w:p>
      <w:pPr>
        <w:bidi w:val="1"/>
        <w:spacing w:lineRule="exact" w:line="580" w:after="0"/>
        <w:jc w:val="both"/>
      </w:pPr>
      <w:r>
        <w:rPr>
          <w:rFonts w:ascii="B Nazanin" w:hAnsi="B Nazanin" w:cs="B Nazanin" w:hint="cs"/>
          <w:sz w:val="24"/>
          <w:szCs w:val="24"/>
          <w:rtl/>
          <w:lang w:bidi="fa-IR"/>
        </w:rPr>
        <w:t xml:space="preserve">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pPr>
        <w:pStyle w:val="Heading2"/>
        <w:bidi w:val="1"/>
        <w:jc w:val="right"/>
      </w:pPr>
      <w:r>
        <w:rPr>
          <w:rFonts w:ascii="B Nazanin" w:hAnsi="B Nazanin" w:cs="B Nazanin" w:hint="cs"/>
          <w:b/>
          <w:bCs/>
          <w:sz w:val="28"/>
          <w:szCs w:val="28"/>
          <w:rtl/>
          <w:lang w:bidi="fa-IR"/>
        </w:rPr>
        <w:t xml:space="preserve">۵-۸. جمع‌بندی نهایی</w:t>
      </w:r>
    </w:p>
    <w:p>
      <w:pPr>
        <w:bidi w:val="1"/>
        <w:spacing w:lineRule="exact" w:line="580" w:after="0"/>
        <w:jc w:val="both"/>
      </w:pPr>
      <w:r>
        <w:rPr>
          <w:rFonts w:ascii="B Nazanin" w:hAnsi="B Nazanin" w:cs="B Nazanin" w:hint="cs"/>
          <w:sz w:val="24"/>
          <w:szCs w:val="24"/>
          <w:rtl/>
          <w:lang w:bidi="fa-IR"/>
        </w:rPr>
        <w:t xml:space="preserve">این پژوهش با آزمون الگوی میانجی‌گری طرحواره‌های ناسازگار اولیه در رابطه اضطراب صفتی با رفتارهای مالی پرخطر، گامی در جهت شناخت سازوکارهای روان‌شناختی تصمیم مالی برداشت. یافته‌ها نشان دادند که اضطراب صفتی از دو مسیر به رفتار پرخطر می‌رسد: مسیر مستقیم و مسیر غیرمستقیمِ گذرنده از طرحواره‌ها که حدود یک‌سوم اثر کل را حمل می‌کند. این الگوی میانجی‌گری جزئی، هم بر اهمیت سازوکارهای شناختی در مالی-رفتاری دلالت دارد و هم یادآوری می‌کند که رفتار معامله‌گر، محصول تعامل پیچیده هیجان، شناخت و بستر بازار است. امید است یافته‌های این پژوهش، مبنایی برای پژوهش‌های علّی‌تر، مداخله‌های مؤثرتر و معامله‌گری آگاهانه‌تر فراهم کند.</w:t>
      </w:r>
    </w:p>
    <w:p>
      <w:pPr>
        <w:bidi w:val="1"/>
        <w:spacing w:lineRule="exact" w:line="580" w:before="240" w:after="180"/>
        <w:jc w:val="right"/>
      </w:pPr>
      <w:r>
        <w:rPr>
          <w:rFonts w:ascii="B Nazanin" w:hAnsi="B Nazanin" w:cs="B Nazanin" w:hint="cs"/>
          <w:b/>
          <w:bCs/>
          <w:sz w:val="28"/>
          <w:szCs w:val="28"/>
          <w:rtl/>
          <w:lang w:bidi="fa-IR"/>
        </w:rPr>
        <w:t xml:space="preserve">منابع</w:t>
      </w:r>
    </w:p>
    <w:p>
      <w:pPr>
        <w:bidi w:val="1"/>
        <w:spacing w:lineRule="exact" w:line="580" w:before="180" w:after="60"/>
        <w:jc w:val="right"/>
      </w:pPr>
      <w:r>
        <w:rPr>
          <w:rFonts w:ascii="B Nazanin" w:hAnsi="B Nazanin" w:cs="B Nazanin" w:hint="cs"/>
          <w:b/>
          <w:bCs/>
          <w:sz w:val="28"/>
          <w:szCs w:val="28"/>
          <w:rtl/>
          <w:lang w:bidi="fa-IR"/>
        </w:rPr>
        <w:t xml:space="preserve">الف) منابع فارسی</w:t>
      </w:r>
    </w:p>
    <w:p>
      <w:pPr>
        <w:bidi w:val="1"/>
        <w:spacing w:lineRule="exact" w:line="580" w:after="40"/>
        <w:jc w:val="right"/>
      </w:pPr>
      <w:r>
        <w:rPr>
          <w:rFonts w:ascii="B Nazanin" w:hAnsi="B Nazanin" w:cs="B Nazanin" w:hint="cs"/>
          <w:sz w:val="24"/>
          <w:szCs w:val="24"/>
          <w:rtl/>
          <w:lang w:bidi="fa-IR"/>
        </w:rPr>
        <w:t xml:space="preserve">امیدی، ع.، کدیور، پ.، و فرزاد، و. (۱۳۹۲). رابطه بین طرحواره‌های ناسازگار اولیه، سبک‌های فرزندپروری و سبک‌های هویت با گرایش به اعتیاد. اعتیادپژوهی، ۷(۲۷)، ۹-۲۶.</w:t>
      </w:r>
    </w:p>
    <w:p>
      <w:pPr>
        <w:bidi w:val="1"/>
        <w:spacing w:lineRule="exact" w:line="580" w:after="40"/>
        <w:jc w:val="right"/>
      </w:pPr>
      <w:r>
        <w:rPr>
          <w:rFonts w:ascii="B Nazanin" w:hAnsi="B Nazanin" w:cs="B Nazanin" w:hint="cs"/>
          <w:sz w:val="24"/>
          <w:szCs w:val="24"/>
          <w:rtl/>
          <w:lang w:bidi="fa-IR"/>
        </w:rPr>
        <w:t xml:space="preserve">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پژوهش‌های حسابداری مالی و حسابرسی، ۱۱(۴۲)، ۱-۲۶.</w:t>
      </w:r>
    </w:p>
    <w:p>
      <w:pPr>
        <w:bidi w:val="1"/>
        <w:spacing w:lineRule="exact" w:line="580" w:after="40"/>
        <w:jc w:val="right"/>
      </w:pPr>
      <w:r>
        <w:rPr>
          <w:rFonts w:ascii="B Nazanin" w:hAnsi="B Nazanin" w:cs="B Nazanin" w:hint="cs"/>
          <w:sz w:val="24"/>
          <w:szCs w:val="24"/>
          <w:rtl/>
          <w:lang w:bidi="fa-IR"/>
        </w:rPr>
        <w:t xml:space="preserve">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val="1"/>
        <w:spacing w:lineRule="exact" w:line="580" w:after="40"/>
        <w:jc w:val="right"/>
      </w:pPr>
      <w:r>
        <w:rPr>
          <w:rFonts w:ascii="B Nazanin" w:hAnsi="B Nazanin" w:cs="B Nazanin" w:hint="cs"/>
          <w:sz w:val="24"/>
          <w:szCs w:val="24"/>
          <w:rtl/>
          <w:lang w:bidi="fa-IR"/>
        </w:rPr>
        <w:t xml:space="preserve">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pPr>
        <w:bidi w:val="1"/>
        <w:spacing w:lineRule="exact" w:line="580" w:after="40"/>
        <w:jc w:val="right"/>
      </w:pPr>
      <w:r>
        <w:rPr>
          <w:rFonts w:ascii="B Nazanin" w:hAnsi="B Nazanin" w:cs="B Nazanin" w:hint="cs"/>
          <w:sz w:val="24"/>
          <w:szCs w:val="24"/>
          <w:rtl/>
          <w:lang w:bidi="fa-IR"/>
        </w:rPr>
        <w:t xml:space="preserve">فروغی، د.، و تهرانی، ر. (۱۳۹۷). نقش سواد مالی در تعدیل رابطه بین سوگیری های رفتاری و عملکرد سرمایه گذاری در بورس اوراق بهادار تهران. تحقیقات مالی، ۲۰(۲)، ۱۸۹-۲۰۸.</w:t>
      </w:r>
    </w:p>
    <w:p>
      <w:pPr>
        <w:bidi w:val="1"/>
        <w:spacing w:lineRule="exact" w:line="580" w:after="40"/>
        <w:jc w:val="right"/>
      </w:pPr>
      <w:r>
        <w:rPr>
          <w:rFonts w:ascii="B Nazanin" w:hAnsi="B Nazanin" w:cs="B Nazanin" w:hint="cs"/>
          <w:sz w:val="24"/>
          <w:szCs w:val="24"/>
          <w:rtl/>
          <w:lang w:bidi="fa-IR"/>
        </w:rPr>
        <w:t xml:space="preserve">نوری، ر.، و هاشمیان، ک. (۱۳۹۶). رابطه بین طرحواره های ناسازگار اولیه و اضطراب اجتماعی در دانشجویان. مطالعات روانشناختی، ۱۳(۲)، ۱۴۱-۱۵۸.</w:t>
      </w:r>
    </w:p>
    <w:p>
      <w:pPr>
        <w:bidi w:val="1"/>
        <w:spacing w:lineRule="exact" w:line="580" w:before="180" w:after="60"/>
        <w:jc w:val="right"/>
      </w:pPr>
      <w:r>
        <w:rPr>
          <w:rFonts w:ascii="B Nazanin" w:hAnsi="B Nazanin" w:cs="B Nazanin" w:hint="cs"/>
          <w:b/>
          <w:bCs/>
          <w:sz w:val="28"/>
          <w:szCs w:val="28"/>
          <w:rtl/>
          <w:lang w:bidi="fa-IR"/>
        </w:rPr>
        <w:t xml:space="preserve">ب) منابع لاتین</w:t>
      </w:r>
    </w:p>
    <w:p>
      <w:pPr>
        <w:bidi w:val="0"/>
        <w:spacing w:lineRule="exact" w:line="580" w:after="40"/>
        <w:ind w:left="720" w:hanging="720"/>
        <w:jc w:val="left"/>
      </w:pPr>
      <w:r>
        <w:rPr>
          <w:rFonts w:ascii="Times New Roman" w:hAnsi="Times New Roman" w:cs="Times New Roman"/>
          <w:sz w:val="22"/>
          <w:szCs w:val="22"/>
          <w:lang w:val="en-US"/>
        </w:rPr>
        <w:t xml:space="preserve">Arntz, A., &amp; Jacob, G. (2012). Schema therapy in practice: An introductory guide to the schema mode approach. John Wiley &amp; Sons.</w:t>
      </w:r>
    </w:p>
    <w:p>
      <w:pPr>
        <w:bidi w:val="0"/>
        <w:spacing w:lineRule="exact" w:line="580" w:after="40"/>
        <w:ind w:left="720" w:hanging="720"/>
        <w:jc w:val="left"/>
      </w:pPr>
      <w:r>
        <w:rPr>
          <w:rFonts w:ascii="Times New Roman" w:hAnsi="Times New Roman" w:cs="Times New Roman"/>
          <w:sz w:val="22"/>
          <w:szCs w:val="22"/>
          <w:lang w:val="en-US"/>
        </w:rPr>
        <w:t xml:space="preserve">Auer, B. R., &amp; Schuhmacher, F. (2023). FOMO and the dark side of social trading. Finance Research Letters, 54, 103759.</w:t>
      </w:r>
    </w:p>
    <w:p>
      <w:pPr>
        <w:bidi w:val="0"/>
        <w:spacing w:lineRule="exact" w:line="580" w:after="40"/>
        <w:ind w:left="720" w:hanging="720"/>
        <w:jc w:val="left"/>
      </w:pPr>
      <w:r>
        <w:rPr>
          <w:rFonts w:ascii="Times New Roman" w:hAnsi="Times New Roman" w:cs="Times New Roman"/>
          <w:sz w:val="22"/>
          <w:szCs w:val="22"/>
          <w:lang w:val="en-US"/>
        </w:rPr>
        <w:t xml:space="preserve">Baker, H. K., &amp; Nofsinger, J. R. (Eds.). (2010). Behavioral finance: Investors, corporations, and markets. John Wiley &amp; Sons.</w:t>
      </w:r>
    </w:p>
    <w:p>
      <w:pPr>
        <w:bidi w:val="0"/>
        <w:spacing w:lineRule="exact" w:line="580" w:after="40"/>
        <w:ind w:left="720" w:hanging="720"/>
        <w:jc w:val="left"/>
      </w:pPr>
      <w:r>
        <w:rPr>
          <w:rFonts w:ascii="Times New Roman" w:hAnsi="Times New Roman" w:cs="Times New Roman"/>
          <w:sz w:val="22"/>
          <w:szCs w:val="22"/>
          <w:lang w:val="en-US"/>
        </w:rPr>
        <w:t xml:space="preserve">Barber, B. M., &amp; Odean, T. (2000). Trading is hazardous to your wealth: The common stock investment performance of individual investors. The Journal of Finance, 55(2), 773-806.</w:t>
      </w:r>
    </w:p>
    <w:p>
      <w:pPr>
        <w:bidi w:val="0"/>
        <w:spacing w:lineRule="exact" w:line="580" w:after="40"/>
        <w:ind w:left="720" w:hanging="720"/>
        <w:jc w:val="left"/>
      </w:pPr>
      <w:r>
        <w:rPr>
          <w:rFonts w:ascii="Times New Roman" w:hAnsi="Times New Roman" w:cs="Times New Roman"/>
          <w:sz w:val="22"/>
          <w:szCs w:val="22"/>
          <w:lang w:val="en-US"/>
        </w:rPr>
        <w:t xml:space="preserve">Beck, A. T. (1976). Cognitive therapy and the emotional disorders. International Universities Press.</w:t>
      </w:r>
    </w:p>
    <w:p>
      <w:pPr>
        <w:bidi w:val="0"/>
        <w:spacing w:lineRule="exact" w:line="580" w:after="40"/>
        <w:ind w:left="720" w:hanging="720"/>
        <w:jc w:val="left"/>
      </w:pPr>
      <w:r>
        <w:rPr>
          <w:rFonts w:ascii="Times New Roman" w:hAnsi="Times New Roman" w:cs="Times New Roman"/>
          <w:sz w:val="22"/>
          <w:szCs w:val="22"/>
          <w:lang w:val="en-US"/>
        </w:rPr>
        <w:t xml:space="preserve">Beck, A. T., &amp; Clark, D. A. (1997). An information processing model of anxiety: Automatic and strategic processes. Behaviour Research and Therapy, 35(1), 49–58. https://doi.org/10.1016/s0005-7967(96)00069-1</w:t>
      </w:r>
    </w:p>
    <w:p>
      <w:pPr>
        <w:bidi w:val="0"/>
        <w:spacing w:lineRule="exact" w:line="580" w:after="40"/>
        <w:ind w:left="720" w:hanging="720"/>
        <w:jc w:val="left"/>
      </w:pPr>
      <w:r>
        <w:rPr>
          <w:rFonts w:ascii="Times New Roman" w:hAnsi="Times New Roman" w:cs="Times New Roman"/>
          <w:sz w:val="22"/>
          <w:szCs w:val="22"/>
          <w:lang w:val="en-US"/>
        </w:rPr>
        <w:t xml:space="preserve">Eysenck, M. W., Derakshan, N., Santos, R., &amp; Calvo, M. G. (2007). Anxiety and cognitive performance: attentional control theory. Emotion, 7(2), 336–353.</w:t>
      </w:r>
    </w:p>
    <w:p>
      <w:pPr>
        <w:bidi w:val="0"/>
        <w:spacing w:lineRule="exact" w:line="580" w:after="40"/>
        <w:ind w:left="720" w:hanging="720"/>
        <w:jc w:val="left"/>
      </w:pPr>
      <w:r>
        <w:rPr>
          <w:rFonts w:ascii="Times New Roman" w:hAnsi="Times New Roman" w:cs="Times New Roman"/>
          <w:sz w:val="22"/>
          <w:szCs w:val="22"/>
          <w:lang w:val="en-US"/>
        </w:rPr>
        <w:t xml:space="preserve">Fenton-O'Creevy, M., Soane, E., Nicholson, N., &amp; Willman, P. (2011). Thinking, feeling and deciding: The influence of emotions on the decision making and performance of traders. Journal of Organizational Behavior, 32(8), 1044-1061. https://doi.org/10.1002/job.720</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 (4), 227–237</w:t>
      </w:r>
    </w:p>
    <w:p>
      <w:pPr>
        <w:bidi w:val="0"/>
        <w:spacing w:lineRule="exact" w:line="580" w:after="40"/>
        <w:ind w:left="720" w:hanging="720"/>
        <w:jc w:val="left"/>
      </w:pPr>
      <w:r>
        <w:rPr>
          <w:rFonts w:ascii="Times New Roman" w:hAnsi="Times New Roman" w:cs="Times New Roman"/>
          <w:sz w:val="22"/>
          <w:szCs w:val="22"/>
          <w:lang w:val="en-US"/>
        </w:rPr>
        <w:t xml:space="preserve">Gambetti, E., &amp; Giusberti, F. (2012). The effect of anger and anxiety on investment decisions. Journal of Economic Psychology, 33 (5), 1059–1069</w:t>
      </w:r>
    </w:p>
    <w:p>
      <w:pPr>
        <w:bidi w:val="0"/>
        <w:spacing w:lineRule="exact" w:line="580" w:after="40"/>
        <w:ind w:left="720" w:hanging="720"/>
        <w:jc w:val="left"/>
      </w:pPr>
      <w:r>
        <w:rPr>
          <w:rFonts w:ascii="Times New Roman" w:hAnsi="Times New Roman" w:cs="Times New Roman"/>
          <w:sz w:val="22"/>
          <w:szCs w:val="22"/>
          <w:lang w:val="en-US"/>
        </w:rPr>
        <w:t xml:space="preserve">Grable, J. E. (2017). Financial risk tolerance: A psychometric review. Financial Services Review, 26(2), 1-18.</w:t>
      </w:r>
    </w:p>
    <w:p>
      <w:pPr>
        <w:bidi w:val="0"/>
        <w:spacing w:lineRule="exact" w:line="580" w:after="40"/>
        <w:ind w:left="720" w:hanging="720"/>
        <w:jc w:val="left"/>
      </w:pPr>
      <w:r>
        <w:rPr>
          <w:rFonts w:ascii="Times New Roman" w:hAnsi="Times New Roman" w:cs="Times New Roman"/>
          <w:sz w:val="22"/>
          <w:szCs w:val="22"/>
          <w:lang w:val="en-US"/>
        </w:rPr>
        <w:t xml:space="preserve">Grable, J. E., &amp; Lytton, R. H. (1999). Financial risk tolerance revisited: The development of a risk assessment instrument. Financial Services Review, 8(3), 163-181.</w:t>
      </w:r>
    </w:p>
    <w:p>
      <w:pPr>
        <w:bidi w:val="0"/>
        <w:spacing w:lineRule="exact" w:line="580" w:after="40"/>
        <w:ind w:left="720" w:hanging="720"/>
        <w:jc w:val="left"/>
      </w:pPr>
      <w:r>
        <w:rPr>
          <w:rFonts w:ascii="Times New Roman" w:hAnsi="Times New Roman" w:cs="Times New Roman"/>
          <w:sz w:val="22"/>
          <w:szCs w:val="22"/>
          <w:lang w:val="en-US"/>
        </w:rPr>
        <w:t xml:space="preserve">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val="0"/>
        <w:spacing w:lineRule="exact" w:line="580" w:after="40"/>
        <w:ind w:left="720" w:hanging="720"/>
        <w:jc w:val="left"/>
      </w:pPr>
      <w:r>
        <w:rPr>
          <w:rFonts w:ascii="Times New Roman" w:hAnsi="Times New Roman" w:cs="Times New Roman"/>
          <w:sz w:val="22"/>
          <w:szCs w:val="22"/>
          <w:lang w:val="en-US"/>
        </w:rPr>
        <w:t xml:space="preserve">Hartley, C. A., &amp; Phelps, E. A. (2012). Anxiety and decision-making. Biological Psychiatry, 72 (2), 113–118</w:t>
      </w:r>
    </w:p>
    <w:p>
      <w:pPr>
        <w:bidi w:val="0"/>
        <w:spacing w:lineRule="exact" w:line="580" w:after="40"/>
        <w:ind w:left="720" w:hanging="720"/>
        <w:jc w:val="left"/>
      </w:pPr>
      <w:r>
        <w:rPr>
          <w:rFonts w:ascii="Times New Roman" w:hAnsi="Times New Roman" w:cs="Times New Roman"/>
          <w:sz w:val="22"/>
          <w:szCs w:val="22"/>
          <w:lang w:val="en-US"/>
        </w:rPr>
        <w:t xml:space="preserve">Hayes, A. F. (2018). Introduction to mediation, moderation, and conditional process analysis: A regression-based approach (2nd ed.). Guilford Press.</w:t>
      </w:r>
    </w:p>
    <w:p>
      <w:pPr>
        <w:bidi w:val="0"/>
        <w:spacing w:lineRule="exact" w:line="580" w:after="40"/>
        <w:ind w:left="720" w:hanging="720"/>
        <w:jc w:val="left"/>
      </w:pPr>
      <w:r>
        <w:rPr>
          <w:rFonts w:ascii="Times New Roman" w:hAnsi="Times New Roman" w:cs="Times New Roman"/>
          <w:sz w:val="22"/>
          <w:szCs w:val="22"/>
          <w:lang w:val="en-US"/>
        </w:rPr>
        <w:t xml:space="preserve">Hwang, S., &amp; Salmon, M. (2004). Market stress and herding. Journal of Empirical Finance, 11(4), 585-616.</w:t>
      </w:r>
    </w:p>
    <w:p>
      <w:pPr>
        <w:bidi w:val="0"/>
        <w:spacing w:lineRule="exact" w:line="580" w:after="40"/>
        <w:ind w:left="720" w:hanging="720"/>
        <w:jc w:val="left"/>
      </w:pPr>
      <w:r>
        <w:rPr>
          <w:rFonts w:ascii="Times New Roman" w:hAnsi="Times New Roman" w:cs="Times New Roman"/>
          <w:sz w:val="22"/>
          <w:szCs w:val="22"/>
          <w:lang w:val="en-US"/>
        </w:rPr>
        <w:t xml:space="preserve">Kahneman, D., &amp; Tversky, A. (1979). Prospect theory: An analysis of decision under risk. Econometrica, 47(2), 263-291.</w:t>
      </w:r>
    </w:p>
    <w:p>
      <w:pPr>
        <w:bidi w:val="0"/>
        <w:spacing w:lineRule="exact" w:line="580" w:after="40"/>
        <w:ind w:left="720" w:hanging="720"/>
        <w:jc w:val="left"/>
      </w:pPr>
      <w:r>
        <w:rPr>
          <w:rFonts w:ascii="Times New Roman" w:hAnsi="Times New Roman" w:cs="Times New Roman"/>
          <w:sz w:val="22"/>
          <w:szCs w:val="22"/>
          <w:lang w:val="en-US"/>
        </w:rPr>
        <w:t xml:space="preserve">Kline, R. B. (2016). Principles and practice of structural equation modeling (4th ed.). Guilford Press.</w:t>
      </w:r>
    </w:p>
    <w:p>
      <w:pPr>
        <w:bidi w:val="0"/>
        <w:spacing w:lineRule="exact" w:line="580" w:after="40"/>
        <w:ind w:left="720" w:hanging="720"/>
        <w:jc w:val="left"/>
      </w:pPr>
      <w:r>
        <w:rPr>
          <w:rFonts w:ascii="Times New Roman" w:hAnsi="Times New Roman" w:cs="Times New Roman"/>
          <w:sz w:val="22"/>
          <w:szCs w:val="22"/>
          <w:lang w:val="en-US"/>
        </w:rPr>
        <w:t xml:space="preserve">Lauriola, M., &amp; Levin, I. P. (2001). Personality traits and risky decision-making in a controlled experimental task: An exploratory study. Personality and Individual Differences, 31(2), 215-226.</w:t>
      </w:r>
    </w:p>
    <w:p>
      <w:pPr>
        <w:bidi w:val="0"/>
        <w:spacing w:lineRule="exact" w:line="580" w:after="40"/>
        <w:ind w:left="720" w:hanging="720"/>
        <w:jc w:val="left"/>
      </w:pPr>
      <w:r>
        <w:rPr>
          <w:rFonts w:ascii="Times New Roman" w:hAnsi="Times New Roman" w:cs="Times New Roman"/>
          <w:sz w:val="22"/>
          <w:szCs w:val="22"/>
          <w:lang w:val="en-US"/>
        </w:rPr>
        <w:t xml:space="preserve">Lo, A. W., &amp; Repin, D. V. (2002). The psychophysiology of real-time financial risk processing. Journal of Cognitive Neuroscience, 14(3), 323-339.</w:t>
      </w:r>
    </w:p>
    <w:p>
      <w:pPr>
        <w:bidi w:val="0"/>
        <w:spacing w:lineRule="exact" w:line="580" w:after="40"/>
        <w:ind w:left="720" w:hanging="720"/>
        <w:jc w:val="left"/>
      </w:pPr>
      <w:r>
        <w:rPr>
          <w:rFonts w:ascii="Times New Roman" w:hAnsi="Times New Roman" w:cs="Times New Roman"/>
          <w:sz w:val="22"/>
          <w:szCs w:val="22"/>
          <w:lang w:val="en-US"/>
        </w:rPr>
        <w:t xml:space="preserve">Lo, A. W., Repin, D. V., &amp; Steenbarger, B. N. (2005). Fear and Greed in Financial Markets: A Clinical Study of Day-Traders. American Economic Review, 95 (2), 352–359. https://doi.org/10.1257/000282805774670095</w:t>
      </w:r>
    </w:p>
    <w:p>
      <w:pPr>
        <w:bidi w:val="0"/>
        <w:spacing w:lineRule="exact" w:line="580" w:after="40"/>
        <w:ind w:left="720" w:hanging="720"/>
        <w:jc w:val="left"/>
      </w:pPr>
      <w:r>
        <w:rPr>
          <w:rFonts w:ascii="Times New Roman" w:hAnsi="Times New Roman" w:cs="Times New Roman"/>
          <w:sz w:val="22"/>
          <w:szCs w:val="22"/>
          <w:lang w:val="en-US"/>
        </w:rPr>
        <w:t xml:space="preserve">Mahato, S., et al. (2025). Millennials and zoomers as investors: Behavioral factors shaping financial choices. International Journal of Research in Finance and Management, 8(2), 147-150. https://doi.org/10.33545/26175754.2025.v8.i2b.539</w:t>
      </w:r>
    </w:p>
    <w:p>
      <w:pPr>
        <w:bidi w:val="0"/>
        <w:spacing w:lineRule="exact" w:line="580" w:after="40"/>
        <w:ind w:left="720" w:hanging="720"/>
        <w:jc w:val="left"/>
      </w:pPr>
      <w:r>
        <w:rPr>
          <w:rFonts w:ascii="Times New Roman" w:hAnsi="Times New Roman" w:cs="Times New Roman"/>
          <w:sz w:val="22"/>
          <w:szCs w:val="22"/>
          <w:lang w:val="en-US"/>
        </w:rPr>
        <w:t xml:space="preserve">Maner, J. K., &amp; Schmidt, N. B. (2006). The role of risk avoidance in anxiety. Behavior Therapy, 37 (3), 290–305.</w:t>
      </w:r>
    </w:p>
    <w:p>
      <w:pPr>
        <w:bidi w:val="0"/>
        <w:spacing w:lineRule="exact" w:line="580" w:after="40"/>
        <w:ind w:left="720" w:hanging="720"/>
        <w:jc w:val="left"/>
      </w:pPr>
      <w:r>
        <w:rPr>
          <w:rFonts w:ascii="Times New Roman" w:hAnsi="Times New Roman" w:cs="Times New Roman"/>
          <w:sz w:val="22"/>
          <w:szCs w:val="22"/>
          <w:lang w:val="en-US"/>
        </w:rPr>
        <w:t xml:space="preserve">Mitte, K. (2007). Anxiety and risky decision-making: The role of cognitive processing. Psychological Review, 114 (4), 893-912.</w:t>
      </w:r>
    </w:p>
    <w:p>
      <w:pPr>
        <w:bidi w:val="0"/>
        <w:spacing w:lineRule="exact" w:line="580" w:after="40"/>
        <w:ind w:left="720" w:hanging="720"/>
        <w:jc w:val="left"/>
      </w:pPr>
      <w:r>
        <w:rPr>
          <w:rFonts w:ascii="Times New Roman" w:hAnsi="Times New Roman" w:cs="Times New Roman"/>
          <w:sz w:val="22"/>
          <w:szCs w:val="22"/>
          <w:lang w:val="en-US"/>
        </w:rPr>
        <w:t xml:space="preserve">Ololo, K., et al. (2024). Rational Emotive and Cognitive Behavior Coaching Intervention for Promoting College Students’ Financial Risk Tolerance and Attitudes Towards Financial Risk. Journal of Rational-Emotive &amp; Cognitive-Behavior Therapy, 42(2), 398-418. https://doi.org/10.1007/s10942-023-00523-0</w:t>
      </w:r>
    </w:p>
    <w:p>
      <w:pPr>
        <w:bidi w:val="0"/>
        <w:spacing w:lineRule="exact" w:line="580" w:after="40"/>
        <w:ind w:left="720" w:hanging="720"/>
        <w:jc w:val="left"/>
      </w:pPr>
      <w:r>
        <w:rPr>
          <w:rFonts w:ascii="Times New Roman" w:hAnsi="Times New Roman" w:cs="Times New Roman"/>
          <w:sz w:val="22"/>
          <w:szCs w:val="22"/>
          <w:lang w:val="en-US"/>
        </w:rPr>
        <w:t xml:space="preserve">Rehm, I. C., et al. (2015). Neuroticism and its facets in relation to early maladaptive schemas. Journal of Affective Disorders, 172, 424-431.</w:t>
      </w:r>
    </w:p>
    <w:p>
      <w:pPr>
        <w:bidi w:val="0"/>
        <w:spacing w:lineRule="exact" w:line="580" w:after="40"/>
        <w:ind w:left="720" w:hanging="720"/>
        <w:jc w:val="left"/>
      </w:pPr>
      <w:r>
        <w:rPr>
          <w:rFonts w:ascii="Times New Roman" w:hAnsi="Times New Roman" w:cs="Times New Roman"/>
          <w:sz w:val="22"/>
          <w:szCs w:val="22"/>
          <w:lang w:val="en-US"/>
        </w:rPr>
        <w:t xml:space="preserve">Safitri, H., Giriati, G., &amp; Wendy, W. (2025). Socio-Psychological Effect in Investment Decision-Making Mediated by Risk Tolerance. Journal of Information Systems Engineering and Management, 10(49s), 461-474. https://doi.org/10.52783/jisem.v10i49s.9897</w:t>
      </w:r>
    </w:p>
    <w:p>
      <w:pPr>
        <w:bidi w:val="0"/>
        <w:spacing w:lineRule="exact" w:line="580" w:after="40"/>
        <w:ind w:left="720" w:hanging="720"/>
        <w:jc w:val="left"/>
      </w:pPr>
      <w:r>
        <w:rPr>
          <w:rFonts w:ascii="Times New Roman" w:hAnsi="Times New Roman" w:cs="Times New Roman"/>
          <w:sz w:val="22"/>
          <w:szCs w:val="22"/>
          <w:lang w:val="en-US"/>
        </w:rPr>
        <w:t xml:space="preserve">Shefrin, H., &amp; Statman, M. (1985). The disposition to sell winners too early and ride losers too long: Theory and evidence. The Journal of Finance, 40(3), 777-790.</w:t>
      </w:r>
    </w:p>
    <w:p>
      <w:pPr>
        <w:bidi w:val="0"/>
        <w:spacing w:lineRule="exact" w:line="580" w:after="40"/>
        <w:ind w:left="720" w:hanging="720"/>
        <w:jc w:val="left"/>
      </w:pPr>
      <w:r>
        <w:rPr>
          <w:rFonts w:ascii="Times New Roman" w:hAnsi="Times New Roman" w:cs="Times New Roman"/>
          <w:sz w:val="22"/>
          <w:szCs w:val="22"/>
          <w:lang w:val="en-US"/>
        </w:rPr>
        <w:t xml:space="preserve">Shorey, R. C., et al. (2012). Gambling and early maladaptive schemas in a treatment seeking sample of male alcohol users: A preliminary investigation. Addictive Disorders &amp; Their Treatment, 11(4), 173-182. https://doi.org/10.1097/adt.0b013e31823eda8f</w:t>
      </w:r>
    </w:p>
    <w:p>
      <w:pPr>
        <w:bidi w:val="0"/>
        <w:spacing w:lineRule="exact" w:line="580" w:after="40"/>
        <w:ind w:left="720" w:hanging="720"/>
        <w:jc w:val="left"/>
      </w:pPr>
      <w:r>
        <w:rPr>
          <w:rFonts w:ascii="Times New Roman" w:hAnsi="Times New Roman" w:cs="Times New Roman"/>
          <w:sz w:val="22"/>
          <w:szCs w:val="22"/>
          <w:lang w:val="en-US"/>
        </w:rPr>
        <w:t xml:space="preserve">Spielberger, C. D. (1983).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Thaler, R. H. (2016). Behavioral finance: Past, present, and future. American Economic Review, 106(7), 1577-1600.</w:t>
      </w:r>
    </w:p>
    <w:p>
      <w:pPr>
        <w:bidi w:val="0"/>
        <w:spacing w:lineRule="exact" w:line="580" w:after="40"/>
        <w:ind w:left="720" w:hanging="720"/>
        <w:jc w:val="left"/>
      </w:pPr>
      <w:r>
        <w:rPr>
          <w:rFonts w:ascii="Times New Roman" w:hAnsi="Times New Roman" w:cs="Times New Roman"/>
          <w:sz w:val="22"/>
          <w:szCs w:val="22"/>
          <w:lang w:val="en-US"/>
        </w:rPr>
        <w:t xml:space="preserve">Vieira, C., Kuss, D. J., &amp; Griffiths, M. D. (2023). Early maladaptive schemas and behavioural addictions: A systematic literature review. Clinical Psychology Review, 105, 102340. https://doi.org/10.1016/j.cpr.2023.102340</w:t>
      </w:r>
    </w:p>
    <w:p>
      <w:pPr>
        <w:bidi w:val="0"/>
        <w:spacing w:lineRule="exact" w:line="580" w:after="40"/>
        <w:ind w:left="720" w:hanging="720"/>
        <w:jc w:val="left"/>
      </w:pPr>
      <w:r>
        <w:rPr>
          <w:rFonts w:ascii="Times New Roman" w:hAnsi="Times New Roman" w:cs="Times New Roman"/>
          <w:sz w:val="22"/>
          <w:szCs w:val="22"/>
          <w:lang w:val="en-US"/>
        </w:rPr>
        <w:t xml:space="preserve">Young, J. E., Klosko, J. S., &amp; Weishaar, M. E. (2003). Schema Therapy: A Practitioner's Guide. Guilford Press.</w:t>
      </w:r>
    </w:p>
    <w:p>
      <w:pPr>
        <w:bidi w:val="0"/>
        <w:spacing w:lineRule="exact" w:line="580" w:after="40"/>
        <w:ind w:left="720" w:hanging="720"/>
        <w:jc w:val="left"/>
      </w:pPr>
      <w:r>
        <w:rPr>
          <w:rFonts w:ascii="Times New Roman" w:hAnsi="Times New Roman" w:cs="Times New Roman"/>
          <w:sz w:val="22"/>
          <w:szCs w:val="22"/>
          <w:lang w:val="en-US"/>
        </w:rPr>
        <w:t xml:space="preserve">Zuckerman, M. (1999). Vulnerability to psychopathology: A biosocial model. American Psychological Association.</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