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w:t>
      </w:r>
      <w:r>
        <w:rPr>
          <w:rFonts w:ascii="Times New Roman" w:hAnsi="Times New Roman" w:cs="Times New Roman"/>
          <w:sz w:val="22"/>
          <w:szCs w:val="22"/>
          <w:lang w:val="en-US"/>
        </w:rPr>
        <w:t xml:space="preserve"> Word </w:t>
      </w:r>
      <w:r>
        <w:rPr>
          <w:rFonts w:ascii="B Nazanin" w:hAnsi="B Nazanin" w:cs="B Nazanin" w:hint="cs"/>
          <w:sz w:val="24"/>
          <w:szCs w:val="24"/>
          <w:rtl/>
          <w:lang w:bidi="fa-IR"/>
        </w:rPr>
        <w:t xml:space="preserve">از مسیر</w:t>
      </w:r>
      <w:r>
        <w:rPr>
          <w:rFonts w:ascii="Times New Roman" w:hAnsi="Times New Roman" w:cs="Times New Roman"/>
          <w:sz w:val="22"/>
          <w:szCs w:val="22"/>
          <w:lang w:val="en-US"/>
        </w:rPr>
        <w:t xml:space="preserve"> References &gt; Table of Contents </w:t>
      </w:r>
      <w:r>
        <w:rPr>
          <w:rFonts w:ascii="B Nazanin" w:hAnsi="B Nazanin" w:cs="B Nazanin" w:hint="cs"/>
          <w:sz w:val="24"/>
          <w:szCs w:val="24"/>
          <w:rtl/>
          <w:lang w:bidi="fa-IR"/>
        </w:rPr>
        <w:t xml:space="preserve">ساخته و به‌روزرسانی شود — با کلیک راست و</w:t>
      </w:r>
      <w:r>
        <w:rPr>
          <w:rFonts w:ascii="Times New Roman" w:hAnsi="Times New Roman" w:cs="Times New Roman"/>
          <w:sz w:val="22"/>
          <w:szCs w:val="22"/>
          <w:lang w:val="en-US"/>
        </w:rPr>
        <w:t xml:space="preserve"> 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به‌عنوان یک ویژگی شخصیتی پایدار، از مجرای طرحواره‌های ناسازگار اولیه</w:t>
      </w:r>
      <w:r>
        <w:rPr>
          <w:rFonts w:ascii="B Nazanin" w:hAnsi="B Nazanin" w:cs="B Nazanin" w:hint="cs"/>
          <w:vertAlign w:val="superscript"/>
          <w:rtl/>
        </w:rPr>
        <w:footnoteReference w:id="3"/>
      </w:r>
      <w:r>
        <w:rPr>
          <w:rFonts w:ascii="B Nazanin" w:hAnsi="B Nazanin" w:cs="B Nazanin" w:hint="cs"/>
          <w:sz w:val="24"/>
          <w:szCs w:val="24"/>
          <w:rtl/>
          <w:lang w:bidi="fa-IR"/>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4"/>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6"/>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7"/>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8"/>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9"/>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10"/>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2"/>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3"/>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4"/>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2"/>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pPr>
        <w:bidi w:val="0"/>
      </w:pPr>
      <w:r>
        <w:rPr>
          <w:vertAlign w:val="superscript"/>
        </w:rPr>
        <w:footnoteRef/>
      </w:r>
      <w:r>
        <w:rPr>
          <w:rFonts w:ascii="Times New Roman" w:hAnsi="Times New Roman" w:cs="Times New Roman"/>
          <w:sz w:val="20"/>
          <w:szCs w:val="20"/>
        </w:rPr>
        <w:t xml:space="preserve"> Applied Research</w:t>
      </w:r>
    </w:p>
  </w:footnote>
  <w:footnote w:id="38">
    <w:p>
      <w:pPr>
        <w:bidi w:val="0"/>
      </w:pPr>
      <w:r>
        <w:rPr>
          <w:vertAlign w:val="superscript"/>
        </w:rPr>
        <w:footnoteRef/>
      </w:r>
      <w:r>
        <w:rPr>
          <w:rFonts w:ascii="Times New Roman" w:hAnsi="Times New Roman" w:cs="Times New Roman"/>
          <w:sz w:val="20"/>
          <w:szCs w:val="20"/>
        </w:rPr>
        <w:t xml:space="preserve"> Descriptive-Correlational</w:t>
      </w:r>
    </w:p>
  </w:footnote>
  <w:footnote w:id="39">
    <w:p>
      <w:pPr>
        <w:bidi w:val="0"/>
      </w:pPr>
      <w:r>
        <w:rPr>
          <w:vertAlign w:val="superscript"/>
        </w:rPr>
        <w:footnoteRef/>
      </w:r>
      <w:r>
        <w:rPr>
          <w:rFonts w:ascii="Times New Roman" w:hAnsi="Times New Roman" w:cs="Times New Roman"/>
          <w:sz w:val="20"/>
          <w:szCs w:val="20"/>
        </w:rPr>
        <w:t xml:space="preserve"> Mediation Model</w:t>
      </w:r>
    </w:p>
  </w:footnote>
  <w:footnote w:id="40">
    <w:p>
      <w:pPr>
        <w:bidi w:val="0"/>
      </w:pPr>
      <w:r>
        <w:rPr>
          <w:vertAlign w:val="superscript"/>
        </w:rPr>
        <w:footnoteRef/>
      </w:r>
      <w:r>
        <w:rPr>
          <w:rFonts w:ascii="Times New Roman" w:hAnsi="Times New Roman" w:cs="Times New Roman"/>
          <w:sz w:val="20"/>
          <w:szCs w:val="20"/>
        </w:rPr>
        <w:t xml:space="preserve"> Convenience Sampling</w:t>
      </w:r>
    </w:p>
  </w:footnote>
  <w:footnote w:id="41">
    <w:p>
      <w:pPr>
        <w:bidi w:val="0"/>
      </w:pPr>
      <w:r>
        <w:rPr>
          <w:vertAlign w:val="superscript"/>
        </w:rPr>
        <w:footnoteRef/>
      </w:r>
      <w:r>
        <w:rPr>
          <w:rFonts w:ascii="Times New Roman" w:hAnsi="Times New Roman" w:cs="Times New Roman"/>
          <w:sz w:val="20"/>
          <w:szCs w:val="20"/>
        </w:rPr>
        <w:t xml:space="preserve"> Snowball Sampling</w:t>
      </w:r>
    </w:p>
  </w:footnote>
  <w:footnote w:id="42">
    <w:p>
      <w:pPr>
        <w:bidi w:val="0"/>
      </w:pPr>
      <w:r>
        <w:rPr>
          <w:vertAlign w:val="superscript"/>
        </w:rPr>
        <w:footnoteRef/>
      </w:r>
      <w:r>
        <w:rPr>
          <w:rFonts w:ascii="Times New Roman" w:hAnsi="Times New Roman" w:cs="Times New Roman"/>
          <w:sz w:val="20"/>
          <w:szCs w:val="20"/>
        </w:rPr>
        <w:t xml:space="preserve"> Financial Risk Tolerance Scale (GL-RTS)</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