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jc w:val="center"/>
      </w:pPr>
    </w:p>
    <w:p>
      <w:pPr>
        <w:bidi w:val="1"/>
        <w:spacing w:lineRule="exact" w:line="580"/>
        <w:jc w:val="center"/>
      </w:pPr>
    </w:p>
    <w:p>
      <w:pPr>
        <w:bidi w:val="1"/>
        <w:spacing w:lineRule="exact" w:line="580"/>
        <w:jc w:val="center"/>
      </w:pPr>
    </w:p>
    <w:p>
      <w:pPr>
        <w:bidi w:val="1"/>
        <w:spacing w:lineRule="exact" w:line="580"/>
        <w:jc w:val="center"/>
      </w:pPr>
    </w:p>
    <w:p>
      <w:pPr>
        <w:bidi w:val="1"/>
        <w:spacing w:lineRule="exact" w:line="580" w:before="0" w:after="240"/>
        <w:jc w:val="center"/>
      </w:pPr>
      <w:r>
        <w:rPr>
          <w:rFonts w:ascii="Times New Roman" w:hAnsi="Times New Roman" w:cs="B Nazanin"/>
          <w:b/>
          <w:sz w:val="28"/>
        </w:rPr>
        <w:t>نام دانشگاه: [نام دانشگاه]</w:t>
      </w:r>
    </w:p>
    <w:p>
      <w:pPr>
        <w:bidi w:val="1"/>
        <w:spacing w:lineRule="exact" w:line="580" w:before="480" w:after="360"/>
        <w:jc w:val="center"/>
      </w:pPr>
      <w:r>
        <w:rPr>
          <w:rFonts w:ascii="Times New Roman" w:hAnsi="Times New Roman" w:cs="B Nazanin"/>
          <w:b/>
          <w:sz w:val="48"/>
        </w:rPr>
        <w:t>تعیین نقش میانجی‌گر طرحواره‌های ناسازگار اولیه در رابطه بین اضطراب صفتی و رفتارهای مالی پرخطر در معامله‌گران بازارهای مالی</w:t>
      </w:r>
    </w:p>
    <w:p>
      <w:pPr>
        <w:bidi w:val="1"/>
        <w:spacing w:lineRule="exact" w:line="580" w:before="0" w:after="480"/>
        <w:jc w:val="center"/>
      </w:pPr>
      <w:r>
        <w:rPr>
          <w:rFonts w:ascii="Times New Roman" w:hAnsi="Times New Roman" w:cs="B Nazanin"/>
          <w:b/>
          <w:sz w:val="28"/>
        </w:rPr>
        <w:t>پایان‌نامه کارشناسی ارشد رشتهٔ روان‌شناسی بالینی</w:t>
      </w:r>
    </w:p>
    <w:p>
      <w:pPr>
        <w:bidi w:val="1"/>
        <w:spacing w:lineRule="exact" w:line="580" w:before="360" w:after="120"/>
        <w:jc w:val="center"/>
      </w:pPr>
      <w:r>
        <w:rPr>
          <w:rFonts w:ascii="Times New Roman" w:hAnsi="Times New Roman" w:cs="B Nazanin"/>
          <w:sz w:val="28"/>
        </w:rPr>
        <w:t>استاد راهنما: دکتر سعید وزیری یزدی</w:t>
      </w:r>
    </w:p>
    <w:p>
      <w:pPr>
        <w:bidi w:val="1"/>
        <w:spacing w:lineRule="exact" w:line="580" w:before="0" w:after="480"/>
        <w:jc w:val="center"/>
      </w:pPr>
      <w:r>
        <w:rPr>
          <w:rFonts w:ascii="Times New Roman" w:hAnsi="Times New Roman" w:cs="B Nazanin"/>
          <w:sz w:val="28"/>
        </w:rPr>
        <w:t>نگارنده: [نام دانشجو]</w:t>
      </w:r>
    </w:p>
    <w:p>
      <w:pPr>
        <w:bidi w:val="1"/>
        <w:spacing w:lineRule="exact" w:line="580" w:before="240" w:after="0"/>
        <w:jc w:val="center"/>
      </w:pPr>
      <w:r>
        <w:rPr>
          <w:rFonts w:ascii="Times New Roman" w:hAnsi="Times New Roman" w:cs="B Nazanin"/>
          <w:sz w:val="28"/>
        </w:rPr>
        <w:t>سال: ۱۴۰۵</w:t>
      </w:r>
    </w:p>
    <w:p>
      <w:pPr>
        <w:sectPr>
          <w:pgSz w:w="11906" w:h="16838"/>
          <w:pgMar w:top="1701" w:right="2268" w:bottom="1417" w:left="1417" w:header="720" w:footer="720" w:gutter="0"/>
          <w:cols w:space="720"/>
          <w:bidi/>
          <w:docGrid w:linePitch="360"/>
        </w:sectPr>
      </w:pPr>
    </w:p>
    <w:p>
      <w:pPr>
        <w:bidi w:val="1"/>
        <w:spacing w:lineRule="exact" w:line="580" w:before="480" w:after="180"/>
        <w:jc w:val="center"/>
      </w:pPr>
      <w:r>
        <w:rPr>
          <w:rFonts w:ascii="Times New Roman" w:hAnsi="Times New Roman" w:cs="B Nazanin"/>
          <w:b/>
          <w:sz w:val="56"/>
        </w:rPr>
        <w:t>فصل اول</w:t>
      </w:r>
    </w:p>
    <w:p>
      <w:pPr>
        <w:bidi w:val="1"/>
        <w:spacing w:lineRule="exact" w:line="580" w:before="120" w:after="480"/>
        <w:jc w:val="center"/>
      </w:pPr>
      <w:r>
        <w:rPr>
          <w:rFonts w:ascii="Times New Roman" w:hAnsi="Times New Roman" w:cs="B Nazanin"/>
          <w:b/>
          <w:sz w:val="52"/>
        </w:rPr>
        <w:t>کلیات پژوهش</w:t>
      </w:r>
    </w:p>
    <w:p>
      <w:pPr>
        <w:bidi w:val="1"/>
        <w:spacing w:lineRule="exact" w:line="580" w:before="240" w:after="60"/>
        <w:jc w:val="right"/>
      </w:pPr>
      <w:r>
        <w:rPr>
          <w:rFonts w:ascii="Times New Roman" w:hAnsi="Times New Roman" w:cs="B Nazanin"/>
          <w:b/>
          <w:sz w:val="28"/>
        </w:rPr>
        <w:t>۱-۱. مقدمه</w:t>
      </w:r>
    </w:p>
    <w:p>
      <w:pPr>
        <w:bidi w:val="1"/>
        <w:spacing w:lineRule="exact" w:line="580" w:after="0"/>
        <w:jc w:val="both"/>
      </w:pPr>
      <w:r>
        <w:rPr>
          <w:rFonts w:ascii="Times New Roman" w:hAnsi="Times New Roman" w:cs="B Nazanin"/>
          <w:sz w:val="22"/>
        </w:rPr>
        <w:t>رفتارهای مالی پرخطر (High-Risk Financial Behaviors)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در پی آن است که نشان دهد چگونه این ویژگی، اضطراب صفتی (Trait Anxiety) به‌عنوان یک ویژگی شخصیتی پایدار، از مجرای طرحواره‌های ناسازگار اولیه (Early Maladaptive Schemas) به شکل‌گیری رفتارهای مالی پرخطر در معامله‌گران منجر می‌شود.</w:t>
      </w:r>
    </w:p>
    <w:p>
      <w:pPr>
        <w:bidi w:val="1"/>
        <w:spacing w:lineRule="exact" w:line="580" w:after="0"/>
        <w:jc w:val="both"/>
      </w:pPr>
      <w:r>
        <w:rPr>
          <w:rFonts w:ascii="Times New Roman" w:hAnsi="Times New Roman" w:cs="B Nazanin"/>
          <w:sz w:val="22"/>
        </w:rPr>
        <w:t>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مستقیماً بر کیفیت تصمیم‌گیری مالی اثر می‌گذارد و می‌تواند به اجتناب از تصمیم‌گیری، محافظه‌کاری افراطی یا واکنش‌های هیجانی و تکانشی منجر شود (ماهاتو و همکاران،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Times New Roman" w:hAnsi="Times New Roman" w:cs="B Nazanin"/>
          <w:sz w:val="22"/>
        </w:rPr>
        <w:t>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Times New Roman" w:hAnsi="Times New Roman" w:cs="B Nazanin"/>
          <w:sz w:val="22"/>
        </w:rPr>
        <w:t>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به اعتیادهای رفتاری مخرب منجر شود (گرال-برونک و همکاران،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bidi w:val="1"/>
        <w:spacing w:lineRule="exact" w:line="580" w:before="240" w:after="60"/>
        <w:jc w:val="right"/>
      </w:pPr>
      <w:r>
        <w:rPr>
          <w:rFonts w:ascii="Times New Roman" w:hAnsi="Times New Roman" w:cs="B Nazanin"/>
          <w:b/>
          <w:sz w:val="28"/>
        </w:rPr>
        <w:t>۱-۲. بیان مسأله</w:t>
      </w:r>
    </w:p>
    <w:p>
      <w:pPr>
        <w:bidi w:val="1"/>
        <w:spacing w:lineRule="exact" w:line="580" w:before="180" w:after="40"/>
        <w:jc w:val="right"/>
      </w:pPr>
      <w:r>
        <w:rPr>
          <w:rFonts w:ascii="Times New Roman" w:hAnsi="Times New Roman" w:cs="B Nazanin"/>
          <w:b/>
          <w:sz w:val="26"/>
        </w:rPr>
        <w:t>بازارهای مالی و محیط پرتنش تصمیم‌گیری</w:t>
      </w:r>
    </w:p>
    <w:p>
      <w:pPr>
        <w:bidi w:val="1"/>
        <w:spacing w:lineRule="exact" w:line="580" w:after="0"/>
        <w:jc w:val="both"/>
      </w:pPr>
      <w:r>
        <w:rPr>
          <w:rFonts w:ascii="Times New Roman" w:hAnsi="Times New Roman" w:cs="B Nazanin"/>
          <w:sz w:val="22"/>
        </w:rPr>
        <w:t>بازارهای مالی در جهان پیچیده و درهم‌تنیده امروز، فراتر از یک مکانیسم ساده برای دادوستد، به 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 ۲۰۱۹).</w:t>
      </w:r>
    </w:p>
    <w:p>
      <w:pPr>
        <w:bidi w:val="1"/>
        <w:spacing w:lineRule="exact" w:line="580" w:after="0"/>
        <w:jc w:val="both"/>
      </w:pPr>
      <w:r>
        <w:rPr>
          <w:rFonts w:ascii="Times New Roman" w:hAnsi="Times New Roman" w:cs="B Nazanin"/>
          <w:sz w:val="22"/>
        </w:rPr>
        <w:t>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Times New Roman" w:hAnsi="Times New Roman" w:cs="B Nazanin"/>
          <w:sz w:val="22"/>
        </w:rPr>
        <w:t>این سهولت در دسترسی، انبوهی از افراد غیرمتخصص و فاقد تجربه را که اغلب به ابزارهای تحلیل حرفه‌ای و استراتژی‌های مدیریت ریسک مجهز نیستند، به 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Times New Roman" w:hAnsi="Times New Roman" w:cs="B Nazanin"/>
          <w:sz w:val="22"/>
        </w:rPr>
        <w:t>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 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 عنوان دارایی‌های امن‌تر شناخته می‌شوند (بودی، کین و مارکوس، ۲۰۱۸).</w:t>
      </w:r>
    </w:p>
    <w:p>
      <w:pPr>
        <w:bidi w:val="1"/>
        <w:spacing w:lineRule="exact" w:line="580" w:after="0"/>
        <w:jc w:val="both"/>
      </w:pPr>
      <w:r>
        <w:rPr>
          <w:rFonts w:ascii="Times New Roman" w:hAnsi="Times New Roman" w:cs="B Nazanin"/>
          <w:sz w:val="22"/>
        </w:rPr>
        <w:t>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 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 ۲۰۱۵).</w:t>
      </w:r>
    </w:p>
    <w:p>
      <w:pPr>
        <w:bidi w:val="1"/>
        <w:spacing w:lineRule="exact" w:line="580" w:after="0"/>
        <w:jc w:val="both"/>
      </w:pPr>
      <w:r>
        <w:rPr>
          <w:rFonts w:ascii="Times New Roman" w:hAnsi="Times New Roman" w:cs="B Nazanin"/>
          <w:sz w:val="22"/>
        </w:rPr>
        <w:t>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Times New Roman" w:hAnsi="Times New Roman" w:cs="B Nazanin"/>
          <w:sz w:val="22"/>
        </w:rPr>
        <w:t>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Times New Roman" w:hAnsi="Times New Roman" w:cs="B Nazanin"/>
          <w:sz w:val="22"/>
        </w:rPr>
        <w:t>به 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bidi w:val="1"/>
        <w:spacing w:lineRule="exact" w:line="580" w:before="180" w:after="40"/>
        <w:jc w:val="right"/>
      </w:pPr>
      <w:r>
        <w:rPr>
          <w:rFonts w:ascii="Times New Roman" w:hAnsi="Times New Roman" w:cs="B Nazanin"/>
          <w:b/>
          <w:sz w:val="26"/>
        </w:rPr>
        <w:t>از فرضیه بازار کارا تا اقتصاد رفتاری</w:t>
      </w:r>
    </w:p>
    <w:p>
      <w:pPr>
        <w:bidi w:val="1"/>
        <w:spacing w:lineRule="exact" w:line="580" w:after="0"/>
        <w:jc w:val="both"/>
      </w:pPr>
      <w:r>
        <w:rPr>
          <w:rFonts w:ascii="Times New Roman" w:hAnsi="Times New Roman" w:cs="B Nazanin"/>
          <w:sz w:val="22"/>
        </w:rPr>
        <w:t>در بخش بزرگی از قرن بیستم، ادبیات آکادمیک تحلیل بازارهای مالی تحت سیطرهٔ فرضیه بازار کارا (Efficient Market Hypothesis)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Times New Roman" w:hAnsi="Times New Roman" w:cs="B Nazanin"/>
          <w:sz w:val="22"/>
        </w:rPr>
        <w:t>فرضیه بازار کارا در جریان تکامل نظری خود، به 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 طور کامل و بدون سوگیری در قیمت دارایی‌ها منعکس می‌شوند؛ و سوم، آنکه در نتیجهٔ این دو، هیچ سرمایه‌گذاری نمی‌تواند با اتکا به اطلاعات گذشته یا تحلیل‌های عمومی، به 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Times New Roman" w:hAnsi="Times New Roman" w:cs="B Nazanin"/>
          <w:sz w:val="22"/>
        </w:rPr>
        <w:t>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Times New Roman" w:hAnsi="Times New Roman" w:cs="B Nazanin"/>
          <w:sz w:val="22"/>
        </w:rPr>
        <w:t>این ناهنجاری‌ها زمینه را برای ظهور اقتصاد رفتاری (Behavioral Economics) فراهم کرد؛ حوزه‌ای میان‌رشته‌ای که با ادغام بینش‌های روانشناسی شناختی در تحلیل‌های اقتصادی، نشان داد تصمیمات انسان در محیط‌های واقعی به طور سیستماتیک و قابل پیش‌بینی از عقلانیت محض منحرف می‌شوند (تیلر، ۲۰۱۶). سنگ بنای این حوزه، نظریه چشم‌انداز (Prospect Theory) بود که کانمن و تورسکی (۱۹۷۹) آن را ارائه کردند و بر پایهٔ آن، افراد به‌جای ارزیابی سطح نهایی ثروت، تغییرات سود و زیان را نسبت به یک نقطهٔ مرجع ذهنی می‌سنجند و زیان‌گریزی (Loss Aversion) — شدت بیشتر درد زیان نسبت به لذت سود معادل — بسیاری از رفتارهای به ظاهر غیرمنطقی سرمایه‌گذاران را تبیین می‌کند (کانمن،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Times New Roman" w:hAnsi="Times New Roman" w:cs="B Nazanin"/>
          <w:sz w:val="22"/>
        </w:rPr>
        <w:t>یکی از قدرتمندترین فشارهای روانشناختی بر این نسل جدید از سرمایه‌گذاران، ترس از دست دادن فرصت (Fear of Missing Out) است که توسط رسانه‌های اجتماعی تقویت می‌شود و می‌تواند افراد را به سمت تصمیمات هیجانی، نظیر ورود دیرهنگام به حباب‌های سوداگرانه، سوق دهد (اور و شوماخر، ۲۰۲۳). این پدیده ارتباط نزدیکی با رفتار گله‌ای دارد؛ در این رفتار، افراد به جای اتکا به تحلیل شخصی، از اقدامات دیگر معامله‌گران — به ویژه در شرایط استرس و نوسانات بالای بازار — پیروی می‌کنند و همین تقلید جمعی می‌تواند نیروی پیش‌برندهٔ شکل‌گیری حباب‌های قیمتی خطرناک شود (هوانگ و سالمون،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bidi w:val="1"/>
        <w:spacing w:lineRule="exact" w:line="580" w:before="180" w:after="40"/>
        <w:jc w:val="right"/>
      </w:pPr>
      <w:r>
        <w:rPr>
          <w:rFonts w:ascii="Times New Roman" w:hAnsi="Times New Roman" w:cs="B Nazanin"/>
          <w:b/>
          <w:sz w:val="26"/>
        </w:rPr>
        <w:t>بافت ویژهٔ اقتصادی و اجتماعی ایران</w:t>
      </w:r>
    </w:p>
    <w:p>
      <w:pPr>
        <w:bidi w:val="1"/>
        <w:spacing w:lineRule="exact" w:line="580" w:after="0"/>
        <w:jc w:val="both"/>
      </w:pPr>
      <w:r>
        <w:rPr>
          <w:rFonts w:ascii="Times New Roman" w:hAnsi="Times New Roman" w:cs="B Nazanin"/>
          <w:sz w:val="22"/>
        </w:rPr>
        <w:t>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Times New Roman" w:hAnsi="Times New Roman" w:cs="B Nazanin"/>
          <w:sz w:val="22"/>
        </w:rPr>
        <w:t>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 عنوان یک انتخاب برای افزایش ثروت، بلکه به 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Times New Roman" w:hAnsi="Times New Roman" w:cs="B Nazanin"/>
          <w:sz w:val="22"/>
        </w:rPr>
        <w:t>در چنین محیط پرفشار و آشفته‌ای که تصمیم‌گیری‌ها به ناچار باید در فضایی از عدم قطعیت و ابهام صورت پذیرد، ویژگی‌های شخصیتی پایدار افراد، به 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Times New Roman" w:hAnsi="Times New Roman" w:cs="B Nazanin"/>
          <w:sz w:val="22"/>
        </w:rPr>
        <w:t>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bidi w:val="1"/>
        <w:spacing w:lineRule="exact" w:line="580" w:before="180" w:after="40"/>
        <w:jc w:val="right"/>
      </w:pPr>
      <w:r>
        <w:rPr>
          <w:rFonts w:ascii="Times New Roman" w:hAnsi="Times New Roman" w:cs="B Nazanin"/>
          <w:b/>
          <w:sz w:val="26"/>
        </w:rPr>
        <w:t>اضطراب صفتی، طرحواره‌های ناسازگار اولیه و رفتارهای مالی پرخطر</w:t>
      </w:r>
    </w:p>
    <w:p>
      <w:pPr>
        <w:bidi w:val="1"/>
        <w:spacing w:lineRule="exact" w:line="580" w:after="0"/>
        <w:jc w:val="both"/>
      </w:pPr>
      <w:r>
        <w:rPr>
          <w:rFonts w:ascii="Times New Roman" w:hAnsi="Times New Roman" w:cs="B Nazanin"/>
          <w:sz w:val="22"/>
        </w:rPr>
        <w:t>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 ۱۹۸۳). از منظر شناختی نیز، دیدگاه بک تأکید دارد که این افراد دارای طرحواره‌های خطری هستند که پردازش اطلاعات را به شکل سوگیرانه‌ای جهت می‌دهند (بک، ۱۹۷۶).</w:t>
      </w:r>
    </w:p>
    <w:p>
      <w:pPr>
        <w:bidi w:val="1"/>
        <w:spacing w:lineRule="exact" w:line="580" w:after="0"/>
        <w:jc w:val="both"/>
      </w:pPr>
      <w:r>
        <w:rPr>
          <w:rFonts w:ascii="Times New Roman" w:hAnsi="Times New Roman" w:cs="B Nazanin"/>
          <w:sz w:val="22"/>
        </w:rPr>
        <w:t>در سطح شناختی، اضطراب صفتی با سوگیری‌های نظام‌مند در پردازش اطلاعات تهدیدآمیز همراه است. شواهد عصب‌شناختی-شناختی نشان می‌دهند که در افراد مضطرب، سیستم توجهی به طور خودکار به سمت نشانه‌های بالقوهٔ خطر جهت‌گیری می‌کند و منابع شناختی از پردازش اطلاعات خنثی یا مثبت منحرف می‌شوند (بیشاپ،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 عنوان موقعیت‌های تهدیدآمیز همراه باشد (بک و کلارک،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Times New Roman" w:hAnsi="Times New Roman" w:cs="B Nazanin"/>
          <w:sz w:val="22"/>
        </w:rPr>
        <w:t>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 ۲۰۱۳). بر اساس نظریهٔ کنترل توجه (Attentional Control Theory)، اضطراب با افزایش نفوذ سیستم توجهی محرک‌محور و کاهش کارایی سیستم هدف‌محور، کارکرد شناختی فرد را تنزل می‌دهد (آیزنک و همکاران، ۲۰۰۷)؛ مکانیسمی که پیامد آن، اشغال منابع محدود حافظهٔ کاری توسط نگرانی‌های مزاحم و تضعیف ظرفیت تحلیل‌های منطقی چندمرحله‌ای است (بدلی، آیزنک و اندرسون،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Times New Roman" w:hAnsi="Times New Roman" w:cs="B Nazanin"/>
          <w:sz w:val="22"/>
        </w:rPr>
        <w:t>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 ۲۰۰۳).</w:t>
      </w:r>
    </w:p>
    <w:p>
      <w:pPr>
        <w:bidi w:val="1"/>
        <w:spacing w:lineRule="exact" w:line="580" w:after="0"/>
        <w:jc w:val="both"/>
      </w:pPr>
      <w:r>
        <w:rPr>
          <w:rFonts w:ascii="Times New Roman" w:hAnsi="Times New Roman" w:cs="B Nazanin"/>
          <w:sz w:val="22"/>
        </w:rPr>
        <w:t>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 عنوان یک تفسیر، بلکه به عنوان حقیقتی بدیهی دربارهٔ خود و جهان تجربه می‌کند (آرنتز و جیکوب، ۲۰۱۲). از سوی دیگر، طرحواره‌ها ساختارهایی منفعل نیستند؛ بلکه به 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 طور مکرر در الگوهای واکنش هیجانی و تصمیم‌گیری مشابه گرفتار می‌ماند (یانگ و همکاران، ۲۰۰۳).</w:t>
      </w:r>
    </w:p>
    <w:p>
      <w:pPr>
        <w:bidi w:val="1"/>
        <w:spacing w:lineRule="exact" w:line="580" w:after="0"/>
        <w:jc w:val="both"/>
      </w:pPr>
      <w:r>
        <w:rPr>
          <w:rFonts w:ascii="Times New Roman" w:hAnsi="Times New Roman" w:cs="B Nazanin"/>
          <w:sz w:val="22"/>
        </w:rPr>
        <w:t>پژوهش‌های گسترده، ارتباط معنادار طرحواره‌های ناسازگار اولیه با انواع رفتارهای خودآسیب‌رسان، به 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 ۲۰۱۲؛ لیندبرگ و همکاران،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Times New Roman" w:hAnsi="Times New Roman" w:cs="B Nazanin"/>
          <w:sz w:val="22"/>
        </w:rPr>
        <w:t>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Times New Roman" w:hAnsi="Times New Roman" w:cs="B Nazanin"/>
          <w:sz w:val="22"/>
        </w:rPr>
        <w:t>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 ۲۰۱۰). ابعاد کلیدی این سازه در ادبیات مالی رفتاری چهار موردند: معامله‌گری بیش از حد (Overtrading) (باربر و اودین، ۲۰۰۰)؛ اثر گرایش (Disposition Effect) (شفرین و استاتمن، ۱۹۸۵)؛ رفتار گله‌ای (Herding Behavior) (هوانگ و سالمون، ۲۰۰۴)؛ و تمرکز ناکافی سبد دارایی (گوتزمن و کومار، ۲۰۰۸).</w:t>
      </w:r>
    </w:p>
    <w:p>
      <w:pPr>
        <w:bidi w:val="1"/>
        <w:spacing w:lineRule="exact" w:line="580" w:after="0"/>
        <w:jc w:val="both"/>
      </w:pPr>
      <w:r>
        <w:rPr>
          <w:rFonts w:ascii="Times New Roman" w:hAnsi="Times New Roman" w:cs="B Nazanin"/>
          <w:sz w:val="22"/>
        </w:rPr>
        <w:t>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Times New Roman" w:hAnsi="Times New Roman" w:cs="B Nazanin"/>
          <w:sz w:val="22"/>
        </w:rPr>
        <w:t>در بُعد رفتار گله‌ای، شواهد نشان می‌دهند که این پدیده به 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به شکل‌گیری حباب‌های قیمتی کاذب و سقوط‌های ناگهانی منجر شود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مجموع این چهار بُعد، هستهٔ اصلی سازهٔ «رفتارهای مالی پرخطر» را در پژوهش حاضر تشکیل می‌دهد و چارچوب سنجش آن را نیز تعیین می‌کند.</w:t>
      </w:r>
    </w:p>
    <w:p>
      <w:pPr>
        <w:bidi w:val="1"/>
        <w:spacing w:lineRule="exact" w:line="580" w:before="180" w:after="40"/>
        <w:jc w:val="right"/>
      </w:pPr>
      <w:r>
        <w:rPr>
          <w:rFonts w:ascii="Times New Roman" w:hAnsi="Times New Roman" w:cs="B Nazanin"/>
          <w:b/>
          <w:sz w:val="26"/>
        </w:rPr>
        <w:t>شکاف تبیینی: فقدان مدل میانجی‌گر در جامعه معامله‌گران</w:t>
      </w:r>
    </w:p>
    <w:p>
      <w:pPr>
        <w:bidi w:val="1"/>
        <w:spacing w:lineRule="exact" w:line="580" w:after="0"/>
        <w:jc w:val="both"/>
      </w:pPr>
      <w:r>
        <w:rPr>
          <w:rFonts w:ascii="Times New Roman" w:hAnsi="Times New Roman" w:cs="B Nazanin"/>
          <w:sz w:val="22"/>
        </w:rPr>
        <w:t>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 (Diathesis-Stress Model) (زاکرمن، ۱۹۹۹) پیشنهاد می‌کند؛ مدلی که در آن اضطراب صفتی به‌عنوان استعداد آسیب‌پذیری، در تعامل با استرس‌های بازار فعال شده و از مجرای فعال‌سازی طرحواره‌ها، رفتار مالی نهایی را هدایت می‌کند. مسئلهٔ اصلی پژوهش نیز همین است: تبیین و آزمون تجربی همین نقش میانجی‌گر.</w:t>
      </w:r>
    </w:p>
    <w:p>
      <w:pPr>
        <w:bidi w:val="1"/>
        <w:spacing w:lineRule="exact" w:line="580" w:after="0"/>
        <w:jc w:val="both"/>
      </w:pPr>
      <w:r>
        <w:rPr>
          <w:rFonts w:ascii="Times New Roman" w:hAnsi="Times New Roman" w:cs="B Nazanin"/>
          <w:sz w:val="22"/>
        </w:rPr>
        <w:t>برای تبیین این تبدیل، پژوهش حاضر به منطق مدل استعداد-استرس تکیه می‌کند (زاکرمن، ۱۹۹۹). بر اساس این مدل، اضطراب صفتی به عنوان یک آسیب‌پذیری پایدار، لزوماً به تنهایی و به 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رفتار مالی نهایی را هدایت می‌کنند. به این ترتیب، طرحواره حلقهٔ گمشدهٔ زنجیرهٔ تبدیل هیجان به عمل در بازارهای مالی محسوب می‌شود.</w:t>
      </w:r>
    </w:p>
    <w:p>
      <w:pPr>
        <w:bidi w:val="1"/>
        <w:spacing w:lineRule="exact" w:line="580" w:after="0"/>
        <w:jc w:val="both"/>
      </w:pPr>
      <w:r>
        <w:rPr>
          <w:rFonts w:ascii="Times New Roman" w:hAnsi="Times New Roman" w:cs="B Nazanin"/>
          <w:sz w:val="22"/>
        </w:rPr>
        <w:t>تمرکز بر جامعهٔ معامله‌گران بازارهای مالی نیز مبتنی بر یک ضرورت روش‌شناختی است: این افراد برخلاف جمعیت عمومی، به 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bidi w:val="1"/>
        <w:spacing w:lineRule="exact" w:line="580" w:before="240" w:after="60"/>
        <w:jc w:val="right"/>
      </w:pPr>
      <w:r>
        <w:rPr>
          <w:rFonts w:ascii="Times New Roman" w:hAnsi="Times New Roman" w:cs="B Nazanin"/>
          <w:b/>
          <w:sz w:val="28"/>
        </w:rPr>
        <w:t>۱-۳. اهمیت و ضرورت پژوهش</w:t>
      </w:r>
    </w:p>
    <w:p>
      <w:pPr>
        <w:bidi w:val="1"/>
        <w:spacing w:lineRule="exact" w:line="580" w:before="180" w:after="40"/>
        <w:jc w:val="right"/>
      </w:pPr>
      <w:r>
        <w:rPr>
          <w:rFonts w:ascii="Times New Roman" w:hAnsi="Times New Roman" w:cs="B Nazanin"/>
          <w:b/>
          <w:sz w:val="26"/>
        </w:rPr>
        <w:t>اهمیت نظری</w:t>
      </w:r>
    </w:p>
    <w:p>
      <w:pPr>
        <w:bidi w:val="1"/>
        <w:spacing w:lineRule="exact" w:line="580" w:after="0"/>
        <w:jc w:val="both"/>
      </w:pPr>
      <w:r>
        <w:rPr>
          <w:rFonts w:ascii="Times New Roman" w:hAnsi="Times New Roman" w:cs="B Nazanin"/>
          <w:sz w:val="22"/>
        </w:rPr>
        <w:t>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Times New Roman" w:hAnsi="Times New Roman" w:cs="B Nazanin"/>
          <w:sz w:val="22"/>
        </w:rPr>
        <w:t>این تحقیق با ارائه، تدوین و آزمون تجربی یک مدل جامع میانجی‌گری، تلاشی نظام‌مند برای عبور از سطح توصیف صرف پدیده‌ها و برداشتن گامی بلند به سوی «تبیین علیّتی»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 ۲۰۰۱)</w:t>
      </w:r>
    </w:p>
    <w:p>
      <w:pPr>
        <w:bidi w:val="1"/>
        <w:spacing w:lineRule="exact" w:line="580" w:after="0"/>
        <w:jc w:val="both"/>
      </w:pPr>
      <w:r>
        <w:rPr>
          <w:rFonts w:ascii="Times New Roman" w:hAnsi="Times New Roman" w:cs="B Nazanin"/>
          <w:sz w:val="22"/>
        </w:rPr>
        <w:t>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Times New Roman" w:hAnsi="Times New Roman" w:cs="B Nazanin"/>
          <w:sz w:val="22"/>
        </w:rPr>
        <w:t>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Times New Roman" w:hAnsi="Times New Roman" w:cs="B Nazanin"/>
          <w:sz w:val="22"/>
        </w:rPr>
        <w:t>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bidi w:val="1"/>
        <w:spacing w:lineRule="exact" w:line="580" w:before="180" w:after="40"/>
        <w:jc w:val="right"/>
      </w:pPr>
      <w:r>
        <w:rPr>
          <w:rFonts w:ascii="Times New Roman" w:hAnsi="Times New Roman" w:cs="B Nazanin"/>
          <w:b/>
          <w:sz w:val="26"/>
        </w:rPr>
        <w:t>اهمیت کاربردی (در سطح معامله‌گران و نهادهای مالی)</w:t>
      </w:r>
    </w:p>
    <w:p>
      <w:pPr>
        <w:bidi w:val="1"/>
        <w:spacing w:lineRule="exact" w:line="580" w:after="0"/>
        <w:jc w:val="both"/>
      </w:pPr>
      <w:r>
        <w:rPr>
          <w:rFonts w:ascii="Times New Roman" w:hAnsi="Times New Roman" w:cs="B Nazanin"/>
          <w:sz w:val="22"/>
        </w:rPr>
        <w:t>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 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Times New Roman" w:hAnsi="Times New Roman" w:cs="B Nazanin"/>
          <w:sz w:val="22"/>
        </w:rPr>
        <w:t>نتایج کاربردی این پژوهش، با شناسایی دقیق و مبتنی بر شواهد طرحواره‌های کلیدی و باورهای بنیادین ناکارآمدی که به 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Times New Roman" w:hAnsi="Times New Roman" w:cs="B Nazanin"/>
          <w:sz w:val="22"/>
        </w:rPr>
        <w:t>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 ۲۰۱۲).</w:t>
      </w:r>
    </w:p>
    <w:p>
      <w:pPr>
        <w:bidi w:val="1"/>
        <w:spacing w:lineRule="exact" w:line="580" w:after="0"/>
        <w:jc w:val="both"/>
      </w:pPr>
      <w:r>
        <w:rPr>
          <w:rFonts w:ascii="Times New Roman" w:hAnsi="Times New Roman" w:cs="B Nazanin"/>
          <w:sz w:val="22"/>
        </w:rPr>
        <w:t>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Times New Roman" w:hAnsi="Times New Roman" w:cs="B Nazanin"/>
          <w:sz w:val="22"/>
        </w:rPr>
        <w:t>این اقدام استراتژیک، نه تنها کیفیت آموزش و مهارت‌افزایی سرمایه‌گذاران را ارتقا می‌بخشد، بلکه به 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 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Times New Roman" w:hAnsi="Times New Roman" w:cs="B Nazanin"/>
          <w:sz w:val="22"/>
        </w:rPr>
        <w:t>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bidi w:val="1"/>
        <w:spacing w:lineRule="exact" w:line="580" w:before="180" w:after="40"/>
        <w:jc w:val="right"/>
      </w:pPr>
      <w:r>
        <w:rPr>
          <w:rFonts w:ascii="Times New Roman" w:hAnsi="Times New Roman" w:cs="B Nazanin"/>
          <w:b/>
          <w:sz w:val="26"/>
        </w:rPr>
        <w:t>اهمیت اجتماعی (در سطح سرمایه‌گذاران خرد و خانواده‌ها)</w:t>
      </w:r>
    </w:p>
    <w:p>
      <w:pPr>
        <w:bidi w:val="1"/>
        <w:spacing w:lineRule="exact" w:line="580" w:after="0"/>
        <w:jc w:val="both"/>
      </w:pPr>
      <w:r>
        <w:rPr>
          <w:rFonts w:ascii="Times New Roman" w:hAnsi="Times New Roman" w:cs="B Nazanin"/>
          <w:sz w:val="22"/>
        </w:rPr>
        <w:t>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 ویژه با ظهور پلتفرم‌های دموکراتیک معاملاتی، میلیون‌ها فرد فاقد تجربه و آموزش تخصصی را به طور ناگهانی وارد عرصه‌ای کرده است که تا پیش از این قلمرو انحصاری نخبگان مالی بود.</w:t>
      </w:r>
    </w:p>
    <w:p>
      <w:pPr>
        <w:bidi w:val="1"/>
        <w:spacing w:lineRule="exact" w:line="580" w:after="0"/>
        <w:jc w:val="both"/>
      </w:pPr>
      <w:r>
        <w:rPr>
          <w:rFonts w:ascii="Times New Roman" w:hAnsi="Times New Roman" w:cs="B Nazanin"/>
          <w:sz w:val="22"/>
        </w:rPr>
        <w:t>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Times New Roman" w:hAnsi="Times New Roman" w:cs="B Nazanin"/>
          <w:sz w:val="22"/>
        </w:rPr>
        <w:t>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مستقیماً بر کیفیت تصمیم‌گیری‌های مالی آن‌ها اثرگذار است.</w:t>
      </w:r>
    </w:p>
    <w:p>
      <w:pPr>
        <w:bidi w:val="1"/>
        <w:spacing w:lineRule="exact" w:line="580" w:after="0"/>
        <w:jc w:val="both"/>
      </w:pPr>
      <w:r>
        <w:rPr>
          <w:rFonts w:ascii="Times New Roman" w:hAnsi="Times New Roman" w:cs="B Nazanin"/>
          <w:sz w:val="22"/>
        </w:rPr>
        <w:t>یافته‌های این پژوهش‌ها حاکی از آن است که اضطراب صفتی بالا در این معامله‌گران جوان، نه تنها منجر به تصمیمات عجولانه می‌شود،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Times New Roman" w:hAnsi="Times New Roman" w:cs="B Nazanin"/>
          <w:sz w:val="22"/>
        </w:rPr>
        <w:t>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به اعتیادهای رفتاری مخرب منجر شود (گرال-برونک و همکاران، ۲۰۲۵).</w:t>
      </w:r>
    </w:p>
    <w:p>
      <w:pPr>
        <w:bidi w:val="1"/>
        <w:spacing w:lineRule="exact" w:line="580" w:after="0"/>
        <w:jc w:val="both"/>
      </w:pPr>
      <w:r>
        <w:rPr>
          <w:rFonts w:ascii="Times New Roman" w:hAnsi="Times New Roman" w:cs="B Nazanin"/>
          <w:sz w:val="22"/>
        </w:rPr>
        <w:t>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bidi w:val="1"/>
        <w:spacing w:lineRule="exact" w:line="580" w:before="180" w:after="40"/>
        <w:jc w:val="right"/>
      </w:pPr>
      <w:r>
        <w:rPr>
          <w:rFonts w:ascii="Times New Roman" w:hAnsi="Times New Roman" w:cs="B Nazanin"/>
          <w:b/>
          <w:sz w:val="26"/>
        </w:rPr>
        <w:t>ضرورت زمینه‌ای (بافت بازارهای مالی ایران)</w:t>
      </w:r>
    </w:p>
    <w:p>
      <w:pPr>
        <w:bidi w:val="1"/>
        <w:spacing w:lineRule="exact" w:line="580" w:after="0"/>
        <w:jc w:val="both"/>
      </w:pPr>
      <w:r>
        <w:rPr>
          <w:rFonts w:ascii="Times New Roman" w:hAnsi="Times New Roman" w:cs="B Nazanin"/>
          <w:sz w:val="22"/>
        </w:rPr>
        <w:t>اما هنگامی که کانون توجه به 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Times New Roman" w:hAnsi="Times New Roman" w:cs="B Nazanin"/>
          <w:sz w:val="22"/>
        </w:rPr>
        <w:t>در چنین شرایطی که سرمایه‌گذاری نه به عنوان یک انتخاب برای افزایش ثروت، بلکه به 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Times New Roman" w:hAnsi="Times New Roman" w:cs="B Nazanin"/>
          <w:sz w:val="22"/>
        </w:rPr>
        <w:t>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شیوع طرحواره‌های ناسازگار اولیه، به‌ویژه در حوزه‌های حساسیت‌زایی نظیر «بریدگی و طرد» و «اضطراب اجتماعی»، در میان دانشجویان و قشر جوان ایرانی قابل توجه است. این یافته‌ها هشدار می‌دهند که ورود این گروه جمعیتی به بازار سرمایه، بدون حل‌وفصل تعارضات شناختی و هیجانی زیربنایی، می‌تواند به انتقال مستقیم اضطراب‌های بین‌فردی به محیط تصمیم‌گیری مالی و تشدید رفتارهای اجتنابی یا جبرانی در معامله‌گری منجر شود (نوری و هاشمیان، ۱۳۹۶)</w:t>
      </w:r>
    </w:p>
    <w:p>
      <w:pPr>
        <w:bidi w:val="1"/>
        <w:spacing w:lineRule="exact" w:line="580" w:after="0"/>
        <w:jc w:val="both"/>
      </w:pPr>
      <w:r>
        <w:rPr>
          <w:rFonts w:ascii="Times New Roman" w:hAnsi="Times New Roman" w:cs="B Nazanin"/>
          <w:sz w:val="22"/>
        </w:rPr>
        <w:t>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Times New Roman" w:hAnsi="Times New Roman" w:cs="B Nazanin"/>
          <w:sz w:val="22"/>
        </w:rPr>
        <w:t>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منجر به شکل‌گیری حباب‌های قیمتی کاذب و سقوط‌های ناگهانی شود.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Times New Roman" w:hAnsi="Times New Roman" w:cs="B Nazanin"/>
          <w:sz w:val="22"/>
        </w:rPr>
        <w:t>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به تشدید رفتار توده‌وار و شکل‌گیری حباب‌های قیمتی کاذب می‌انجامد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bidi w:val="1"/>
        <w:spacing w:lineRule="exact" w:line="580" w:before="180" w:after="40"/>
        <w:jc w:val="right"/>
      </w:pPr>
      <w:r>
        <w:rPr>
          <w:rFonts w:ascii="Times New Roman" w:hAnsi="Times New Roman" w:cs="B Nazanin"/>
          <w:b/>
          <w:sz w:val="26"/>
        </w:rPr>
        <w:t>جمع‌بندی اهمیت و ضرورت پژوهش (پر کردن شکاف تبیینی)</w:t>
      </w:r>
    </w:p>
    <w:p>
      <w:pPr>
        <w:bidi w:val="1"/>
        <w:spacing w:lineRule="exact" w:line="580" w:after="0"/>
        <w:jc w:val="both"/>
      </w:pPr>
      <w:r>
        <w:rPr>
          <w:rFonts w:ascii="Times New Roman" w:hAnsi="Times New Roman" w:cs="B Nazanin"/>
          <w:sz w:val="22"/>
        </w:rPr>
        <w:t>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Times New Roman" w:hAnsi="Times New Roman" w:cs="B Nazanin"/>
          <w:sz w:val="22"/>
        </w:rPr>
        <w:t>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bidi w:val="1"/>
        <w:spacing w:lineRule="exact" w:line="580" w:before="240" w:after="60"/>
        <w:jc w:val="right"/>
      </w:pPr>
      <w:r>
        <w:rPr>
          <w:rFonts w:ascii="Times New Roman" w:hAnsi="Times New Roman" w:cs="B Nazanin"/>
          <w:b/>
          <w:sz w:val="28"/>
        </w:rPr>
        <w:t>۱-۴. اهداف پژوهش</w:t>
      </w:r>
    </w:p>
    <w:p>
      <w:pPr>
        <w:bidi w:val="1"/>
        <w:spacing w:lineRule="exact" w:line="580" w:after="0"/>
        <w:jc w:val="both"/>
      </w:pPr>
      <w:r>
        <w:rPr>
          <w:rFonts w:ascii="Times New Roman" w:hAnsi="Times New Roman" w:cs="B Nazanin"/>
          <w:sz w:val="22"/>
        </w:rPr>
        <w:t>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bidi w:val="1"/>
        <w:spacing w:lineRule="exact" w:line="580" w:before="180" w:after="40"/>
        <w:jc w:val="right"/>
      </w:pPr>
      <w:r>
        <w:rPr>
          <w:rFonts w:ascii="Times New Roman" w:hAnsi="Times New Roman" w:cs="B Nazanin"/>
          <w:b/>
          <w:sz w:val="26"/>
        </w:rPr>
        <w:t>۱-۴-۱. هدف اصلی</w:t>
      </w:r>
    </w:p>
    <w:p>
      <w:pPr>
        <w:bidi w:val="1"/>
        <w:spacing w:lineRule="exact" w:line="580" w:after="0"/>
        <w:jc w:val="both"/>
      </w:pPr>
      <w:r>
        <w:rPr>
          <w:rFonts w:ascii="Times New Roman" w:hAnsi="Times New Roman" w:cs="B Nazanin"/>
          <w:sz w:val="22"/>
        </w:rPr>
        <w:t>تعیین نقش میانجی‌گر طرحواره‌های ناسازگار اولیه در رابطه بین اضطراب صفتی و رفتارهای مالی پرخطر.</w:t>
      </w:r>
    </w:p>
    <w:p>
      <w:pPr>
        <w:bidi w:val="1"/>
        <w:spacing w:lineRule="exact" w:line="580" w:before="180" w:after="40"/>
        <w:jc w:val="right"/>
      </w:pPr>
      <w:r>
        <w:rPr>
          <w:rFonts w:ascii="Times New Roman" w:hAnsi="Times New Roman" w:cs="B Nazanin"/>
          <w:b/>
          <w:sz w:val="26"/>
        </w:rPr>
        <w:t>۱-۴-۲. اهداف فرعی</w:t>
      </w:r>
    </w:p>
    <w:p>
      <w:pPr>
        <w:bidi w:val="1"/>
        <w:spacing w:lineRule="exact" w:line="580" w:after="0"/>
        <w:jc w:val="both"/>
      </w:pPr>
      <w:r>
        <w:rPr>
          <w:rFonts w:ascii="Times New Roman" w:hAnsi="Times New Roman" w:cs="B Nazanin"/>
          <w:sz w:val="22"/>
        </w:rPr>
        <w:t>۱. تعیین رابطه بین اضطراب صفتی و رفتارهای مالی پرخطر.</w:t>
      </w:r>
    </w:p>
    <w:p>
      <w:pPr>
        <w:bidi w:val="1"/>
        <w:spacing w:lineRule="exact" w:line="580" w:after="0"/>
        <w:jc w:val="both"/>
      </w:pPr>
      <w:r>
        <w:rPr>
          <w:rFonts w:ascii="Times New Roman" w:hAnsi="Times New Roman" w:cs="B Nazanin"/>
          <w:sz w:val="22"/>
        </w:rPr>
        <w:t>۲. تعیین رابطه بین اضطراب صفتی و طرحواره‌های ناسازگار اولیه.</w:t>
      </w:r>
    </w:p>
    <w:p>
      <w:pPr>
        <w:bidi w:val="1"/>
        <w:spacing w:lineRule="exact" w:line="580" w:after="0"/>
        <w:jc w:val="both"/>
      </w:pPr>
      <w:r>
        <w:rPr>
          <w:rFonts w:ascii="Times New Roman" w:hAnsi="Times New Roman" w:cs="B Nazanin"/>
          <w:sz w:val="22"/>
        </w:rPr>
        <w:t>۳. تعیین رابطه بین طرحواره‌های ناسازگار اولیه و رفتارهای مالی پرخطر.</w:t>
      </w:r>
    </w:p>
    <w:p>
      <w:pPr>
        <w:bidi w:val="1"/>
        <w:spacing w:lineRule="exact" w:line="580" w:before="240" w:after="60"/>
        <w:jc w:val="right"/>
      </w:pPr>
      <w:r>
        <w:rPr>
          <w:rFonts w:ascii="Times New Roman" w:hAnsi="Times New Roman" w:cs="B Nazanin"/>
          <w:b/>
          <w:sz w:val="28"/>
        </w:rPr>
        <w:t>۱-۵. فرضیه‌های پژوهش</w:t>
      </w:r>
    </w:p>
    <w:p>
      <w:pPr>
        <w:bidi w:val="1"/>
        <w:spacing w:lineRule="exact" w:line="580" w:after="0"/>
        <w:jc w:val="both"/>
      </w:pPr>
      <w:r>
        <w:rPr>
          <w:rFonts w:ascii="Times New Roman" w:hAnsi="Times New Roman" w:cs="B Nazanin"/>
          <w:sz w:val="22"/>
        </w:rPr>
        <w:t>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Times New Roman" w:hAnsi="Times New Roman" w:cs="B Nazanin"/>
          <w:sz w:val="22"/>
        </w:rPr>
        <w:t>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Times New Roman" w:hAnsi="Times New Roman" w:cs="B Nazanin"/>
          <w:sz w:val="22"/>
        </w:rPr>
        <w:t>۲. بین اضطراب صفتی و رفتارهای مالی پرخطر، رابطه مثبت و معناداری وجود دارد.</w:t>
      </w:r>
    </w:p>
    <w:p>
      <w:pPr>
        <w:bidi w:val="1"/>
        <w:spacing w:lineRule="exact" w:line="580" w:after="0"/>
        <w:jc w:val="both"/>
      </w:pPr>
      <w:r>
        <w:rPr>
          <w:rFonts w:ascii="Times New Roman" w:hAnsi="Times New Roman" w:cs="B Nazanin"/>
          <w:sz w:val="22"/>
        </w:rPr>
        <w:t>۳. بین اضطراب صفتی و طرحواره‌های ناسازگار اولیه، رابطه مثبت و معناداری وجود دارد.</w:t>
      </w:r>
    </w:p>
    <w:p>
      <w:pPr>
        <w:bidi w:val="1"/>
        <w:spacing w:lineRule="exact" w:line="580" w:after="0"/>
        <w:jc w:val="both"/>
      </w:pPr>
      <w:r>
        <w:rPr>
          <w:rFonts w:ascii="Times New Roman" w:hAnsi="Times New Roman" w:cs="B Nazanin"/>
          <w:sz w:val="22"/>
        </w:rPr>
        <w:t>۴. بین طرحواره‌های ناسازگار اولیه و رفتارهای مالی پرخطر، رابطه مثبت و معناداری وجود دارد.</w:t>
      </w:r>
    </w:p>
    <w:p>
      <w:pPr>
        <w:bidi w:val="1"/>
        <w:spacing w:lineRule="exact" w:line="580" w:before="240" w:after="60"/>
        <w:jc w:val="right"/>
      </w:pPr>
      <w:r>
        <w:rPr>
          <w:rFonts w:ascii="Times New Roman" w:hAnsi="Times New Roman" w:cs="B Nazanin"/>
          <w:b/>
          <w:sz w:val="28"/>
        </w:rPr>
        <w:t>۱-۶. تعاریف مفهومی و عملیاتی متغیرهای پژوهش</w:t>
      </w:r>
    </w:p>
    <w:p>
      <w:pPr>
        <w:bidi w:val="1"/>
        <w:spacing w:lineRule="exact" w:line="580" w:before="180" w:after="40"/>
        <w:jc w:val="right"/>
      </w:pPr>
      <w:r>
        <w:rPr>
          <w:rFonts w:ascii="Times New Roman" w:hAnsi="Times New Roman" w:cs="B Nazanin"/>
          <w:b/>
          <w:sz w:val="26"/>
        </w:rPr>
        <w:t>۱-۶-۱. اضطراب صفتی (Trait Anxiety)</w:t>
      </w:r>
    </w:p>
    <w:p>
      <w:pPr>
        <w:bidi w:val="1"/>
        <w:spacing w:lineRule="exact" w:line="580" w:after="0"/>
        <w:jc w:val="both"/>
      </w:pPr>
      <w:r>
        <w:rPr>
          <w:rFonts w:ascii="Times New Roman" w:hAnsi="Times New Roman" w:cs="B Nazanin"/>
          <w:b/>
          <w:sz w:val="22"/>
        </w:rPr>
        <w:t>تعریف نظری:</w:t>
      </w:r>
      <w:r>
        <w:rPr>
          <w:rFonts w:ascii="Times New Roman" w:hAnsi="Times New Roman" w:cs="B Nazanin"/>
          <w:sz w:val="22"/>
        </w:rPr>
        <w:t xml:space="preserve"> اضطراب صفتی یک ویژگی شخصیتی پایدار است که تمایل فرد به درک موقعیت‌های مبهم یا چالش‌برانگیز به 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Times New Roman" w:hAnsi="Times New Roman" w:cs="B Nazanin"/>
          <w:sz w:val="22"/>
        </w:rPr>
        <w:t>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 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Times New Roman" w:hAnsi="Times New Roman" w:cs="B Nazanin"/>
          <w:sz w:val="22"/>
        </w:rPr>
        <w:t>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 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Times New Roman" w:hAnsi="Times New Roman" w:cs="B Nazanin"/>
          <w:b/>
          <w:sz w:val="22"/>
        </w:rPr>
        <w:t>تعریف عملیاتی:</w:t>
      </w:r>
      <w:r>
        <w:rPr>
          <w:rFonts w:ascii="Times New Roman" w:hAnsi="Times New Roman" w:cs="B Nazanin"/>
          <w:sz w:val="22"/>
        </w:rPr>
        <w:t xml:space="preserve"> در پژوهش حاضر، منظور از اضطراب صفتی، نمره‌ای است که آزمودنی از پاسخگویی به ۲۰ گویه بخش دوم فرم (Y-2) پرسشنامه استاندارد اضطراب حالت-صفت اسپیلبرگر (STAI)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bidi w:val="1"/>
        <w:spacing w:lineRule="exact" w:line="580" w:before="180" w:after="40"/>
        <w:jc w:val="right"/>
      </w:pPr>
      <w:r>
        <w:rPr>
          <w:rFonts w:ascii="Times New Roman" w:hAnsi="Times New Roman" w:cs="B Nazanin"/>
          <w:b/>
          <w:sz w:val="26"/>
        </w:rPr>
        <w:t>۱-۶-۲. طرحواره‌های ناسازگار اولیه (Early Maladaptive Schemas)</w:t>
      </w:r>
    </w:p>
    <w:p>
      <w:pPr>
        <w:bidi w:val="1"/>
        <w:spacing w:lineRule="exact" w:line="580" w:after="0"/>
        <w:jc w:val="both"/>
      </w:pPr>
      <w:r>
        <w:rPr>
          <w:rFonts w:ascii="Times New Roman" w:hAnsi="Times New Roman" w:cs="B Nazanin"/>
          <w:b/>
          <w:sz w:val="22"/>
        </w:rPr>
        <w:t>تعریف نظری:</w:t>
      </w:r>
      <w:r>
        <w:rPr>
          <w:rFonts w:ascii="Times New Roman" w:hAnsi="Times New Roman" w:cs="B Nazanin"/>
          <w:sz w:val="22"/>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 ۲۰۰۳).</w:t>
      </w:r>
    </w:p>
    <w:p>
      <w:pPr>
        <w:bidi w:val="1"/>
        <w:spacing w:lineRule="exact" w:line="580" w:after="0"/>
        <w:jc w:val="both"/>
      </w:pPr>
      <w:r>
        <w:rPr>
          <w:rFonts w:ascii="Times New Roman" w:hAnsi="Times New Roman" w:cs="B Nazanin"/>
          <w:sz w:val="22"/>
        </w:rPr>
        <w:t>طرحواره‌های ناسازگار اولیه در حوزه‌هایی سازمان می‌یابند که هستهٔ مشترک آن‌ها ناکامی در ارضای نیازهای هیجانی بنیادین است؛ نیاز هایی مانند امنیت، دلبستگی، خودمختاری، پذیرش و محبت که هرگاه در محیط خانواده به 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 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Times New Roman" w:hAnsi="Times New Roman" w:cs="B Nazanin"/>
          <w:b/>
          <w:sz w:val="22"/>
        </w:rPr>
        <w:t>تعریف عملیاتی:</w:t>
      </w:r>
      <w:r>
        <w:rPr>
          <w:rFonts w:ascii="Times New Roman" w:hAnsi="Times New Roman" w:cs="B Nazanin"/>
          <w:sz w:val="22"/>
        </w:rPr>
        <w:t xml:space="preserve"> در این پژوهش، منظور از طرحواره‌های ناسازگار اولیه، نمره‌ای است که آزمودنی از پرسشنامه طرحواره یانگ-فرم کوتاه (YSQ-SF)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 ۱۹۹۸).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bidi w:val="1"/>
        <w:spacing w:lineRule="exact" w:line="580" w:before="180" w:after="40"/>
        <w:jc w:val="right"/>
      </w:pPr>
      <w:r>
        <w:rPr>
          <w:rFonts w:ascii="Times New Roman" w:hAnsi="Times New Roman" w:cs="B Nazanin"/>
          <w:b/>
          <w:sz w:val="26"/>
        </w:rPr>
        <w:t>۱-۶-۳. رفتارهای مالی پرخطر (High-Risk Financial Behaviors)</w:t>
      </w:r>
    </w:p>
    <w:p>
      <w:pPr>
        <w:bidi w:val="1"/>
        <w:spacing w:lineRule="exact" w:line="580" w:after="0"/>
        <w:jc w:val="both"/>
      </w:pPr>
      <w:r>
        <w:rPr>
          <w:rFonts w:ascii="Times New Roman" w:hAnsi="Times New Roman" w:cs="B Nazanin"/>
          <w:b/>
          <w:sz w:val="22"/>
        </w:rPr>
        <w:t>تعریف نظری:</w:t>
      </w:r>
      <w:r>
        <w:rPr>
          <w:rFonts w:ascii="Times New Roman" w:hAnsi="Times New Roman" w:cs="B Nazanin"/>
          <w:sz w:val="22"/>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Times New Roman" w:hAnsi="Times New Roman" w:cs="B Nazanin"/>
          <w:sz w:val="22"/>
        </w:rPr>
        <w:t>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 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Times New Roman" w:hAnsi="Times New Roman" w:cs="B Nazanin"/>
          <w:sz w:val="22"/>
        </w:rPr>
        <w:t>تحمل ریسک مالی (Financial Risk Tolerance)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 ۲۰۱۷).</w:t>
      </w:r>
    </w:p>
    <w:p>
      <w:pPr>
        <w:bidi w:val="1"/>
        <w:spacing w:lineRule="exact" w:line="580" w:after="0"/>
        <w:jc w:val="both"/>
      </w:pPr>
      <w:r>
        <w:rPr>
          <w:rFonts w:ascii="Times New Roman" w:hAnsi="Times New Roman" w:cs="B Nazanin"/>
          <w:b/>
          <w:sz w:val="22"/>
        </w:rPr>
        <w:t>تعریف عملیاتی:</w:t>
      </w:r>
      <w:r>
        <w:rPr>
          <w:rFonts w:ascii="Times New Roman" w:hAnsi="Times New Roman" w:cs="B Nazanin"/>
          <w:sz w:val="22"/>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نمرهٔ کل این مقیاس بین ۱۳ تا ۴۵ محاسبه می‌شود.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bidi w:val="1"/>
        <w:spacing w:lineRule="exact" w:line="580" w:before="240" w:after="60"/>
        <w:jc w:val="right"/>
      </w:pPr>
      <w:r>
        <w:rPr>
          <w:rFonts w:ascii="Times New Roman" w:hAnsi="Times New Roman" w:cs="B Nazanin"/>
          <w:b/>
          <w:sz w:val="28"/>
        </w:rPr>
        <w:t>۱-۷. سازمان‌بندی رساله</w:t>
      </w:r>
    </w:p>
    <w:p>
      <w:pPr>
        <w:bidi w:val="1"/>
        <w:spacing w:lineRule="exact" w:line="580" w:after="0"/>
        <w:jc w:val="both"/>
      </w:pPr>
      <w:r>
        <w:rPr>
          <w:rFonts w:ascii="Times New Roman" w:hAnsi="Times New Roman" w:cs="B Nazanin"/>
          <w:sz w:val="22"/>
        </w:rPr>
        <w:t>این رساله در پنج فصل تنظیم شده است؛ فصل‌هایی مجزا و متناسب با فرآیند منطقی اجرای پژوهش. فصل اول به 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first" r:id="rId9"/>
          <w:footerReference w:type="default" r:id="rId10"/>
          <w:pgSz w:w="11906" w:h="16838"/>
          <w:pgMar w:top="1701" w:right="2268" w:bottom="1417" w:left="1417" w:header="720" w:footer="567" w:gutter="0"/>
          <w:pgNumType w:numFmt="hindi" w:start="1"/>
          <w:titlePg/>
          <w:cols w:space="720"/>
          <w:bidi/>
          <w:docGrid w:linePitch="360"/>
        </w:sectPr>
      </w:pPr>
    </w:p>
    <w:p>
      <w:pPr>
        <w:bidi w:val="1"/>
        <w:spacing w:lineRule="exact" w:line="580" w:before="480" w:after="180"/>
        <w:jc w:val="center"/>
      </w:pPr>
      <w:r>
        <w:rPr>
          <w:rFonts w:ascii="Times New Roman" w:hAnsi="Times New Roman" w:cs="B Nazanin"/>
          <w:b/>
          <w:sz w:val="56"/>
        </w:rPr>
        <w:t>فصل دوم</w:t>
      </w:r>
    </w:p>
    <w:p>
      <w:pPr>
        <w:bidi w:val="1"/>
        <w:spacing w:lineRule="exact" w:line="580" w:before="120" w:after="480"/>
        <w:jc w:val="center"/>
      </w:pPr>
      <w:r>
        <w:rPr>
          <w:rFonts w:ascii="Times New Roman" w:hAnsi="Times New Roman" w:cs="B Nazanin"/>
          <w:b/>
          <w:sz w:val="52"/>
        </w:rPr>
        <w:t>مبانی نظری و پیشینه پژوهش</w:t>
      </w:r>
    </w:p>
    <w:p>
      <w:pPr>
        <w:bidi w:val="1"/>
        <w:spacing w:lineRule="exact" w:line="580" w:before="240" w:after="60"/>
        <w:jc w:val="right"/>
      </w:pPr>
      <w:r>
        <w:rPr>
          <w:rFonts w:ascii="Times New Roman" w:hAnsi="Times New Roman" w:cs="B Nazanin"/>
          <w:b/>
          <w:sz w:val="28"/>
        </w:rPr>
        <w:t>۲-۱ مقدمه</w:t>
      </w:r>
    </w:p>
    <w:p>
      <w:pPr>
        <w:bidi w:val="1"/>
        <w:spacing w:lineRule="exact" w:line="580" w:after="0"/>
        <w:jc w:val="both"/>
      </w:pPr>
      <w:r>
        <w:rPr>
          <w:rFonts w:ascii="Times New Roman" w:hAnsi="Times New Roman" w:cs="B Nazanin"/>
          <w:sz w:val="22"/>
        </w:rPr>
        <w:t>فصل حاضر به مرور جامع مبانی نظری و پیشینهٔ تجربی متغیرهای اصلی مطالعهٔ حاضر اختصاص دارد. در مدل مفهومی این مطالعه، اضطراب صفتی (Trait Anxiety) به‌عنوان متغیر مستقل، رفتارهای مالی پرخطر (High-Risk Financial Behaviors) به‌عنوان متغیر وابسته و طرحواره‌های ناسازگار اولیه (Early Maladaptive Schemas)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 (Financial Market Traders) کمک می‌کند؛ گروهی که به‌طور مداوم در شرایط عدم قطعیت و فشار روانی دست به تصمیم‌گیری می‌زنند.</w:t>
      </w:r>
    </w:p>
    <w:p>
      <w:pPr>
        <w:bidi w:val="1"/>
        <w:spacing w:lineRule="exact" w:line="580" w:after="0"/>
        <w:jc w:val="both"/>
      </w:pPr>
      <w:r>
        <w:rPr>
          <w:rFonts w:ascii="Times New Roman" w:hAnsi="Times New Roman" w:cs="B Nazanin"/>
          <w:sz w:val="22"/>
        </w:rPr>
        <w:t>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 (Research Gap)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bidi w:val="1"/>
        <w:spacing w:lineRule="exact" w:line="580" w:before="240" w:after="60"/>
        <w:jc w:val="right"/>
      </w:pPr>
      <w:r>
        <w:rPr>
          <w:rFonts w:ascii="Times New Roman" w:hAnsi="Times New Roman" w:cs="B Nazanin"/>
          <w:b/>
          <w:sz w:val="28"/>
        </w:rPr>
        <w:t>۲-۲ مبانی نظری</w:t>
      </w:r>
    </w:p>
    <w:p>
      <w:pPr>
        <w:bidi w:val="1"/>
        <w:spacing w:lineRule="exact" w:line="580" w:before="180" w:after="40"/>
        <w:jc w:val="right"/>
      </w:pPr>
      <w:r>
        <w:rPr>
          <w:rFonts w:ascii="Times New Roman" w:hAnsi="Times New Roman" w:cs="B Nazanin"/>
          <w:b/>
          <w:sz w:val="26"/>
        </w:rPr>
        <w:t>۲-۲-۱ اضطراب صفتی</w:t>
      </w:r>
    </w:p>
    <w:p>
      <w:pPr>
        <w:bidi w:val="1"/>
        <w:spacing w:lineRule="exact" w:line="580" w:after="0"/>
        <w:jc w:val="both"/>
      </w:pPr>
      <w:r>
        <w:rPr>
          <w:rFonts w:ascii="Times New Roman" w:hAnsi="Times New Roman" w:cs="B Nazanin"/>
          <w:sz w:val="22"/>
        </w:rPr>
        <w:t>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Times New Roman" w:hAnsi="Times New Roman" w:cs="B Nazanin"/>
          <w:sz w:val="22"/>
        </w:rPr>
        <w:t>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Times New Roman" w:hAnsi="Times New Roman" w:cs="B Nazanin"/>
          <w:sz w:val="22"/>
        </w:rPr>
        <w:t>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Times New Roman" w:hAnsi="Times New Roman" w:cs="B Nazanin"/>
          <w:sz w:val="22"/>
        </w:rPr>
        <w:t>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Times New Roman" w:hAnsi="Times New Roman" w:cs="B Nazanin"/>
          <w:sz w:val="22"/>
        </w:rPr>
        <w:t>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Times New Roman" w:hAnsi="Times New Roman" w:cs="B Nazanin"/>
          <w:sz w:val="22"/>
        </w:rPr>
        <w:t>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Times New Roman" w:hAnsi="Times New Roman" w:cs="B Nazanin"/>
          <w:sz w:val="22"/>
        </w:rPr>
        <w:t>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Times New Roman" w:hAnsi="Times New Roman" w:cs="B Nazanin"/>
          <w:sz w:val="22"/>
        </w:rPr>
        <w:t>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Times New Roman" w:hAnsi="Times New Roman" w:cs="B Nazanin"/>
          <w:sz w:val="22"/>
        </w:rPr>
        <w:t>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 ۲۰۲۱).</w:t>
      </w:r>
    </w:p>
    <w:p>
      <w:pPr>
        <w:bidi w:val="1"/>
        <w:spacing w:lineRule="exact" w:line="580" w:after="0"/>
        <w:jc w:val="both"/>
      </w:pPr>
      <w:r>
        <w:rPr>
          <w:rFonts w:ascii="Times New Roman" w:hAnsi="Times New Roman" w:cs="B Nazanin"/>
          <w:sz w:val="22"/>
        </w:rPr>
        <w:t>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Times New Roman" w:hAnsi="Times New Roman" w:cs="B Nazanin"/>
          <w:sz w:val="22"/>
        </w:rPr>
        <w:t>از منظر ریشه‌شناسی، واژه اضطراب (Anxiety) ریشه در کلمه لاتین Angere 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 ۲۰۰۲).</w:t>
      </w:r>
    </w:p>
    <w:p>
      <w:pPr>
        <w:bidi w:val="1"/>
        <w:spacing w:lineRule="exact" w:line="580" w:after="0"/>
        <w:jc w:val="both"/>
      </w:pPr>
      <w:r>
        <w:rPr>
          <w:rFonts w:ascii="Times New Roman" w:hAnsi="Times New Roman" w:cs="B Nazanin"/>
          <w:sz w:val="22"/>
        </w:rPr>
        <w:t>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Times New Roman" w:hAnsi="Times New Roman" w:cs="B Nazanin"/>
          <w:sz w:val="22"/>
        </w:rPr>
        <w:t>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 ۱۹۹۴).</w:t>
      </w:r>
    </w:p>
    <w:p>
      <w:pPr>
        <w:bidi w:val="1"/>
        <w:spacing w:lineRule="exact" w:line="580" w:after="0"/>
        <w:jc w:val="both"/>
      </w:pPr>
      <w:r>
        <w:rPr>
          <w:rFonts w:ascii="Times New Roman" w:hAnsi="Times New Roman" w:cs="B Nazanin"/>
          <w:sz w:val="22"/>
        </w:rPr>
        <w:t>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 ۲۰۱۵).</w:t>
      </w:r>
    </w:p>
    <w:p>
      <w:pPr>
        <w:bidi w:val="1"/>
        <w:spacing w:lineRule="exact" w:line="580" w:after="0"/>
        <w:jc w:val="both"/>
      </w:pPr>
      <w:r>
        <w:rPr>
          <w:rFonts w:ascii="Times New Roman" w:hAnsi="Times New Roman" w:cs="B Nazanin"/>
          <w:sz w:val="22"/>
        </w:rPr>
        <w:t>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Times New Roman" w:hAnsi="Times New Roman" w:cs="B Nazanin"/>
          <w:sz w:val="22"/>
        </w:rPr>
        <w:t>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 ۲۰۰۷).</w:t>
      </w:r>
    </w:p>
    <w:p>
      <w:pPr>
        <w:bidi w:val="1"/>
        <w:spacing w:lineRule="exact" w:line="580" w:after="0"/>
        <w:jc w:val="both"/>
      </w:pPr>
      <w:r>
        <w:rPr>
          <w:rFonts w:ascii="Times New Roman" w:hAnsi="Times New Roman" w:cs="B Nazanin"/>
          <w:sz w:val="22"/>
        </w:rPr>
        <w:t>#### ۲-۲-۱-۱ تمایزهای مفهومی کلیدی</w:t>
      </w:r>
    </w:p>
    <w:p>
      <w:pPr>
        <w:bidi w:val="1"/>
        <w:spacing w:lineRule="exact" w:line="580" w:after="0"/>
        <w:jc w:val="both"/>
      </w:pPr>
      <w:r>
        <w:rPr>
          <w:rFonts w:ascii="Times New Roman" w:hAnsi="Times New Roman" w:cs="B Nazanin"/>
          <w:sz w:val="22"/>
        </w:rPr>
        <w:t>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Times New Roman" w:hAnsi="Times New Roman" w:cs="B Nazanin"/>
          <w:b/>
          <w:sz w:val="22"/>
        </w:rPr>
        <w:t>تفاوت ترس و اضطراب.</w:t>
      </w:r>
    </w:p>
    <w:p>
      <w:pPr>
        <w:bidi w:val="1"/>
        <w:spacing w:lineRule="exact" w:line="580" w:after="0"/>
        <w:jc w:val="both"/>
      </w:pPr>
      <w:r>
        <w:rPr>
          <w:rFonts w:ascii="Times New Roman" w:hAnsi="Times New Roman" w:cs="B Nazanin"/>
          <w:sz w:val="22"/>
        </w:rPr>
        <w:t>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 ۲۰۱۲).</w:t>
      </w:r>
    </w:p>
    <w:p>
      <w:pPr>
        <w:bidi w:val="1"/>
        <w:spacing w:lineRule="exact" w:line="580" w:after="0"/>
        <w:jc w:val="both"/>
      </w:pPr>
      <w:r>
        <w:rPr>
          <w:rFonts w:ascii="Times New Roman" w:hAnsi="Times New Roman" w:cs="B Nazanin"/>
          <w:sz w:val="22"/>
        </w:rPr>
        <w:t>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Times New Roman" w:hAnsi="Times New Roman" w:cs="B Nazanin"/>
          <w:sz w:val="22"/>
        </w:rPr>
        <w:t>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Times New Roman" w:hAnsi="Times New Roman" w:cs="B Nazanin"/>
          <w:sz w:val="22"/>
        </w:rPr>
        <w:t>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 (BNST)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Times New Roman" w:hAnsi="Times New Roman" w:cs="B Nazanin"/>
          <w:b/>
          <w:sz w:val="22"/>
        </w:rPr>
        <w:t>تفاوت اضطراب بهنجار و مرضی.</w:t>
      </w:r>
    </w:p>
    <w:p>
      <w:pPr>
        <w:bidi w:val="1"/>
        <w:spacing w:lineRule="exact" w:line="580" w:after="0"/>
        <w:jc w:val="both"/>
      </w:pPr>
      <w:r>
        <w:rPr>
          <w:rFonts w:ascii="Times New Roman" w:hAnsi="Times New Roman" w:cs="B Nazanin"/>
          <w:sz w:val="22"/>
        </w:rPr>
        <w:t>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Times New Roman" w:hAnsi="Times New Roman" w:cs="B Nazanin"/>
          <w:sz w:val="22"/>
        </w:rPr>
        <w:t>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Times New Roman" w:hAnsi="Times New Roman" w:cs="B Nazanin"/>
          <w:sz w:val="22"/>
        </w:rPr>
        <w:t>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 ۲۰۱۳). برای یک معامله‌گر، این اختلال می‌تواند خود را به شکل «فلج تحلیلی» (ناتوانی درتمرکز و تصمیم‌گیری) (گامبتی و گیوسبرتی، ۲۰۱۲).، «اجتناب از بازار» (ترس از انجام هرگونه معامله) یا برعکس(لو و همکاران،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bidi w:val="1"/>
        <w:spacing w:lineRule="exact" w:line="580" w:after="0"/>
        <w:jc w:val="both"/>
      </w:pPr>
      <w:r>
        <w:rPr>
          <w:rFonts w:ascii="Times New Roman" w:hAnsi="Times New Roman" w:cs="B Nazanin"/>
          <w:sz w:val="22"/>
        </w:rPr>
        <w:t>#### ۲-۲-۱-۲ مبانی زیست‌شناختی و عصب‌شناختی اضطراب</w:t>
      </w:r>
    </w:p>
    <w:p>
      <w:pPr>
        <w:bidi w:val="1"/>
        <w:spacing w:lineRule="exact" w:line="580" w:after="0"/>
        <w:jc w:val="both"/>
      </w:pPr>
      <w:r>
        <w:rPr>
          <w:rFonts w:ascii="Times New Roman" w:hAnsi="Times New Roman" w:cs="B Nazanin"/>
          <w:sz w:val="22"/>
        </w:rPr>
        <w:t>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Times New Roman" w:hAnsi="Times New Roman" w:cs="B Nazanin"/>
          <w:b/>
          <w:sz w:val="22"/>
        </w:rPr>
        <w:t>ساختارهای مغزی درگیر در اضطراب.</w:t>
      </w:r>
    </w:p>
    <w:p>
      <w:pPr>
        <w:bidi w:val="1"/>
        <w:spacing w:lineRule="exact" w:line="580" w:after="0"/>
        <w:jc w:val="both"/>
      </w:pPr>
      <w:r>
        <w:rPr>
          <w:rFonts w:ascii="Times New Roman" w:hAnsi="Times New Roman" w:cs="B Nazanin"/>
          <w:sz w:val="22"/>
        </w:rPr>
        <w:t>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Times New Roman" w:hAnsi="Times New Roman" w:cs="B Nazanin"/>
          <w:sz w:val="22"/>
        </w:rPr>
        <w:t>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Times New Roman" w:hAnsi="Times New Roman" w:cs="B Nazanin"/>
          <w:sz w:val="22"/>
        </w:rPr>
        <w:t>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 ۲۰۰۶).</w:t>
      </w:r>
    </w:p>
    <w:p>
      <w:pPr>
        <w:bidi w:val="1"/>
        <w:spacing w:lineRule="exact" w:line="580" w:after="0"/>
        <w:jc w:val="both"/>
      </w:pPr>
      <w:r>
        <w:rPr>
          <w:rFonts w:ascii="Times New Roman" w:hAnsi="Times New Roman" w:cs="B Nazanin"/>
          <w:sz w:val="22"/>
        </w:rPr>
        <w:t>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Times New Roman" w:hAnsi="Times New Roman" w:cs="B Nazanin"/>
          <w:b/>
          <w:sz w:val="22"/>
        </w:rPr>
        <w:t>نقش انتقال‌دهنده‌های عصبی.</w:t>
      </w:r>
    </w:p>
    <w:p>
      <w:pPr>
        <w:bidi w:val="1"/>
        <w:spacing w:lineRule="exact" w:line="580" w:after="0"/>
        <w:jc w:val="both"/>
      </w:pPr>
      <w:r>
        <w:rPr>
          <w:rFonts w:ascii="Times New Roman" w:hAnsi="Times New Roman" w:cs="B Nazanin"/>
          <w:sz w:val="22"/>
        </w:rPr>
        <w:t>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Times New Roman" w:hAnsi="Times New Roman" w:cs="B Nazanin"/>
          <w:sz w:val="22"/>
        </w:rPr>
        <w:t>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Times New Roman" w:hAnsi="Times New Roman" w:cs="B Nazanin"/>
          <w:sz w:val="22"/>
        </w:rPr>
        <w:t>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 (SSRIs)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 (5-HTTLPR)، افراد را به طور ذاتی مستعد اضطراب صفتی بالاتر و رفتارهای مالی ریسک‌گریزتر می‌کند (کوهنن و چیائو، ۲۰۰۹).</w:t>
      </w:r>
    </w:p>
    <w:p>
      <w:pPr>
        <w:bidi w:val="1"/>
        <w:spacing w:lineRule="exact" w:line="580" w:after="0"/>
        <w:jc w:val="both"/>
      </w:pPr>
      <w:r>
        <w:rPr>
          <w:rFonts w:ascii="Times New Roman" w:hAnsi="Times New Roman" w:cs="B Nazanin"/>
          <w:sz w:val="22"/>
        </w:rPr>
        <w:t>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Times New Roman" w:hAnsi="Times New Roman" w:cs="B Nazanin"/>
          <w:b/>
          <w:sz w:val="22"/>
        </w:rPr>
        <w:t>سیستم عصبی خودمختار و علائم جسمانی.</w:t>
      </w:r>
    </w:p>
    <w:p>
      <w:pPr>
        <w:bidi w:val="1"/>
        <w:spacing w:lineRule="exact" w:line="580" w:after="0"/>
        <w:jc w:val="both"/>
      </w:pPr>
      <w:r>
        <w:rPr>
          <w:rFonts w:ascii="Times New Roman" w:hAnsi="Times New Roman" w:cs="B Nazanin"/>
          <w:sz w:val="22"/>
        </w:rPr>
        <w:t>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 (HRV) است. HRV بالا نشان‌دهنده انعطاف‌پذیری سیستم عصبی و توانایی خوب در تنظیم هیجان است. مطالعات نشان داده‌اند که معامله‌گران حرفه‌ای و موفق، HRV بالاتری نسبت به معامله‌گران مبتدی دارند، که این امر نشان‌دهنده توانایی فیزیولوژیک آن‌ها در حفظ آرامش تحت فشار است (فنتون-اکریوی و همکاران، ۲۰۱۲).</w:t>
      </w:r>
    </w:p>
    <w:p>
      <w:pPr>
        <w:bidi w:val="1"/>
        <w:spacing w:lineRule="exact" w:line="580" w:after="0"/>
        <w:jc w:val="both"/>
      </w:pPr>
      <w:r>
        <w:rPr>
          <w:rFonts w:ascii="Times New Roman" w:hAnsi="Times New Roman" w:cs="B Nazanin"/>
          <w:sz w:val="22"/>
        </w:rPr>
        <w:t>#### ۲-۲-۱-۳ دیدگاه‌های روانشناختی درباره اضطراب</w:t>
      </w:r>
    </w:p>
    <w:p>
      <w:pPr>
        <w:bidi w:val="1"/>
        <w:spacing w:lineRule="exact" w:line="580" w:after="0"/>
        <w:jc w:val="both"/>
      </w:pPr>
      <w:r>
        <w:rPr>
          <w:rFonts w:ascii="Times New Roman" w:hAnsi="Times New Roman" w:cs="B Nazanin"/>
          <w:sz w:val="22"/>
        </w:rPr>
        <w:t>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Times New Roman" w:hAnsi="Times New Roman" w:cs="B Nazanin"/>
          <w:b/>
          <w:sz w:val="22"/>
        </w:rPr>
        <w:t>دیدگاه روانکاوی.</w:t>
      </w:r>
    </w:p>
    <w:p>
      <w:pPr>
        <w:bidi w:val="1"/>
        <w:spacing w:lineRule="exact" w:line="580" w:after="0"/>
        <w:jc w:val="both"/>
      </w:pPr>
      <w:r>
        <w:rPr>
          <w:rFonts w:ascii="Times New Roman" w:hAnsi="Times New Roman" w:cs="B Nazanin"/>
          <w:sz w:val="22"/>
        </w:rPr>
        <w:t>در نظریه روانکاوی کلاسیک، زیگموند فروید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Times New Roman" w:hAnsi="Times New Roman" w:cs="B Nazanin"/>
          <w:sz w:val="22"/>
        </w:rPr>
        <w:t>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Times New Roman" w:hAnsi="Times New Roman" w:cs="B Nazanin"/>
          <w:b/>
          <w:sz w:val="22"/>
        </w:rPr>
        <w:t>دیدگاه رفتاری (یادگیری).</w:t>
      </w:r>
    </w:p>
    <w:p>
      <w:pPr>
        <w:bidi w:val="1"/>
        <w:spacing w:lineRule="exact" w:line="580" w:after="0"/>
        <w:jc w:val="both"/>
      </w:pPr>
      <w:r>
        <w:rPr>
          <w:rFonts w:ascii="Times New Roman" w:hAnsi="Times New Roman" w:cs="B Nazanin"/>
          <w:sz w:val="22"/>
        </w:rPr>
        <w:t>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Times New Roman" w:hAnsi="Times New Roman" w:cs="B Nazanin"/>
          <w:sz w:val="22"/>
        </w:rPr>
        <w:t>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Times New Roman" w:hAnsi="Times New Roman" w:cs="B Nazanin"/>
          <w:sz w:val="22"/>
        </w:rPr>
        <w:t>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Times New Roman" w:hAnsi="Times New Roman" w:cs="B Nazanin"/>
          <w:b/>
          <w:sz w:val="22"/>
        </w:rPr>
        <w:t>دیدگاه شناختی.</w:t>
      </w:r>
    </w:p>
    <w:p>
      <w:pPr>
        <w:bidi w:val="1"/>
        <w:spacing w:lineRule="exact" w:line="580" w:after="0"/>
        <w:jc w:val="both"/>
      </w:pPr>
      <w:r>
        <w:rPr>
          <w:rFonts w:ascii="Times New Roman" w:hAnsi="Times New Roman" w:cs="B Nazanin"/>
          <w:sz w:val="22"/>
        </w:rPr>
        <w:t>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 ۱۹۹۸)</w:t>
      </w:r>
    </w:p>
    <w:p>
      <w:pPr>
        <w:bidi w:val="1"/>
        <w:spacing w:lineRule="exact" w:line="580" w:after="0"/>
        <w:jc w:val="both"/>
      </w:pPr>
      <w:r>
        <w:rPr>
          <w:rFonts w:ascii="Times New Roman" w:hAnsi="Times New Roman" w:cs="B Nazanin"/>
          <w:sz w:val="22"/>
        </w:rPr>
        <w:t>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Times New Roman" w:hAnsi="Times New Roman" w:cs="B Nazanin"/>
          <w:sz w:val="22"/>
        </w:rPr>
        <w:t>بزرگ‌نمایی و کوچک‌نمایی: اغراق در اهمیت اطلاعات منفی و بی‌اهمیت جلوه دادن اطلاعات مثبت.</w:t>
      </w:r>
    </w:p>
    <w:p>
      <w:pPr>
        <w:bidi w:val="1"/>
        <w:spacing w:lineRule="exact" w:line="580" w:after="0"/>
        <w:jc w:val="both"/>
      </w:pPr>
      <w:r>
        <w:rPr>
          <w:rFonts w:ascii="Times New Roman" w:hAnsi="Times New Roman" w:cs="B Nazanin"/>
          <w:sz w:val="22"/>
        </w:rPr>
        <w:t>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Times New Roman" w:hAnsi="Times New Roman" w:cs="B Nazanin"/>
          <w:sz w:val="22"/>
        </w:rPr>
        <w:t>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Times New Roman" w:hAnsi="Times New Roman" w:cs="B Nazanin"/>
          <w:b/>
          <w:sz w:val="22"/>
        </w:rPr>
        <w:t>دیدگاه وجودی (اگزیستانسیال).</w:t>
      </w:r>
    </w:p>
    <w:p>
      <w:pPr>
        <w:bidi w:val="1"/>
        <w:spacing w:lineRule="exact" w:line="580" w:after="0"/>
        <w:jc w:val="both"/>
      </w:pPr>
      <w:r>
        <w:rPr>
          <w:rFonts w:ascii="Times New Roman" w:hAnsi="Times New Roman" w:cs="B Nazanin"/>
          <w:sz w:val="22"/>
        </w:rPr>
        <w:t>این دیدگاه فلسفی‌تر، اضطراب را نه یک بیماری یا نقص، بلکه بخشی اجتناب‌ناپذیر از شرایط انسانی می‌داند. متفکرانی چون رولو می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 ۱۹۸۰).</w:t>
      </w:r>
    </w:p>
    <w:p>
      <w:pPr>
        <w:bidi w:val="1"/>
        <w:spacing w:lineRule="exact" w:line="580" w:after="0"/>
        <w:jc w:val="both"/>
      </w:pPr>
      <w:r>
        <w:rPr>
          <w:rFonts w:ascii="Times New Roman" w:hAnsi="Times New Roman" w:cs="B Nazanin"/>
          <w:sz w:val="22"/>
        </w:rPr>
        <w:t>#### ۲-۲-۱-۴ جمع‌بندی: جایگاه اضطراب صفتی در تصمیم‌گیری مالی</w:t>
      </w:r>
    </w:p>
    <w:p>
      <w:pPr>
        <w:bidi w:val="1"/>
        <w:spacing w:lineRule="exact" w:line="580" w:after="0"/>
        <w:jc w:val="both"/>
      </w:pPr>
      <w:r>
        <w:rPr>
          <w:rFonts w:ascii="Times New Roman" w:hAnsi="Times New Roman" w:cs="B Nazanin"/>
          <w:sz w:val="22"/>
        </w:rPr>
        <w:t>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Times New Roman" w:hAnsi="Times New Roman" w:cs="B Nazanin"/>
          <w:sz w:val="22"/>
        </w:rPr>
        <w:t>یکی از مجراهای اصلی اثرگذاری اضطراب صفتی بر رفتار مالی، تحریف نظام‌مند ادراک ریسک (Risk Perception)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(Financial Risk Tolerance)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Times New Roman" w:hAnsi="Times New Roman" w:cs="B Nazanin"/>
          <w:sz w:val="22"/>
        </w:rPr>
        <w:t>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 ۲۰۲۲) و شواهد حاکی از آن است که اضطراب مالی به کاهش نگهداری دارایی‌های پرخطر از سوی سرمایه‌گذاران حقیقی منجر می‌شود (آن، لی و وو،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Times New Roman" w:hAnsi="Times New Roman" w:cs="B Nazanin"/>
          <w:sz w:val="22"/>
        </w:rPr>
        <w:t>فراتر از جهت‌گیری انتخاب‌ها، اضطراب صفتی بر کیفیت فرایند تصمیم‌گیری (Decision Quality)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Times New Roman" w:hAnsi="Times New Roman" w:cs="B Nazanin"/>
          <w:sz w:val="22"/>
        </w:rPr>
        <w:t>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bidi w:val="1"/>
        <w:spacing w:lineRule="exact" w:line="580" w:before="180" w:after="40"/>
        <w:jc w:val="right"/>
      </w:pPr>
      <w:r>
        <w:rPr>
          <w:rFonts w:ascii="Times New Roman" w:hAnsi="Times New Roman" w:cs="B Nazanin"/>
          <w:b/>
          <w:sz w:val="26"/>
        </w:rPr>
        <w:t>۲-۲-۲ طرحواره‌های ناسازگار اولیه</w:t>
      </w:r>
    </w:p>
    <w:p>
      <w:pPr>
        <w:bidi w:val="1"/>
        <w:spacing w:lineRule="exact" w:line="580" w:after="0"/>
        <w:jc w:val="both"/>
      </w:pPr>
      <w:r>
        <w:rPr>
          <w:rFonts w:ascii="Times New Roman" w:hAnsi="Times New Roman" w:cs="B Nazanin"/>
          <w:sz w:val="22"/>
        </w:rPr>
        <w:t>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Times New Roman" w:hAnsi="Times New Roman" w:cs="B Nazanin"/>
          <w:sz w:val="22"/>
        </w:rPr>
        <w:t>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Times New Roman" w:hAnsi="Times New Roman" w:cs="B Nazanin"/>
          <w:sz w:val="22"/>
        </w:rPr>
        <w:t>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Times New Roman" w:hAnsi="Times New Roman" w:cs="B Nazanin"/>
          <w:sz w:val="22"/>
        </w:rPr>
        <w:t>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Times New Roman" w:hAnsi="Times New Roman" w:cs="B Nazanin"/>
          <w:sz w:val="22"/>
        </w:rPr>
        <w:t>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Times New Roman" w:hAnsi="Times New Roman" w:cs="B Nazanin"/>
          <w:sz w:val="22"/>
        </w:rPr>
        <w:t>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Times New Roman" w:hAnsi="Times New Roman" w:cs="B Nazanin"/>
          <w:sz w:val="22"/>
        </w:rPr>
        <w:t>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 ۲۰۲۳).</w:t>
      </w:r>
    </w:p>
    <w:p>
      <w:pPr>
        <w:bidi w:val="1"/>
        <w:spacing w:lineRule="exact" w:line="580" w:after="0"/>
        <w:jc w:val="both"/>
      </w:pPr>
      <w:r>
        <w:rPr>
          <w:rFonts w:ascii="Times New Roman" w:hAnsi="Times New Roman" w:cs="B Nazanin"/>
          <w:sz w:val="22"/>
        </w:rPr>
        <w:t>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Times New Roman" w:hAnsi="Times New Roman" w:cs="B Nazanin"/>
          <w:sz w:val="22"/>
        </w:rPr>
        <w:t>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bidi w:val="1"/>
        <w:spacing w:lineRule="exact" w:line="580" w:after="0"/>
        <w:jc w:val="both"/>
      </w:pPr>
      <w:r>
        <w:rPr>
          <w:rFonts w:ascii="Times New Roman" w:hAnsi="Times New Roman" w:cs="B Nazanin"/>
          <w:sz w:val="22"/>
        </w:rPr>
        <w:t>#### ۲-۲-۲-۱ حوزه‌ها و طرحواره‌های ناسازگار اولیه و سبک‌های مقابله‌ای</w:t>
      </w:r>
    </w:p>
    <w:p>
      <w:pPr>
        <w:bidi w:val="1"/>
        <w:spacing w:lineRule="exact" w:line="580" w:after="0"/>
        <w:jc w:val="both"/>
      </w:pPr>
      <w:r>
        <w:rPr>
          <w:rFonts w:ascii="Times New Roman" w:hAnsi="Times New Roman" w:cs="B Nazanin"/>
          <w:sz w:val="22"/>
        </w:rPr>
        <w:t>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 (Schema Domains)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Times New Roman" w:hAnsi="Times New Roman" w:cs="B Nazanin"/>
          <w:b/>
          <w:sz w:val="22"/>
        </w:rPr>
        <w:t>جدول ۲-۱.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Times New Roman" w:hAnsi="Times New Roman" w:cs="B Nazanin"/>
                <w:b/>
                <w:sz w:val="20"/>
              </w:rPr>
              <w:t>حوزه (فارسی / انگلیسی)</w:t>
            </w:r>
          </w:p>
        </w:tc>
        <w:tc>
          <w:tcPr>
            <w:tcW w:type="dxa" w:w="2740"/>
          </w:tcPr>
          <w:p>
            <w:pPr>
              <w:bidi w:val="1"/>
              <w:jc w:val="center"/>
            </w:pPr>
            <w:r/>
            <w:r>
              <w:rPr>
                <w:rFonts w:ascii="Times New Roman" w:hAnsi="Times New Roman" w:cs="B Nazanin"/>
                <w:b/>
                <w:sz w:val="20"/>
              </w:rPr>
              <w:t>نیاز هیجانی بنیادین برآورده‌نشده</w:t>
            </w:r>
          </w:p>
        </w:tc>
        <w:tc>
          <w:tcPr>
            <w:tcW w:type="dxa" w:w="2740"/>
          </w:tcPr>
          <w:p>
            <w:pPr>
              <w:bidi w:val="1"/>
              <w:jc w:val="center"/>
            </w:pPr>
            <w:r/>
            <w:r>
              <w:rPr>
                <w:rFonts w:ascii="Times New Roman" w:hAnsi="Times New Roman" w:cs="B Nazanin"/>
                <w:b/>
                <w:sz w:val="20"/>
              </w:rPr>
              <w:t>طرحواره‌های حوزه</w:t>
            </w:r>
          </w:p>
        </w:tc>
      </w:tr>
      <w:tr>
        <w:tc>
          <w:tcPr>
            <w:tcW w:type="dxa" w:w="2740"/>
          </w:tcPr>
          <w:p>
            <w:pPr>
              <w:bidi w:val="1"/>
              <w:jc w:val="both"/>
            </w:pPr>
            <w:r/>
            <w:r>
              <w:rPr>
                <w:rFonts w:ascii="Times New Roman" w:hAnsi="Times New Roman" w:cs="B Nazanin"/>
                <w:sz w:val="20"/>
              </w:rPr>
              <w:t>۱. بریدگی و طرد (Disconnection and Rejection)</w:t>
            </w:r>
          </w:p>
        </w:tc>
        <w:tc>
          <w:tcPr>
            <w:tcW w:type="dxa" w:w="2740"/>
          </w:tcPr>
          <w:p>
            <w:pPr>
              <w:bidi w:val="1"/>
              <w:jc w:val="both"/>
            </w:pPr>
            <w:r/>
            <w:r>
              <w:rPr>
                <w:rFonts w:ascii="Times New Roman" w:hAnsi="Times New Roman" w:cs="B Nazanin"/>
                <w:sz w:val="20"/>
              </w:rPr>
              <w:t>امنیت، دلبستگی پایدار، همدلی، پذیرش و محبت</w:t>
            </w:r>
          </w:p>
        </w:tc>
        <w:tc>
          <w:tcPr>
            <w:tcW w:type="dxa" w:w="2740"/>
          </w:tcPr>
          <w:p>
            <w:pPr>
              <w:bidi w:val="1"/>
              <w:jc w:val="both"/>
            </w:pPr>
            <w:r/>
            <w:r>
              <w:rPr>
                <w:rFonts w:ascii="Times New Roman" w:hAnsi="Times New Roman" w:cs="B Nazanin"/>
                <w:sz w:val="20"/>
              </w:rPr>
              <w:t>رهاشدگی/بی‌ثباتی (Abandonment/Instability)؛ بی‌اعتمادی/بدرفتاری (Mistrust/Abuse)؛ محرومیت هیجانی (Emotional Deprivation)؛ نقص/شرم (Defectiveness/Shame)؛ انزوای اجتماعی/بیگانگی (Social Isolation/Alienation)</w:t>
            </w:r>
          </w:p>
        </w:tc>
      </w:tr>
      <w:tr>
        <w:tc>
          <w:tcPr>
            <w:tcW w:type="dxa" w:w="2740"/>
          </w:tcPr>
          <w:p>
            <w:pPr>
              <w:bidi w:val="1"/>
              <w:jc w:val="both"/>
            </w:pPr>
            <w:r/>
            <w:r>
              <w:rPr>
                <w:rFonts w:ascii="Times New Roman" w:hAnsi="Times New Roman" w:cs="B Nazanin"/>
                <w:sz w:val="20"/>
              </w:rPr>
              <w:t>۲. آسیب‌دیدگی در خودمختاری و عملکرد (Impaired Autonomy and Performance)</w:t>
            </w:r>
          </w:p>
        </w:tc>
        <w:tc>
          <w:tcPr>
            <w:tcW w:type="dxa" w:w="2740"/>
          </w:tcPr>
          <w:p>
            <w:pPr>
              <w:bidi w:val="1"/>
              <w:jc w:val="both"/>
            </w:pPr>
            <w:r/>
            <w:r>
              <w:rPr>
                <w:rFonts w:ascii="Times New Roman" w:hAnsi="Times New Roman" w:cs="B Nazanin"/>
                <w:sz w:val="20"/>
              </w:rPr>
              <w:t>خودمختاری، شایستگی و هویت مستقل</w:t>
            </w:r>
          </w:p>
        </w:tc>
        <w:tc>
          <w:tcPr>
            <w:tcW w:type="dxa" w:w="2740"/>
          </w:tcPr>
          <w:p>
            <w:pPr>
              <w:bidi w:val="1"/>
              <w:jc w:val="both"/>
            </w:pPr>
            <w:r/>
            <w:r>
              <w:rPr>
                <w:rFonts w:ascii="Times New Roman" w:hAnsi="Times New Roman" w:cs="B Nazanin"/>
                <w:sz w:val="20"/>
              </w:rPr>
              <w:t>آسیب‌پذیری نسبت به آسیب یا بیماری (Vulnerability to Harm or Illness)؛ وابستگی/بی‌کفایتی (Dependence/Incompetence)؛ درهم‌تنیدگی/خویشتن رشدنایافته (Enmeshment/Undeveloped Self)؛ شکست (Failure)</w:t>
            </w:r>
          </w:p>
        </w:tc>
      </w:tr>
      <w:tr>
        <w:tc>
          <w:tcPr>
            <w:tcW w:type="dxa" w:w="2740"/>
          </w:tcPr>
          <w:p>
            <w:pPr>
              <w:bidi w:val="1"/>
              <w:jc w:val="both"/>
            </w:pPr>
            <w:r/>
            <w:r>
              <w:rPr>
                <w:rFonts w:ascii="Times New Roman" w:hAnsi="Times New Roman" w:cs="B Nazanin"/>
                <w:sz w:val="20"/>
              </w:rPr>
              <w:t>۳. محدودیت‌های مختل (Impaired Limits)</w:t>
            </w:r>
          </w:p>
        </w:tc>
        <w:tc>
          <w:tcPr>
            <w:tcW w:type="dxa" w:w="2740"/>
          </w:tcPr>
          <w:p>
            <w:pPr>
              <w:bidi w:val="1"/>
              <w:jc w:val="both"/>
            </w:pPr>
            <w:r/>
            <w:r>
              <w:rPr>
                <w:rFonts w:ascii="Times New Roman" w:hAnsi="Times New Roman" w:cs="B Nazanin"/>
                <w:sz w:val="20"/>
              </w:rPr>
              <w:t>محدودیت‌های واقع‌بینانه، خودکنترلی و مسئولیت‌پذیری</w:t>
            </w:r>
          </w:p>
        </w:tc>
        <w:tc>
          <w:tcPr>
            <w:tcW w:type="dxa" w:w="2740"/>
          </w:tcPr>
          <w:p>
            <w:pPr>
              <w:bidi w:val="1"/>
              <w:jc w:val="both"/>
            </w:pPr>
            <w:r/>
            <w:r>
              <w:rPr>
                <w:rFonts w:ascii="Times New Roman" w:hAnsi="Times New Roman" w:cs="B Nazanin"/>
                <w:sz w:val="20"/>
              </w:rPr>
              <w:t>استحقاق/بزرگ‌منشی (Entitlement/Grandiosity)؛ خویشتن‌داری/خودانضباطی ناکافی (Insufficient Self-Control/Self-Discipline)</w:t>
            </w:r>
          </w:p>
        </w:tc>
      </w:tr>
      <w:tr>
        <w:tc>
          <w:tcPr>
            <w:tcW w:type="dxa" w:w="2740"/>
          </w:tcPr>
          <w:p>
            <w:pPr>
              <w:bidi w:val="1"/>
              <w:jc w:val="both"/>
            </w:pPr>
            <w:r/>
            <w:r>
              <w:rPr>
                <w:rFonts w:ascii="Times New Roman" w:hAnsi="Times New Roman" w:cs="B Nazanin"/>
                <w:sz w:val="20"/>
              </w:rPr>
              <w:t>۴. دیگرجهت‌مندی (Other-Directedness)</w:t>
            </w:r>
          </w:p>
        </w:tc>
        <w:tc>
          <w:tcPr>
            <w:tcW w:type="dxa" w:w="2740"/>
          </w:tcPr>
          <w:p>
            <w:pPr>
              <w:bidi w:val="1"/>
              <w:jc w:val="both"/>
            </w:pPr>
            <w:r/>
            <w:r>
              <w:rPr>
                <w:rFonts w:ascii="Times New Roman" w:hAnsi="Times New Roman" w:cs="B Nazanin"/>
                <w:sz w:val="20"/>
              </w:rPr>
              <w:t>بیان آزاد نیازها و هیجان‌ها و روابط متقابل</w:t>
            </w:r>
          </w:p>
        </w:tc>
        <w:tc>
          <w:tcPr>
            <w:tcW w:type="dxa" w:w="2740"/>
          </w:tcPr>
          <w:p>
            <w:pPr>
              <w:bidi w:val="1"/>
              <w:jc w:val="both"/>
            </w:pPr>
            <w:r/>
            <w:r>
              <w:rPr>
                <w:rFonts w:ascii="Times New Roman" w:hAnsi="Times New Roman" w:cs="B Nazanin"/>
                <w:sz w:val="20"/>
              </w:rPr>
              <w:t>اطاعت (Subjugation)؛ ایثار (Self-Sacrifice)؛ تأییدطلبی/جلب توجه (Approval-Seeking/Recognition-Seeking)</w:t>
            </w:r>
          </w:p>
        </w:tc>
      </w:tr>
      <w:tr>
        <w:tc>
          <w:tcPr>
            <w:tcW w:type="dxa" w:w="2740"/>
          </w:tcPr>
          <w:p>
            <w:pPr>
              <w:bidi w:val="1"/>
              <w:jc w:val="both"/>
            </w:pPr>
            <w:r/>
            <w:r>
              <w:rPr>
                <w:rFonts w:ascii="Times New Roman" w:hAnsi="Times New Roman" w:cs="B Nazanin"/>
                <w:sz w:val="20"/>
              </w:rPr>
              <w:t>۵. گوش‌به‌زنگی بیش از حد و بازداری (Overvigilance and Inhibition)</w:t>
            </w:r>
          </w:p>
        </w:tc>
        <w:tc>
          <w:tcPr>
            <w:tcW w:type="dxa" w:w="2740"/>
          </w:tcPr>
          <w:p>
            <w:pPr>
              <w:bidi w:val="1"/>
              <w:jc w:val="both"/>
            </w:pPr>
            <w:r/>
            <w:r>
              <w:rPr>
                <w:rFonts w:ascii="Times New Roman" w:hAnsi="Times New Roman" w:cs="B Nazanin"/>
                <w:sz w:val="20"/>
              </w:rPr>
              <w:t>خودانگیختگی، بازی و معیارهای انعطاف‌پذیر</w:t>
            </w:r>
          </w:p>
        </w:tc>
        <w:tc>
          <w:tcPr>
            <w:tcW w:type="dxa" w:w="2740"/>
          </w:tcPr>
          <w:p>
            <w:pPr>
              <w:bidi w:val="1"/>
              <w:jc w:val="both"/>
            </w:pPr>
            <w:r/>
            <w:r>
              <w:rPr>
                <w:rFonts w:ascii="Times New Roman" w:hAnsi="Times New Roman" w:cs="B Nazanin"/>
                <w:sz w:val="20"/>
              </w:rPr>
              <w:t>منفی‌گرایی/بدبینی (Negativity/Pessimism)؛ بازداری هیجانی (Emotional Inhibition)؛ معیارهای سرسختانه/کمال‌گرایی افراطی (Unrelenting Standards/Hypercriticalness)؛ تنبیه‌گری (Punitiveness)</w:t>
            </w:r>
          </w:p>
        </w:tc>
      </w:tr>
    </w:tbl>
    <w:p>
      <w:pPr>
        <w:bidi w:val="1"/>
        <w:spacing w:lineRule="exact" w:line="580" w:after="0"/>
        <w:jc w:val="both"/>
      </w:pPr>
      <w:r>
        <w:rPr>
          <w:rFonts w:ascii="Times New Roman" w:hAnsi="Times New Roman" w:cs="B Nazanin"/>
          <w:sz w:val="22"/>
        </w:rPr>
        <w:t>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Times New Roman" w:hAnsi="Times New Roman" w:cs="B Nazanin"/>
          <w:sz w:val="22"/>
        </w:rPr>
        <w:t>فعال شدن هر یک از این طرحواره‌ها در بزرگسالی، لزوماً به یک رفتار مشخص و قابل پیش‌بینی منجر نمی‌شود؛ بلکه واکنش رفتاری فرد به سبک مقابله‌ای (Schema Coping Style) او بستگی دارد. یانگ و همکاران سه سبک مقابله‌ای کلی را شناسایی کرده‌اند: تسلیم (Surrender)، که در آن فرد پیام طرحواره را می‌پذیرد و تجربه‌های دردناک اولیه را در زندگی بزرگسالی بازتولید می‌کند؛ اجتناب (Avoidance)، که در آن فرد چیدمان زندگی خود را به‌گونه‌ای تنظیم می‌کند که طرحواره فعال نشود و از موقعیت‌ها، افکار و هیجان‌های مرتبط با آن می‌گریزد؛ و جبران افراطی (Overcompensation)،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Times New Roman" w:hAnsi="Times New Roman" w:cs="B Nazanin"/>
          <w:sz w:val="22"/>
        </w:rPr>
        <w:t>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Times New Roman" w:hAnsi="Times New Roman" w:cs="B Nazanin"/>
          <w:sz w:val="22"/>
        </w:rPr>
        <w:t>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 (YSQ–L3) را در یک مطالعهٔ مقدماتی ارزیابی کردند و شواهدی برای ساختار عاملی این نسخه ارائه دادند (ساژینو و همکاران،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Times New Roman" w:hAnsi="Times New Roman" w:cs="B Nazanin"/>
          <w:sz w:val="22"/>
        </w:rPr>
        <w:t>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bidi w:val="1"/>
        <w:spacing w:lineRule="exact" w:line="580" w:before="180" w:after="40"/>
        <w:jc w:val="right"/>
      </w:pPr>
      <w:r>
        <w:rPr>
          <w:rFonts w:ascii="Times New Roman" w:hAnsi="Times New Roman" w:cs="B Nazanin"/>
          <w:b/>
          <w:sz w:val="26"/>
        </w:rPr>
        <w:t>۲-۲-۳ رفتارهای مالی پرخطر</w:t>
      </w:r>
    </w:p>
    <w:p>
      <w:pPr>
        <w:bidi w:val="1"/>
        <w:spacing w:lineRule="exact" w:line="580" w:after="0"/>
        <w:jc w:val="both"/>
      </w:pPr>
      <w:r>
        <w:rPr>
          <w:rFonts w:ascii="Times New Roman" w:hAnsi="Times New Roman" w:cs="B Nazanin"/>
          <w:sz w:val="22"/>
        </w:rPr>
        <w:t>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Times New Roman" w:hAnsi="Times New Roman" w:cs="B Nazanin"/>
          <w:sz w:val="22"/>
        </w:rPr>
        <w:t>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Times New Roman" w:hAnsi="Times New Roman" w:cs="B Nazanin"/>
          <w:sz w:val="22"/>
        </w:rPr>
        <w:t>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Times New Roman" w:hAnsi="Times New Roman" w:cs="B Nazanin"/>
          <w:sz w:val="22"/>
        </w:rPr>
        <w:t>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Times New Roman" w:hAnsi="Times New Roman" w:cs="B Nazanin"/>
          <w:sz w:val="22"/>
        </w:rPr>
        <w:t>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Times New Roman" w:hAnsi="Times New Roman" w:cs="B Nazanin"/>
          <w:sz w:val="22"/>
        </w:rPr>
        <w:t>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Times New Roman" w:hAnsi="Times New Roman" w:cs="B Nazanin"/>
          <w:sz w:val="22"/>
        </w:rPr>
        <w:t>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Times New Roman" w:hAnsi="Times New Roman" w:cs="B Nazanin"/>
          <w:sz w:val="22"/>
        </w:rPr>
        <w:t>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Times New Roman" w:hAnsi="Times New Roman" w:cs="B Nazanin"/>
          <w:sz w:val="22"/>
        </w:rPr>
        <w:t>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Times New Roman" w:hAnsi="Times New Roman" w:cs="B Nazanin"/>
          <w:sz w:val="22"/>
        </w:rPr>
        <w:t>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Times New Roman" w:hAnsi="Times New Roman" w:cs="B Nazanin"/>
          <w:sz w:val="22"/>
        </w:rPr>
        <w:t>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Times New Roman" w:hAnsi="Times New Roman" w:cs="B Nazanin"/>
          <w:sz w:val="22"/>
        </w:rPr>
        <w:t>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Times New Roman" w:hAnsi="Times New Roman" w:cs="B Nazanin"/>
          <w:sz w:val="22"/>
        </w:rPr>
        <w:t>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Times New Roman" w:hAnsi="Times New Roman" w:cs="B Nazanin"/>
          <w:sz w:val="22"/>
        </w:rPr>
        <w:t>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Times New Roman" w:hAnsi="Times New Roman" w:cs="B Nazanin"/>
          <w:sz w:val="22"/>
        </w:rPr>
        <w:t>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bidi w:val="1"/>
        <w:spacing w:lineRule="exact" w:line="580" w:after="0"/>
        <w:jc w:val="both"/>
      </w:pPr>
      <w:r>
        <w:rPr>
          <w:rFonts w:ascii="Times New Roman" w:hAnsi="Times New Roman" w:cs="B Nazanin"/>
          <w:sz w:val="22"/>
        </w:rPr>
        <w:t>#### ۲-۲-۳-۱ تحمل ریسک مالی</w:t>
      </w:r>
    </w:p>
    <w:p>
      <w:pPr>
        <w:bidi w:val="1"/>
        <w:spacing w:lineRule="exact" w:line="580" w:after="0"/>
        <w:jc w:val="both"/>
      </w:pPr>
      <w:r>
        <w:rPr>
          <w:rFonts w:ascii="Times New Roman" w:hAnsi="Times New Roman" w:cs="B Nazanin"/>
          <w:sz w:val="22"/>
        </w:rPr>
        <w:t>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 (Risk Capacity) و تحمل ذهنی ریسک (Risk Tolerance)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Times New Roman" w:hAnsi="Times New Roman" w:cs="B Nazanin"/>
          <w:sz w:val="22"/>
        </w:rPr>
        <w:t>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Times New Roman" w:hAnsi="Times New Roman" w:cs="B Nazanin"/>
          <w:sz w:val="22"/>
        </w:rPr>
        <w:t>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bidi w:val="1"/>
        <w:spacing w:lineRule="exact" w:line="580" w:before="180" w:after="40"/>
        <w:jc w:val="right"/>
      </w:pPr>
      <w:r>
        <w:rPr>
          <w:rFonts w:ascii="Times New Roman" w:hAnsi="Times New Roman" w:cs="B Nazanin"/>
          <w:b/>
          <w:sz w:val="26"/>
        </w:rPr>
        <w:t>۲-۲-۴ روابط بین متغیرها و مدل نظری میانجی‌گری</w:t>
      </w:r>
    </w:p>
    <w:p>
      <w:pPr>
        <w:bidi w:val="1"/>
        <w:spacing w:lineRule="exact" w:line="580" w:after="0"/>
        <w:jc w:val="both"/>
      </w:pPr>
      <w:r>
        <w:rPr>
          <w:rFonts w:ascii="Times New Roman" w:hAnsi="Times New Roman" w:cs="B Nazanin"/>
          <w:sz w:val="22"/>
        </w:rPr>
        <w:t>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Times New Roman" w:hAnsi="Times New Roman" w:cs="B Nazanin"/>
          <w:sz w:val="22"/>
        </w:rPr>
        <w:t>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Times New Roman" w:hAnsi="Times New Roman" w:cs="B Nazanin"/>
          <w:sz w:val="22"/>
        </w:rPr>
        <w:t>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Times New Roman" w:hAnsi="Times New Roman" w:cs="B Nazanin"/>
          <w:sz w:val="22"/>
        </w:rPr>
        <w:t>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Times New Roman" w:hAnsi="Times New Roman" w:cs="B Nazanin"/>
          <w:sz w:val="22"/>
        </w:rPr>
        <w:t>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bidi w:val="1"/>
        <w:spacing w:lineRule="exact" w:line="580" w:after="0"/>
        <w:jc w:val="both"/>
      </w:pPr>
      <w:r>
        <w:rPr>
          <w:rFonts w:ascii="Times New Roman" w:hAnsi="Times New Roman" w:cs="B Nazanin"/>
          <w:sz w:val="22"/>
        </w:rPr>
        <w:t>#### ۲-۲-۴-۱ سازوکار نظری مدل میانجی‌گری</w:t>
      </w:r>
    </w:p>
    <w:p>
      <w:pPr>
        <w:bidi w:val="1"/>
        <w:spacing w:lineRule="exact" w:line="580" w:after="0"/>
        <w:jc w:val="both"/>
      </w:pPr>
      <w:r>
        <w:rPr>
          <w:rFonts w:ascii="Times New Roman" w:hAnsi="Times New Roman" w:cs="B Nazanin"/>
          <w:sz w:val="22"/>
        </w:rPr>
        <w:t>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Times New Roman" w:hAnsi="Times New Roman" w:cs="B Nazanin"/>
          <w:sz w:val="22"/>
        </w:rPr>
        <w:t>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Times New Roman" w:hAnsi="Times New Roman" w:cs="B Nazanin"/>
          <w:sz w:val="22"/>
        </w:rPr>
        <w:t>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 ۲۰۲۴). این شواهد، بافت رفتاری مسیر دوم را بدون تعمیم فراتر از داده‌ها مشخص می‌سازند.</w:t>
      </w:r>
    </w:p>
    <w:p>
      <w:pPr>
        <w:bidi w:val="1"/>
        <w:spacing w:lineRule="exact" w:line="580" w:after="0"/>
        <w:jc w:val="both"/>
      </w:pPr>
      <w:r>
        <w:rPr>
          <w:rFonts w:ascii="Times New Roman" w:hAnsi="Times New Roman" w:cs="B Nazanin"/>
          <w:sz w:val="22"/>
        </w:rPr>
        <w:t>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 (Structural Equation Modeling; SEM) برآورد کرد که امکان سنجش هم‌زمان مسیرها و ارزیابی برازش کلی مدل را فراهم می‌آورد، و نیز در چارچوب رگرسیون‌محور با الگوی شمارهٔ ۴ ابزار پراسس (PROCESS) (PROCESS Model 4)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Times New Roman" w:hAnsi="Times New Roman" w:cs="B Nazanin"/>
          <w:sz w:val="22"/>
        </w:rPr>
        <w:t>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bidi w:val="1"/>
        <w:spacing w:lineRule="exact" w:line="580" w:before="240" w:after="60"/>
        <w:jc w:val="right"/>
      </w:pPr>
      <w:r>
        <w:rPr>
          <w:rFonts w:ascii="Times New Roman" w:hAnsi="Times New Roman" w:cs="B Nazanin"/>
          <w:b/>
          <w:sz w:val="28"/>
        </w:rPr>
        <w:t>۲-۳ پیشینه پژوهشی</w:t>
      </w:r>
    </w:p>
    <w:p>
      <w:pPr>
        <w:bidi w:val="1"/>
        <w:spacing w:lineRule="exact" w:line="580" w:before="180" w:after="40"/>
        <w:jc w:val="right"/>
      </w:pPr>
      <w:r>
        <w:rPr>
          <w:rFonts w:ascii="Times New Roman" w:hAnsi="Times New Roman" w:cs="B Nazanin"/>
          <w:b/>
          <w:sz w:val="26"/>
        </w:rPr>
        <w:t>۲-۳-۱ پیشینه داخلی</w:t>
      </w:r>
    </w:p>
    <w:p>
      <w:pPr>
        <w:bidi w:val="1"/>
        <w:spacing w:lineRule="exact" w:line="580" w:after="0"/>
        <w:jc w:val="both"/>
      </w:pPr>
      <w:r>
        <w:rPr>
          <w:rFonts w:ascii="Times New Roman" w:hAnsi="Times New Roman" w:cs="B Nazanin"/>
          <w:sz w:val="22"/>
        </w:rPr>
        <w:t>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Times New Roman" w:hAnsi="Times New Roman" w:cs="B Nazanin"/>
          <w:sz w:val="22"/>
        </w:rPr>
        <w:t>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Times New Roman" w:hAnsi="Times New Roman" w:cs="B Nazanin"/>
          <w:sz w:val="22"/>
        </w:rPr>
        <w:t>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Times New Roman" w:hAnsi="Times New Roman" w:cs="B Nazanin"/>
          <w:sz w:val="22"/>
        </w:rPr>
        <w:t>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Times New Roman" w:hAnsi="Times New Roman" w:cs="B Nazanin"/>
          <w:sz w:val="22"/>
        </w:rPr>
        <w:t>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Times New Roman" w:hAnsi="Times New Roman" w:cs="B Nazanin"/>
          <w:sz w:val="22"/>
        </w:rPr>
        <w:t>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bidi w:val="1"/>
        <w:spacing w:lineRule="exact" w:line="580" w:before="180" w:after="40"/>
        <w:jc w:val="right"/>
      </w:pPr>
      <w:r>
        <w:rPr>
          <w:rFonts w:ascii="Times New Roman" w:hAnsi="Times New Roman" w:cs="B Nazanin"/>
          <w:b/>
          <w:sz w:val="26"/>
        </w:rPr>
        <w:t>۲-۳-۲ پیشینه خارجی</w:t>
      </w:r>
    </w:p>
    <w:p>
      <w:pPr>
        <w:bidi w:val="1"/>
        <w:spacing w:lineRule="exact" w:line="580" w:after="0"/>
        <w:jc w:val="both"/>
      </w:pPr>
      <w:r>
        <w:rPr>
          <w:rFonts w:ascii="Times New Roman" w:hAnsi="Times New Roman" w:cs="B Nazanin"/>
          <w:sz w:val="22"/>
        </w:rPr>
        <w:t>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Times New Roman" w:hAnsi="Times New Roman" w:cs="B Nazanin"/>
          <w:sz w:val="22"/>
        </w:rPr>
        <w:t>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Times New Roman" w:hAnsi="Times New Roman" w:cs="B Nazanin"/>
          <w:sz w:val="22"/>
        </w:rPr>
        <w:t>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 (P&lt;0.05) 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Times New Roman" w:hAnsi="Times New Roman" w:cs="B Nazanin"/>
          <w:sz w:val="22"/>
        </w:rPr>
        <w:t>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Times New Roman" w:hAnsi="Times New Roman" w:cs="B Nazanin"/>
          <w:sz w:val="22"/>
        </w:rPr>
        <w:t>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 (CBT)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Times New Roman" w:hAnsi="Times New Roman" w:cs="B Nazanin"/>
          <w:sz w:val="22"/>
        </w:rPr>
        <w:t>صدیقی ارفعی و همکاران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Times New Roman" w:hAnsi="Times New Roman" w:cs="B Nazanin"/>
          <w:sz w:val="22"/>
        </w:rPr>
        <w:t>آرنا و همکاران(۲۰۲۲)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Times New Roman" w:hAnsi="Times New Roman" w:cs="B Nazanin"/>
          <w:sz w:val="22"/>
        </w:rPr>
        <w:t>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Times New Roman" w:hAnsi="Times New Roman" w:cs="B Nazanin"/>
          <w:sz w:val="22"/>
        </w:rPr>
        <w:t>آن و همکاران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Times New Roman" w:hAnsi="Times New Roman" w:cs="B Nazanin"/>
          <w:sz w:val="22"/>
        </w:rPr>
        <w:t>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Times New Roman" w:hAnsi="Times New Roman" w:cs="B Nazanin"/>
          <w:sz w:val="22"/>
        </w:rPr>
        <w:t>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Times New Roman" w:hAnsi="Times New Roman" w:cs="B Nazanin"/>
          <w:sz w:val="22"/>
        </w:rPr>
        <w:t>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Times New Roman" w:hAnsi="Times New Roman" w:cs="B Nazanin"/>
          <w:sz w:val="22"/>
        </w:rPr>
        <w:t>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Times New Roman" w:hAnsi="Times New Roman" w:cs="B Nazanin"/>
          <w:sz w:val="22"/>
        </w:rPr>
        <w:t>رایم و همکاران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Times New Roman" w:hAnsi="Times New Roman" w:cs="B Nazanin"/>
          <w:sz w:val="22"/>
        </w:rPr>
        <w:t>فنتون-اکریوی و همکاران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Times New Roman" w:hAnsi="Times New Roman" w:cs="B Nazanin"/>
          <w:sz w:val="22"/>
        </w:rPr>
        <w:t>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Times New Roman" w:hAnsi="Times New Roman" w:cs="B Nazanin"/>
          <w:sz w:val="22"/>
        </w:rPr>
        <w:t>هالورسن و همکاران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Times New Roman" w:hAnsi="Times New Roman" w:cs="B Nazanin"/>
          <w:sz w:val="22"/>
        </w:rPr>
        <w:t>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Times New Roman" w:hAnsi="Times New Roman" w:cs="B Nazanin"/>
          <w:sz w:val="22"/>
        </w:rPr>
        <w:t>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Times New Roman" w:hAnsi="Times New Roman" w:cs="B Nazanin"/>
          <w:sz w:val="22"/>
        </w:rPr>
        <w:t>لو و رپین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حین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Times New Roman" w:hAnsi="Times New Roman" w:cs="B Nazanin"/>
          <w:sz w:val="22"/>
        </w:rPr>
        <w:t>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Times New Roman" w:hAnsi="Times New Roman" w:cs="B Nazanin"/>
          <w:sz w:val="22"/>
        </w:rPr>
        <w:t>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Times New Roman" w:hAnsi="Times New Roman" w:cs="B Nazanin"/>
          <w:sz w:val="22"/>
        </w:rPr>
        <w:t>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bidi w:val="1"/>
        <w:spacing w:lineRule="exact" w:line="580" w:before="180" w:after="40"/>
        <w:jc w:val="right"/>
      </w:pPr>
      <w:r>
        <w:rPr>
          <w:rFonts w:ascii="Times New Roman" w:hAnsi="Times New Roman" w:cs="B Nazanin"/>
          <w:b/>
          <w:sz w:val="26"/>
        </w:rPr>
        <w:t>۲-۳-۳ جمع‌بندی پیشینه و شکاف پژوهشی</w:t>
      </w:r>
    </w:p>
    <w:p>
      <w:pPr>
        <w:bidi w:val="1"/>
        <w:spacing w:lineRule="exact" w:line="580" w:after="0"/>
        <w:jc w:val="both"/>
      </w:pPr>
      <w:r>
        <w:rPr>
          <w:rFonts w:ascii="Times New Roman" w:hAnsi="Times New Roman" w:cs="B Nazanin"/>
          <w:sz w:val="22"/>
        </w:rPr>
        <w:t>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Times New Roman" w:hAnsi="Times New Roman" w:cs="B Nazanin"/>
          <w:sz w:val="22"/>
        </w:rPr>
        <w:t>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Times New Roman" w:hAnsi="Times New Roman" w:cs="B Nazanin"/>
          <w:sz w:val="22"/>
        </w:rPr>
        <w:t>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bidi w:val="1"/>
        <w:spacing w:lineRule="exact" w:line="580" w:before="240" w:after="60"/>
        <w:jc w:val="right"/>
      </w:pPr>
      <w:r>
        <w:rPr>
          <w:rFonts w:ascii="Times New Roman" w:hAnsi="Times New Roman" w:cs="B Nazanin"/>
          <w:b/>
          <w:sz w:val="28"/>
        </w:rPr>
        <w:t>۲-۴ مدل مفهومی و چارچوب نهایی پژوهش</w:t>
      </w:r>
    </w:p>
    <w:p>
      <w:pPr>
        <w:bidi w:val="1"/>
        <w:spacing w:lineRule="exact" w:line="580" w:after="0"/>
        <w:jc w:val="both"/>
      </w:pPr>
      <w:r>
        <w:rPr>
          <w:rFonts w:ascii="Times New Roman" w:hAnsi="Times New Roman" w:cs="B Nazanin"/>
          <w:sz w:val="22"/>
        </w:rPr>
        <w:t>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(Y-2)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(YSQ-SF)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Times New Roman" w:hAnsi="Times New Roman" w:cs="B Nazanin"/>
                <w:b/>
                <w:sz w:val="20"/>
              </w:rPr>
              <w:t>اضطراب صفتی (متغیر مستقل)</w:t>
            </w:r>
          </w:p>
        </w:tc>
        <w:tc>
          <w:tcPr>
            <w:tcW w:type="dxa" w:w="2740"/>
          </w:tcPr>
          <w:p>
            <w:pPr>
              <w:bidi w:val="1"/>
              <w:jc w:val="center"/>
            </w:pPr>
            <w:r/>
            <w:r>
              <w:rPr>
                <w:rFonts w:ascii="Times New Roman" w:hAnsi="Times New Roman" w:cs="B Nazanin"/>
                <w:b/>
                <w:sz w:val="20"/>
              </w:rPr>
              <w:t>طرحواره‌های ناسازگار اولیه (متغیر میانجی)</w:t>
            </w:r>
          </w:p>
        </w:tc>
        <w:tc>
          <w:tcPr>
            <w:tcW w:type="dxa" w:w="2740"/>
          </w:tcPr>
          <w:p>
            <w:pPr>
              <w:bidi w:val="1"/>
              <w:jc w:val="center"/>
            </w:pPr>
            <w:r/>
            <w:r>
              <w:rPr>
                <w:rFonts w:ascii="Times New Roman" w:hAnsi="Times New Roman" w:cs="B Nazanin"/>
                <w:b/>
                <w:sz w:val="20"/>
              </w:rPr>
              <w:t>رفتارهای مالی پرخطر (متغیر وابسته)</w:t>
            </w:r>
          </w:p>
        </w:tc>
      </w:tr>
      <w:tr>
        <w:tc>
          <w:tcPr>
            <w:tcW w:type="dxa" w:w="2740"/>
          </w:tcPr>
          <w:p>
            <w:pPr>
              <w:bidi w:val="1"/>
              <w:jc w:val="center"/>
            </w:pPr>
            <w:r/>
            <w:r>
              <w:rPr>
                <w:rFonts w:ascii="Times New Roman" w:hAnsi="Times New Roman" w:cs="B Nazanin"/>
                <w:sz w:val="20"/>
              </w:rPr>
              <w:t>مسیر a</w:t>
            </w:r>
          </w:p>
        </w:tc>
        <w:tc>
          <w:tcPr>
            <w:tcW w:type="dxa" w:w="2740"/>
          </w:tcPr>
          <w:p>
            <w:pPr>
              <w:bidi w:val="1"/>
              <w:jc w:val="center"/>
            </w:pPr>
            <w:r/>
            <w:r>
              <w:rPr>
                <w:rFonts w:ascii="Times New Roman" w:hAnsi="Times New Roman" w:cs="B Nazanin"/>
                <w:sz w:val="20"/>
              </w:rPr>
              <w:t>مسیر غیرمستقیم (a×b)</w:t>
            </w:r>
          </w:p>
        </w:tc>
        <w:tc>
          <w:tcPr>
            <w:tcW w:type="dxa" w:w="2740"/>
          </w:tcPr>
          <w:p>
            <w:pPr>
              <w:bidi w:val="1"/>
              <w:jc w:val="center"/>
            </w:pPr>
            <w:r/>
            <w:r>
              <w:rPr>
                <w:rFonts w:ascii="Times New Roman" w:hAnsi="Times New Roman" w:cs="B Nazanin"/>
                <w:sz w:val="20"/>
              </w:rPr>
              <w:t>مسیر b</w:t>
            </w:r>
          </w:p>
        </w:tc>
      </w:tr>
    </w:tbl>
    <w:p>
      <w:pPr>
        <w:bidi w:val="1"/>
        <w:spacing w:lineRule="exact" w:line="580" w:before="60" w:after="120"/>
        <w:jc w:val="center"/>
      </w:pPr>
      <w:r>
        <w:rPr>
          <w:rFonts w:ascii="Times New Roman" w:hAnsi="Times New Roman" w:cs="B Nazanin"/>
          <w:b/>
          <w:sz w:val="22"/>
        </w:rPr>
        <w:t>شکل ۲-۱. مدل مفهومی پژوهش</w:t>
      </w:r>
    </w:p>
    <w:p>
      <w:pPr>
        <w:bidi w:val="1"/>
        <w:spacing w:lineRule="exact" w:line="580" w:after="0"/>
        <w:jc w:val="both"/>
      </w:pPr>
      <w:r>
        <w:rPr>
          <w:rFonts w:ascii="Times New Roman" w:hAnsi="Times New Roman" w:cs="B Nazanin"/>
          <w:sz w:val="22"/>
        </w:rPr>
        <w:t>مسیرهای این مدل به شرح زیر تعریف می‌شوند:</w:t>
      </w:r>
    </w:p>
    <w:p>
      <w:pPr>
        <w:bidi w:val="1"/>
        <w:spacing w:lineRule="exact" w:line="580" w:after="0"/>
        <w:ind w:right="425"/>
        <w:jc w:val="both"/>
      </w:pPr>
      <w:r>
        <w:rPr>
          <w:rFonts w:ascii="Times New Roman" w:hAnsi="Times New Roman" w:cs="B Nazanin"/>
          <w:sz w:val="22"/>
        </w:rPr>
        <w:t>• مسیر مستقیم: اضطراب صفتی ← رفتارهای مالی پرخطر</w:t>
      </w:r>
    </w:p>
    <w:p>
      <w:pPr>
        <w:bidi w:val="1"/>
        <w:spacing w:lineRule="exact" w:line="580" w:after="0"/>
        <w:ind w:right="425"/>
        <w:jc w:val="both"/>
      </w:pPr>
      <w:r>
        <w:rPr>
          <w:rFonts w:ascii="Times New Roman" w:hAnsi="Times New Roman" w:cs="B Nazanin"/>
          <w:sz w:val="22"/>
        </w:rPr>
        <w:t>• مسیر a: اضطراب صفتی ← طرحواره‌های ناسازگار اولیه</w:t>
      </w:r>
    </w:p>
    <w:p>
      <w:pPr>
        <w:bidi w:val="1"/>
        <w:spacing w:lineRule="exact" w:line="580" w:after="0"/>
        <w:ind w:right="425"/>
        <w:jc w:val="both"/>
      </w:pPr>
      <w:r>
        <w:rPr>
          <w:rFonts w:ascii="Times New Roman" w:hAnsi="Times New Roman" w:cs="B Nazanin"/>
          <w:sz w:val="22"/>
        </w:rPr>
        <w:t>• مسیر b: طرحواره‌های ناسازگار اولیه ← رفتارهای مالی پرخطر</w:t>
      </w:r>
    </w:p>
    <w:p>
      <w:pPr>
        <w:bidi w:val="1"/>
        <w:spacing w:lineRule="exact" w:line="580" w:after="0"/>
        <w:ind w:right="425"/>
        <w:jc w:val="both"/>
      </w:pPr>
      <w:r>
        <w:rPr>
          <w:rFonts w:ascii="Times New Roman" w:hAnsi="Times New Roman" w:cs="B Nazanin"/>
          <w:sz w:val="22"/>
        </w:rPr>
        <w:t>• مسیر غیرمستقیم (a×b): اثر میانجی طرحواره‌ها در انتقال اثر اضطراب صفتی به رفتارهای مالی پرخطر</w:t>
      </w:r>
    </w:p>
    <w:p>
      <w:pPr>
        <w:bidi w:val="1"/>
        <w:spacing w:lineRule="exact" w:line="580" w:after="0"/>
        <w:jc w:val="both"/>
      </w:pPr>
      <w:r>
        <w:rPr>
          <w:rFonts w:ascii="Times New Roman" w:hAnsi="Times New Roman" w:cs="B Nazanin"/>
          <w:sz w:val="22"/>
        </w:rPr>
        <w:t>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 a را آزمون می‌کند. فرضیهٔ فرعی چهارم نیز مقرر می‌دارد که «بین طرحواره‌های ناسازگار اولیه و رفتارهای مالی پرخطر، رابطه مثبت و معناداری وجود دارد» و با مسیر b 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 (a×b) دلالت دارد و آزمون آن، هستهٔ تحلیلی پژوهش حاضر را تشکیل می‌دهد.</w:t>
      </w:r>
    </w:p>
    <w:p>
      <w:pPr>
        <w:bidi w:val="1"/>
        <w:spacing w:lineRule="exact" w:line="580" w:after="0"/>
        <w:jc w:val="both"/>
      </w:pPr>
      <w:r>
        <w:rPr>
          <w:rFonts w:ascii="Times New Roman" w:hAnsi="Times New Roman" w:cs="B Nazanin"/>
          <w:sz w:val="22"/>
        </w:rPr>
        <w:t>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Times New Roman" w:hAnsi="Times New Roman" w:cs="B Nazanin"/>
          <w:sz w:val="22"/>
        </w:rPr>
        <w:t>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first" r:id="rId11"/>
          <w:footerReference w:type="default" r:id="rId12"/>
          <w:pgSz w:w="11906" w:h="16838"/>
          <w:pgMar w:top="1701" w:right="2268" w:bottom="1417" w:left="1417" w:header="720" w:footer="567" w:gutter="0"/>
          <w:pgNumType w:numFmt="hindi" w:start="1"/>
          <w:titlePg/>
          <w:pgNumType w:numFmt="hindi"/>
          <w:titlePg/>
          <w:cols w:space="720"/>
          <w:bidi/>
          <w:docGrid w:linePitch="360"/>
        </w:sectPr>
      </w:pPr>
    </w:p>
    <w:p>
      <w:pPr>
        <w:bidi w:val="1"/>
        <w:spacing w:lineRule="exact" w:line="580" w:before="480" w:after="180"/>
        <w:jc w:val="center"/>
      </w:pPr>
      <w:r>
        <w:rPr>
          <w:rFonts w:ascii="Times New Roman" w:hAnsi="Times New Roman" w:cs="B Nazanin"/>
          <w:b/>
          <w:sz w:val="56"/>
        </w:rPr>
        <w:t>فصل سوم</w:t>
      </w:r>
    </w:p>
    <w:p>
      <w:pPr>
        <w:bidi w:val="1"/>
        <w:spacing w:lineRule="exact" w:line="580" w:before="120" w:after="480"/>
        <w:jc w:val="center"/>
      </w:pPr>
      <w:r>
        <w:rPr>
          <w:rFonts w:ascii="Times New Roman" w:hAnsi="Times New Roman" w:cs="B Nazanin"/>
          <w:b/>
          <w:sz w:val="52"/>
        </w:rPr>
        <w:t>روش‌شناسی پژوهش</w:t>
      </w:r>
    </w:p>
    <w:p>
      <w:pPr>
        <w:bidi w:val="1"/>
        <w:spacing w:lineRule="exact" w:line="580" w:before="240" w:after="60"/>
        <w:jc w:val="right"/>
      </w:pPr>
      <w:r>
        <w:rPr>
          <w:rFonts w:ascii="Times New Roman" w:hAnsi="Times New Roman" w:cs="B Nazanin"/>
          <w:b/>
          <w:sz w:val="28"/>
        </w:rPr>
        <w:t>۳-۱. مقدمه</w:t>
      </w:r>
    </w:p>
    <w:p>
      <w:pPr>
        <w:bidi w:val="1"/>
        <w:spacing w:lineRule="exact" w:line="580" w:after="0"/>
        <w:jc w:val="both"/>
      </w:pPr>
      <w:r>
        <w:rPr>
          <w:rFonts w:ascii="Times New Roman" w:hAnsi="Times New Roman" w:cs="B Nazanin"/>
          <w:sz w:val="22"/>
        </w:rPr>
        <w:t>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bidi w:val="1"/>
        <w:spacing w:lineRule="exact" w:line="580" w:before="240" w:after="60"/>
        <w:jc w:val="right"/>
      </w:pPr>
      <w:r>
        <w:rPr>
          <w:rFonts w:ascii="Times New Roman" w:hAnsi="Times New Roman" w:cs="B Nazanin"/>
          <w:b/>
          <w:sz w:val="28"/>
        </w:rPr>
        <w:t>۳-۲. طرح پژوهش</w:t>
      </w:r>
    </w:p>
    <w:p>
      <w:pPr>
        <w:bidi w:val="1"/>
        <w:spacing w:lineRule="exact" w:line="580" w:after="0"/>
        <w:jc w:val="both"/>
      </w:pPr>
      <w:r>
        <w:rPr>
          <w:rFonts w:ascii="Times New Roman" w:hAnsi="Times New Roman" w:cs="B Nazanin"/>
          <w:sz w:val="22"/>
        </w:rPr>
        <w:t>پژوهش حاضر از نظر هدف، در زمرهٔ پژوهش‌های کاربردی (Applied Research)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Times New Roman" w:hAnsi="Times New Roman" w:cs="B Nazanin"/>
          <w:sz w:val="22"/>
        </w:rPr>
        <w:t>از نظر روش گردآوری داده‌ها، این پژوهش توصیفی-همبستگی (Descriptive-Correlational)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Times New Roman" w:hAnsi="Times New Roman" w:cs="B Nazanin"/>
          <w:sz w:val="22"/>
        </w:rPr>
        <w:t>مهم‌تر آنکه، مدل تحلیلی پژوهش از نوع مدل میانجی‌گری (Mediation Model)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Times New Roman" w:hAnsi="Times New Roman" w:cs="B Nazanin"/>
          <w:sz w:val="22"/>
        </w:rPr>
        <w:t>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Times New Roman" w:hAnsi="Times New Roman" w:cs="B Nazanin"/>
          <w:sz w:val="22"/>
        </w:rPr>
        <w:t>برای برآورد این مدل، دو چارچوب تحلیلی در نظر گرفته شده است: روش اصلی، مدل‌سازی معادلات ساختاری (Structural Equation Modeling) است که در صورت کفایت حجم نمونه به کار گرفته خواهد شد، و روش جایگزین، تحلیل مسیر با ماکروی پراسس — الگوی شمارهٔ ۴ (PROCESS, Model 4) همراه با آزمون بوت‌استرپ برای اثرات غیرمستقیم است (هیز، ۲۰۱۸). تفصیل روش‌های تحلیل، مفروضه‌ها و شاخص‌های برازش در بخش روش تحلیل داده‌ها ارائه خواهد شد.</w:t>
      </w:r>
    </w:p>
    <w:p>
      <w:pPr>
        <w:bidi w:val="1"/>
        <w:spacing w:lineRule="exact" w:line="580" w:after="0"/>
        <w:jc w:val="both"/>
      </w:pPr>
      <w:r>
        <w:rPr>
          <w:rFonts w:ascii="Times New Roman" w:hAnsi="Times New Roman" w:cs="B Nazanin"/>
          <w:sz w:val="22"/>
        </w:rPr>
        <w:t>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bidi w:val="1"/>
        <w:spacing w:lineRule="exact" w:line="580" w:before="240" w:after="60"/>
        <w:jc w:val="right"/>
      </w:pPr>
      <w:r>
        <w:rPr>
          <w:rFonts w:ascii="Times New Roman" w:hAnsi="Times New Roman" w:cs="B Nazanin"/>
          <w:b/>
          <w:sz w:val="28"/>
        </w:rPr>
        <w:t>۳-۳. جامعهٔ آماری، نمونه و روش نمونه‌گیری</w:t>
      </w:r>
    </w:p>
    <w:p>
      <w:pPr>
        <w:bidi w:val="1"/>
        <w:spacing w:lineRule="exact" w:line="580" w:before="180" w:after="40"/>
        <w:jc w:val="right"/>
      </w:pPr>
      <w:r>
        <w:rPr>
          <w:rFonts w:ascii="Times New Roman" w:hAnsi="Times New Roman" w:cs="B Nazanin"/>
          <w:b/>
          <w:sz w:val="26"/>
        </w:rPr>
        <w:t>۳-۳-۱. جامعهٔ آماری</w:t>
      </w:r>
    </w:p>
    <w:p>
      <w:pPr>
        <w:bidi w:val="1"/>
        <w:spacing w:lineRule="exact" w:line="580" w:after="0"/>
        <w:jc w:val="both"/>
      </w:pPr>
      <w:r>
        <w:rPr>
          <w:rFonts w:ascii="Times New Roman" w:hAnsi="Times New Roman" w:cs="B Nazanin"/>
          <w:sz w:val="22"/>
        </w:rPr>
        <w:t>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bidi w:val="1"/>
        <w:spacing w:lineRule="exact" w:line="580" w:before="180" w:after="40"/>
        <w:jc w:val="right"/>
      </w:pPr>
      <w:r>
        <w:rPr>
          <w:rFonts w:ascii="Times New Roman" w:hAnsi="Times New Roman" w:cs="B Nazanin"/>
          <w:b/>
          <w:sz w:val="26"/>
        </w:rPr>
        <w:t>۳-۳-۲. روش نمونه‌گیری و گردآوری داده‌ها</w:t>
      </w:r>
    </w:p>
    <w:p>
      <w:pPr>
        <w:bidi w:val="1"/>
        <w:spacing w:lineRule="exact" w:line="580" w:after="0"/>
        <w:jc w:val="both"/>
      </w:pPr>
      <w:r>
        <w:rPr>
          <w:rFonts w:ascii="Times New Roman" w:hAnsi="Times New Roman" w:cs="B Nazanin"/>
          <w:sz w:val="22"/>
        </w:rPr>
        <w:t>با توجه به نبود فهرست جامع و قابل دسترس از تمامی معامله‌گران فعال و نامشخص بودن حجم دقیق جامعه، در این پژوهش از روش نمونه‌گیری غیرتصادفی در دسترس (Convenience Sampling) به همراه روش گلوله‌برفی (Snowball Sampling)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Times New Roman" w:hAnsi="Times New Roman" w:cs="B Nazanin"/>
          <w:sz w:val="22"/>
        </w:rPr>
        <w:t>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Times New Roman" w:hAnsi="Times New Roman" w:cs="B Nazanin"/>
          <w:sz w:val="22"/>
        </w:rPr>
        <w:t>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Times New Roman" w:hAnsi="Times New Roman" w:cs="B Nazanin"/>
          <w:sz w:val="22"/>
        </w:rPr>
        <w:t>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bidi w:val="1"/>
        <w:spacing w:lineRule="exact" w:line="580" w:before="180" w:after="40"/>
        <w:jc w:val="right"/>
      </w:pPr>
      <w:r>
        <w:rPr>
          <w:rFonts w:ascii="Times New Roman" w:hAnsi="Times New Roman" w:cs="B Nazanin"/>
          <w:b/>
          <w:sz w:val="26"/>
        </w:rPr>
        <w:t>۳-۳-۳. حجم نمونه</w:t>
      </w:r>
    </w:p>
    <w:p>
      <w:pPr>
        <w:bidi w:val="1"/>
        <w:spacing w:lineRule="exact" w:line="580" w:after="0"/>
        <w:jc w:val="both"/>
      </w:pPr>
      <w:r>
        <w:rPr>
          <w:rFonts w:ascii="Times New Roman" w:hAnsi="Times New Roman" w:cs="B Nazanin"/>
          <w:sz w:val="22"/>
        </w:rPr>
        <w:t>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bidi w:val="1"/>
        <w:spacing w:lineRule="exact" w:line="580" w:before="180" w:after="40"/>
        <w:jc w:val="right"/>
      </w:pPr>
      <w:r>
        <w:rPr>
          <w:rFonts w:ascii="Times New Roman" w:hAnsi="Times New Roman" w:cs="B Nazanin"/>
          <w:b/>
          <w:sz w:val="26"/>
        </w:rPr>
        <w:t>۳-۳-۴. ملاک‌های ورود و خروج</w:t>
      </w:r>
    </w:p>
    <w:p>
      <w:pPr>
        <w:bidi w:val="1"/>
        <w:spacing w:lineRule="exact" w:line="580" w:after="0"/>
        <w:jc w:val="both"/>
      </w:pPr>
      <w:r>
        <w:rPr>
          <w:rFonts w:ascii="Times New Roman" w:hAnsi="Times New Roman" w:cs="B Nazanin"/>
          <w:b/>
          <w:sz w:val="22"/>
        </w:rPr>
        <w:t>ملاک‌های ورود</w:t>
      </w:r>
      <w:r>
        <w:rPr>
          <w:rFonts w:ascii="Times New Roman" w:hAnsi="Times New Roman" w:cs="B Nazanin"/>
          <w:sz w:val="22"/>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Times New Roman" w:hAnsi="Times New Roman" w:cs="B Nazanin"/>
          <w:b/>
          <w:sz w:val="22"/>
        </w:rPr>
        <w:t>ملاک‌های خروج</w:t>
      </w:r>
      <w:r>
        <w:rPr>
          <w:rFonts w:ascii="Times New Roman" w:hAnsi="Times New Roman" w:cs="B Nazanin"/>
          <w:sz w:val="22"/>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Times New Roman" w:hAnsi="Times New Roman" w:cs="B Nazanin"/>
          <w:sz w:val="22"/>
        </w:rPr>
        <w:t>ملاک‌های خروج یادشده در مرحلهٔ پاک‌سازی داده‌ها و پیش از تحلیل نهایی اعمال می‌شوند تا کیفیت پاسخ‌های واردشده به مدل تضمین گردد.</w:t>
      </w:r>
    </w:p>
    <w:p>
      <w:pPr>
        <w:bidi w:val="1"/>
        <w:spacing w:lineRule="exact" w:line="580" w:before="240" w:after="60"/>
        <w:jc w:val="right"/>
      </w:pPr>
      <w:r>
        <w:rPr>
          <w:rFonts w:ascii="Times New Roman" w:hAnsi="Times New Roman" w:cs="B Nazanin"/>
          <w:b/>
          <w:sz w:val="28"/>
        </w:rPr>
        <w:t>۳-۴. ابزارهای اندازه‌گیری</w:t>
      </w:r>
    </w:p>
    <w:p>
      <w:pPr>
        <w:bidi w:val="1"/>
        <w:spacing w:lineRule="exact" w:line="580" w:after="0"/>
        <w:jc w:val="both"/>
      </w:pPr>
      <w:r>
        <w:rPr>
          <w:rFonts w:ascii="Times New Roman" w:hAnsi="Times New Roman" w:cs="B Nazanin"/>
          <w:sz w:val="22"/>
        </w:rPr>
        <w:t>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(Y-2)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bidi w:val="1"/>
        <w:spacing w:lineRule="exact" w:line="580" w:before="180" w:after="40"/>
        <w:jc w:val="right"/>
      </w:pPr>
      <w:r>
        <w:rPr>
          <w:rFonts w:ascii="Times New Roman" w:hAnsi="Times New Roman" w:cs="B Nazanin"/>
          <w:b/>
          <w:sz w:val="26"/>
        </w:rPr>
        <w:t>۳-۴-۱. پرسشنامهٔ اضطراب حالت-صفت اسپیلبرگر — فرم صفتی (STAI-Y2)</w:t>
      </w:r>
    </w:p>
    <w:p>
      <w:pPr>
        <w:bidi w:val="1"/>
        <w:spacing w:lineRule="exact" w:line="580" w:after="0"/>
        <w:jc w:val="both"/>
      </w:pPr>
      <w:r>
        <w:rPr>
          <w:rFonts w:ascii="Times New Roman" w:hAnsi="Times New Roman" w:cs="B Nazanin"/>
          <w:sz w:val="22"/>
        </w:rPr>
        <w:t>پرسشنامهٔ اضطراب حالت-صفت اسپیلبرگر (Spielberger State-Trait Anxiety Inventory) در اصل توسط اسپیلبرگر، گورچ و لوشن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(Y-2)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Times New Roman" w:hAnsi="Times New Roman" w:cs="B Nazanin"/>
          <w:sz w:val="22"/>
        </w:rPr>
        <w:t>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Times New Roman" w:hAnsi="Times New Roman" w:cs="B Nazanin"/>
          <w:sz w:val="22"/>
        </w:rPr>
        <w:t>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Times New Roman" w:hAnsi="Times New Roman" w:cs="B Nazanin"/>
          <w:sz w:val="22"/>
        </w:rPr>
        <w:t>پایایی ابزار در نمونهٔ پژوهش حاضر با آلفای کرونباخ محاسبه و در فصل چهارم گزارش خواهد شد.</w:t>
      </w:r>
    </w:p>
    <w:p>
      <w:pPr>
        <w:bidi w:val="1"/>
        <w:spacing w:lineRule="exact" w:line="580" w:before="180" w:after="40"/>
        <w:jc w:val="right"/>
      </w:pPr>
      <w:r>
        <w:rPr>
          <w:rFonts w:ascii="Times New Roman" w:hAnsi="Times New Roman" w:cs="B Nazanin"/>
          <w:b/>
          <w:sz w:val="26"/>
        </w:rPr>
        <w:t>۳-۴-۲. پرسشنامهٔ طرحواره‌های ناسازگار اولیهٔ یانگ — فرم کوتاه (YSQ-SF)</w:t>
      </w:r>
    </w:p>
    <w:p>
      <w:pPr>
        <w:bidi w:val="1"/>
        <w:spacing w:lineRule="exact" w:line="580" w:after="0"/>
        <w:jc w:val="both"/>
      </w:pPr>
      <w:r>
        <w:rPr>
          <w:rFonts w:ascii="Times New Roman" w:hAnsi="Times New Roman" w:cs="B Nazanin"/>
          <w:sz w:val="22"/>
        </w:rPr>
        <w:t>پرسشنامهٔ طرحوارهٔ یانگ — فرم کوتاه (Young Schema Questionnaire – Short Form)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Times New Roman" w:hAnsi="Times New Roman" w:cs="B Nazanin"/>
          <w:sz w:val="22"/>
        </w:rPr>
        <w:t>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Times New Roman" w:hAnsi="Times New Roman" w:cs="B Nazanin"/>
          <w:sz w:val="22"/>
        </w:rPr>
        <w:t>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Times New Roman" w:hAnsi="Times New Roman" w:cs="B Nazanin"/>
          <w:sz w:val="22"/>
        </w:rPr>
        <w:t>پایایی ابزار در نمونهٔ پژوهش حاضر با آلفای کرونباخ محاسبه و در فصل چهارم گزارش خواهد شد.</w:t>
      </w:r>
    </w:p>
    <w:p>
      <w:pPr>
        <w:bidi w:val="1"/>
        <w:spacing w:lineRule="exact" w:line="580" w:before="180" w:after="40"/>
        <w:jc w:val="right"/>
      </w:pPr>
      <w:r>
        <w:rPr>
          <w:rFonts w:ascii="Times New Roman" w:hAnsi="Times New Roman" w:cs="B Nazanin"/>
          <w:b/>
          <w:sz w:val="26"/>
        </w:rPr>
        <w:t>۳-۴-۳. مقیاس تحمل ریسک مالی گرابل و لایتون (GL-RTS)</w:t>
      </w:r>
    </w:p>
    <w:p>
      <w:pPr>
        <w:bidi w:val="1"/>
        <w:spacing w:lineRule="exact" w:line="580" w:after="0"/>
        <w:jc w:val="both"/>
      </w:pPr>
      <w:r>
        <w:rPr>
          <w:rFonts w:ascii="Times New Roman" w:hAnsi="Times New Roman" w:cs="B Nazanin"/>
          <w:sz w:val="22"/>
        </w:rPr>
        <w:t>مقیاس تحمل ریسک مالی (Financial Risk Tolerance Scale)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Times New Roman" w:hAnsi="Times New Roman" w:cs="B Nazanin"/>
          <w:sz w:val="22"/>
        </w:rPr>
        <w:t>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Times New Roman" w:hAnsi="Times New Roman" w:cs="B Nazanin"/>
          <w:sz w:val="22"/>
        </w:rPr>
        <w:t>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 (Proxy Measure)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Times New Roman" w:hAnsi="Times New Roman" w:cs="B Nazanin"/>
          <w:sz w:val="22"/>
        </w:rPr>
        <w:t>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Times New Roman" w:hAnsi="Times New Roman" w:cs="B Nazanin"/>
          <w:sz w:val="22"/>
        </w:rPr>
        <w:t>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Times New Roman" w:hAnsi="Times New Roman" w:cs="B Nazanin"/>
          <w:b/>
          <w:sz w:val="22"/>
        </w:rPr>
        <w:t>جدول ۳-۱.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Times New Roman" w:hAnsi="Times New Roman" w:cs="B Nazanin"/>
                <w:b/>
                <w:sz w:val="20"/>
              </w:rPr>
              <w:t>ابزار</w:t>
            </w:r>
          </w:p>
        </w:tc>
        <w:tc>
          <w:tcPr>
            <w:tcW w:type="dxa" w:w="1644"/>
          </w:tcPr>
          <w:p>
            <w:pPr>
              <w:bidi w:val="1"/>
              <w:jc w:val="center"/>
            </w:pPr>
            <w:r/>
            <w:r>
              <w:rPr>
                <w:rFonts w:ascii="Times New Roman" w:hAnsi="Times New Roman" w:cs="B Nazanin"/>
                <w:b/>
                <w:sz w:val="20"/>
              </w:rPr>
              <w:t>تعداد گویه</w:t>
            </w:r>
          </w:p>
        </w:tc>
        <w:tc>
          <w:tcPr>
            <w:tcW w:type="dxa" w:w="1644"/>
          </w:tcPr>
          <w:p>
            <w:pPr>
              <w:bidi w:val="1"/>
              <w:jc w:val="center"/>
            </w:pPr>
            <w:r/>
            <w:r>
              <w:rPr>
                <w:rFonts w:ascii="Times New Roman" w:hAnsi="Times New Roman" w:cs="B Nazanin"/>
                <w:b/>
                <w:sz w:val="20"/>
              </w:rPr>
              <w:t>طیف پاسخ</w:t>
            </w:r>
          </w:p>
        </w:tc>
        <w:tc>
          <w:tcPr>
            <w:tcW w:type="dxa" w:w="1644"/>
          </w:tcPr>
          <w:p>
            <w:pPr>
              <w:bidi w:val="1"/>
              <w:jc w:val="center"/>
            </w:pPr>
            <w:r/>
            <w:r>
              <w:rPr>
                <w:rFonts w:ascii="Times New Roman" w:hAnsi="Times New Roman" w:cs="B Nazanin"/>
                <w:b/>
                <w:sz w:val="20"/>
              </w:rPr>
              <w:t>دامنهٔ نمره</w:t>
            </w:r>
          </w:p>
        </w:tc>
        <w:tc>
          <w:tcPr>
            <w:tcW w:type="dxa" w:w="1644"/>
          </w:tcPr>
          <w:p>
            <w:pPr>
              <w:bidi w:val="1"/>
              <w:jc w:val="center"/>
            </w:pPr>
            <w:r/>
            <w:r>
              <w:rPr>
                <w:rFonts w:ascii="Times New Roman" w:hAnsi="Times New Roman" w:cs="B Nazanin"/>
                <w:b/>
                <w:sz w:val="20"/>
              </w:rPr>
              <w:t>نسخهٔ فارسی</w:t>
            </w:r>
          </w:p>
        </w:tc>
      </w:tr>
      <w:tr>
        <w:tc>
          <w:tcPr>
            <w:tcW w:type="dxa" w:w="1644"/>
          </w:tcPr>
          <w:p>
            <w:pPr>
              <w:bidi w:val="1"/>
              <w:jc w:val="both"/>
            </w:pPr>
            <w:r/>
            <w:r>
              <w:rPr>
                <w:rFonts w:ascii="Times New Roman" w:hAnsi="Times New Roman" w:cs="B Nazanin"/>
                <w:sz w:val="20"/>
              </w:rPr>
              <w:t>پرسشنامهٔ اضطراب حالت-صفت اسپیلبرگر — فرم صفتی (STAI-Y2)</w:t>
            </w:r>
          </w:p>
        </w:tc>
        <w:tc>
          <w:tcPr>
            <w:tcW w:type="dxa" w:w="1644"/>
          </w:tcPr>
          <w:p>
            <w:pPr>
              <w:bidi w:val="1"/>
              <w:jc w:val="both"/>
            </w:pPr>
            <w:r/>
            <w:r>
              <w:rPr>
                <w:rFonts w:ascii="Times New Roman" w:hAnsi="Times New Roman" w:cs="B Nazanin"/>
                <w:sz w:val="20"/>
              </w:rPr>
              <w:t>۲۰</w:t>
            </w:r>
          </w:p>
        </w:tc>
        <w:tc>
          <w:tcPr>
            <w:tcW w:type="dxa" w:w="1644"/>
          </w:tcPr>
          <w:p>
            <w:pPr>
              <w:bidi w:val="1"/>
              <w:jc w:val="both"/>
            </w:pPr>
            <w:r/>
            <w:r>
              <w:rPr>
                <w:rFonts w:ascii="Times New Roman" w:hAnsi="Times New Roman" w:cs="B Nazanin"/>
                <w:sz w:val="20"/>
              </w:rPr>
              <w:t>لیکرت ۴ درجه‌ای (تقریباً هرگز تا تقریباً همیشه)</w:t>
            </w:r>
          </w:p>
        </w:tc>
        <w:tc>
          <w:tcPr>
            <w:tcW w:type="dxa" w:w="1644"/>
          </w:tcPr>
          <w:p>
            <w:pPr>
              <w:bidi w:val="1"/>
              <w:jc w:val="both"/>
            </w:pPr>
            <w:r/>
            <w:r>
              <w:rPr>
                <w:rFonts w:ascii="Times New Roman" w:hAnsi="Times New Roman" w:cs="B Nazanin"/>
                <w:sz w:val="20"/>
              </w:rPr>
              <w:t>۲۰ تا ۸۰</w:t>
            </w:r>
          </w:p>
        </w:tc>
        <w:tc>
          <w:tcPr>
            <w:tcW w:type="dxa" w:w="1644"/>
          </w:tcPr>
          <w:p>
            <w:pPr>
              <w:bidi w:val="1"/>
              <w:jc w:val="both"/>
            </w:pPr>
            <w:r/>
            <w:r>
              <w:rPr>
                <w:rFonts w:ascii="Times New Roman" w:hAnsi="Times New Roman" w:cs="B Nazanin"/>
                <w:sz w:val="20"/>
              </w:rPr>
              <w:t>بشارت و همکاران (۱۳۹۵)</w:t>
            </w:r>
          </w:p>
        </w:tc>
      </w:tr>
      <w:tr>
        <w:tc>
          <w:tcPr>
            <w:tcW w:type="dxa" w:w="1644"/>
          </w:tcPr>
          <w:p>
            <w:pPr>
              <w:bidi w:val="1"/>
              <w:jc w:val="both"/>
            </w:pPr>
            <w:r/>
            <w:r>
              <w:rPr>
                <w:rFonts w:ascii="Times New Roman" w:hAnsi="Times New Roman" w:cs="B Nazanin"/>
                <w:sz w:val="20"/>
              </w:rPr>
              <w:t>پرسشنامهٔ طرحوارهٔ یانگ — فرم کوتاه (YSQ-SF)</w:t>
            </w:r>
          </w:p>
        </w:tc>
        <w:tc>
          <w:tcPr>
            <w:tcW w:type="dxa" w:w="1644"/>
          </w:tcPr>
          <w:p>
            <w:pPr>
              <w:bidi w:val="1"/>
              <w:jc w:val="both"/>
            </w:pPr>
            <w:r/>
            <w:r>
              <w:rPr>
                <w:rFonts w:ascii="Times New Roman" w:hAnsi="Times New Roman" w:cs="B Nazanin"/>
                <w:sz w:val="20"/>
              </w:rPr>
              <w:t>۷۵ (۱۵ خرده‌مقیاس × ۵ گویه)</w:t>
            </w:r>
          </w:p>
        </w:tc>
        <w:tc>
          <w:tcPr>
            <w:tcW w:type="dxa" w:w="1644"/>
          </w:tcPr>
          <w:p>
            <w:pPr>
              <w:bidi w:val="1"/>
              <w:jc w:val="both"/>
            </w:pPr>
            <w:r/>
            <w:r>
              <w:rPr>
                <w:rFonts w:ascii="Times New Roman" w:hAnsi="Times New Roman" w:cs="B Nazanin"/>
                <w:sz w:val="20"/>
              </w:rPr>
              <w:t>لیکرت ۶ درجه‌ای (کاملاً در مورد من غلط است تا کاملاً مرا توصیف می‌کند)</w:t>
            </w:r>
          </w:p>
        </w:tc>
        <w:tc>
          <w:tcPr>
            <w:tcW w:type="dxa" w:w="1644"/>
          </w:tcPr>
          <w:p>
            <w:pPr>
              <w:bidi w:val="1"/>
              <w:jc w:val="both"/>
            </w:pPr>
            <w:r/>
            <w:r>
              <w:rPr>
                <w:rFonts w:ascii="Times New Roman" w:hAnsi="Times New Roman" w:cs="B Nazanin"/>
                <w:sz w:val="20"/>
              </w:rPr>
              <w:t>۵ تا ۳۰ برای هر طرحواره</w:t>
            </w:r>
          </w:p>
        </w:tc>
        <w:tc>
          <w:tcPr>
            <w:tcW w:type="dxa" w:w="1644"/>
          </w:tcPr>
          <w:p>
            <w:pPr>
              <w:bidi w:val="1"/>
              <w:jc w:val="both"/>
            </w:pPr>
            <w:r/>
            <w:r>
              <w:rPr>
                <w:rFonts w:ascii="Times New Roman" w:hAnsi="Times New Roman" w:cs="B Nazanin"/>
                <w:sz w:val="20"/>
              </w:rPr>
              <w:t>یوسفی (۱۳۹۶)</w:t>
            </w:r>
          </w:p>
        </w:tc>
      </w:tr>
      <w:tr>
        <w:tc>
          <w:tcPr>
            <w:tcW w:type="dxa" w:w="1644"/>
          </w:tcPr>
          <w:p>
            <w:pPr>
              <w:bidi w:val="1"/>
              <w:jc w:val="both"/>
            </w:pPr>
            <w:r/>
            <w:r>
              <w:rPr>
                <w:rFonts w:ascii="Times New Roman" w:hAnsi="Times New Roman" w:cs="B Nazanin"/>
                <w:sz w:val="20"/>
              </w:rPr>
              <w:t>مقیاس تحمل ریسک مالی گرابل و لایتون (GL-RTS)</w:t>
            </w:r>
          </w:p>
        </w:tc>
        <w:tc>
          <w:tcPr>
            <w:tcW w:type="dxa" w:w="1644"/>
          </w:tcPr>
          <w:p>
            <w:pPr>
              <w:bidi w:val="1"/>
              <w:jc w:val="both"/>
            </w:pPr>
            <w:r/>
            <w:r>
              <w:rPr>
                <w:rFonts w:ascii="Times New Roman" w:hAnsi="Times New Roman" w:cs="B Nazanin"/>
                <w:sz w:val="20"/>
              </w:rPr>
              <w:t>۱۳</w:t>
            </w:r>
          </w:p>
        </w:tc>
        <w:tc>
          <w:tcPr>
            <w:tcW w:type="dxa" w:w="1644"/>
          </w:tcPr>
          <w:p>
            <w:pPr>
              <w:bidi w:val="1"/>
              <w:jc w:val="both"/>
            </w:pPr>
            <w:r/>
            <w:r>
              <w:rPr>
                <w:rFonts w:ascii="Times New Roman" w:hAnsi="Times New Roman" w:cs="B Nazanin"/>
                <w:sz w:val="20"/>
              </w:rPr>
              <w:t>تک‌گزینه‌ای با ۴ گزینهٔ متنی ویژهٔ هر سؤال</w:t>
            </w:r>
          </w:p>
        </w:tc>
        <w:tc>
          <w:tcPr>
            <w:tcW w:type="dxa" w:w="1644"/>
          </w:tcPr>
          <w:p>
            <w:pPr>
              <w:bidi w:val="1"/>
              <w:jc w:val="both"/>
            </w:pPr>
            <w:r/>
            <w:r>
              <w:rPr>
                <w:rFonts w:ascii="Times New Roman" w:hAnsi="Times New Roman" w:cs="B Nazanin"/>
                <w:sz w:val="20"/>
              </w:rPr>
              <w:t>۱۳ تا ۴۵</w:t>
            </w:r>
          </w:p>
        </w:tc>
        <w:tc>
          <w:tcPr>
            <w:tcW w:type="dxa" w:w="1644"/>
          </w:tcPr>
          <w:p>
            <w:pPr>
              <w:bidi w:val="1"/>
              <w:jc w:val="both"/>
            </w:pPr>
            <w:r/>
            <w:r>
              <w:rPr>
                <w:rFonts w:ascii="Times New Roman" w:hAnsi="Times New Roman" w:cs="B Nazanin"/>
                <w:sz w:val="20"/>
              </w:rPr>
              <w:t>طالبی و همکاران (۱۳۹۸)</w:t>
            </w:r>
          </w:p>
        </w:tc>
      </w:tr>
    </w:tbl>
    <w:p>
      <w:pPr>
        <w:bidi w:val="1"/>
        <w:spacing w:lineRule="exact" w:line="580" w:after="0"/>
        <w:jc w:val="both"/>
      </w:pPr>
      <w:r>
        <w:rPr>
          <w:rFonts w:ascii="Times New Roman" w:hAnsi="Times New Roman" w:cs="B Nazanin"/>
          <w:sz w:val="22"/>
        </w:rPr>
        <w:t>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bidi w:val="1"/>
        <w:spacing w:lineRule="exact" w:line="580" w:before="240" w:after="60"/>
        <w:jc w:val="right"/>
      </w:pPr>
      <w:r>
        <w:rPr>
          <w:rFonts w:ascii="Times New Roman" w:hAnsi="Times New Roman" w:cs="B Nazanin"/>
          <w:b/>
          <w:sz w:val="28"/>
        </w:rPr>
        <w:t>۳-۵. روش اجرای پژوهش</w:t>
      </w:r>
    </w:p>
    <w:p>
      <w:pPr>
        <w:bidi w:val="1"/>
        <w:spacing w:lineRule="exact" w:line="580" w:after="0"/>
        <w:jc w:val="both"/>
      </w:pPr>
      <w:r>
        <w:rPr>
          <w:rFonts w:ascii="Times New Roman" w:hAnsi="Times New Roman" w:cs="B Nazanin"/>
          <w:sz w:val="22"/>
        </w:rPr>
        <w:t>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Times New Roman" w:hAnsi="Times New Roman" w:cs="B Nazanin"/>
          <w:sz w:val="22"/>
        </w:rPr>
        <w:t>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Times New Roman" w:hAnsi="Times New Roman" w:cs="B Nazanin"/>
          <w:sz w:val="22"/>
        </w:rPr>
        <w:t>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Times New Roman" w:hAnsi="Times New Roman" w:cs="B Nazanin"/>
          <w:sz w:val="22"/>
        </w:rPr>
        <w:t>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Times New Roman" w:hAnsi="Times New Roman" w:cs="B Nazanin"/>
          <w:sz w:val="22"/>
        </w:rPr>
        <w:t>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Times New Roman" w:hAnsi="Times New Roman" w:cs="B Nazanin"/>
          <w:sz w:val="22"/>
        </w:rPr>
        <w:t>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Times New Roman" w:hAnsi="Times New Roman" w:cs="B Nazanin"/>
          <w:sz w:val="22"/>
        </w:rPr>
        <w:t>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Times New Roman" w:hAnsi="Times New Roman" w:cs="B Nazanin"/>
          <w:sz w:val="22"/>
        </w:rPr>
        <w:t>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bidi w:val="1"/>
        <w:spacing w:lineRule="exact" w:line="580" w:before="240" w:after="60"/>
        <w:jc w:val="right"/>
      </w:pPr>
      <w:r>
        <w:rPr>
          <w:rFonts w:ascii="Times New Roman" w:hAnsi="Times New Roman" w:cs="B Nazanin"/>
          <w:b/>
          <w:sz w:val="28"/>
        </w:rPr>
        <w:t>۳-۶. روش تحلیل داده‌ها</w:t>
      </w:r>
    </w:p>
    <w:p>
      <w:pPr>
        <w:bidi w:val="1"/>
        <w:spacing w:lineRule="exact" w:line="580" w:after="0"/>
        <w:jc w:val="both"/>
      </w:pPr>
      <w:r>
        <w:rPr>
          <w:rFonts w:ascii="Times New Roman" w:hAnsi="Times New Roman" w:cs="B Nazanin"/>
          <w:sz w:val="22"/>
        </w:rPr>
        <w:t>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Times New Roman" w:hAnsi="Times New Roman" w:cs="B Nazanin"/>
          <w:b/>
          <w:sz w:val="22"/>
        </w:rPr>
        <w:t>آماده‌سازی داده‌ها.</w:t>
      </w:r>
      <w:r>
        <w:rPr>
          <w:rFonts w:ascii="Times New Roman" w:hAnsi="Times New Roman" w:cs="B Nazanin"/>
          <w:sz w:val="22"/>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Times New Roman" w:hAnsi="Times New Roman" w:cs="B Nazanin"/>
          <w:b/>
          <w:sz w:val="22"/>
        </w:rPr>
        <w:t>آمار توصیفی.</w:t>
      </w:r>
      <w:r>
        <w:rPr>
          <w:rFonts w:ascii="Times New Roman" w:hAnsi="Times New Roman" w:cs="B Nazanin"/>
          <w:sz w:val="22"/>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Times New Roman" w:hAnsi="Times New Roman" w:cs="B Nazanin"/>
          <w:b/>
          <w:sz w:val="22"/>
        </w:rPr>
        <w:t>پایایی ابزارها در نمونهٔ پژوهش.</w:t>
      </w:r>
      <w:r>
        <w:rPr>
          <w:rFonts w:ascii="Times New Roman" w:hAnsi="Times New Roman" w:cs="B Nazanin"/>
          <w:sz w:val="22"/>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Times New Roman" w:hAnsi="Times New Roman" w:cs="B Nazanin"/>
          <w:b/>
          <w:sz w:val="22"/>
        </w:rPr>
        <w:t>بررسی پیش‌فرض‌های تحلیل.</w:t>
      </w:r>
      <w:r>
        <w:rPr>
          <w:rFonts w:ascii="Times New Roman" w:hAnsi="Times New Roman" w:cs="B Nazanin"/>
          <w:sz w:val="22"/>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Times New Roman" w:hAnsi="Times New Roman" w:cs="B Nazanin"/>
          <w:b/>
          <w:sz w:val="22"/>
        </w:rPr>
        <w:t>آزمون فرضیه‌های فرعی.</w:t>
      </w:r>
      <w:r>
        <w:rPr>
          <w:rFonts w:ascii="Times New Roman" w:hAnsi="Times New Roman" w:cs="B Nazanin"/>
          <w:sz w:val="22"/>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Times New Roman" w:hAnsi="Times New Roman" w:cs="B Nazanin"/>
          <w:b/>
          <w:sz w:val="22"/>
        </w:rPr>
        <w:t>آزمون فرضیهٔ اصلی و مدل میانجی‌گری.</w:t>
      </w:r>
      <w:r>
        <w:rPr>
          <w:rFonts w:ascii="Times New Roman" w:hAnsi="Times New Roman" w:cs="B Nazanin"/>
          <w:sz w:val="22"/>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 Amos 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 PROCESS و الگوی شمارهٔ ۴ است که اثرات مستقیم و غیرمستقیم را برآورد می‌کند و معناداری اثر غیرمستقیم از طریق روش بوت‌استرپ همراه با فاصلهٔ اطمینان ۹۵ درصد آزمون می‌شود (هیز،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Times New Roman" w:hAnsi="Times New Roman" w:cs="B Nazanin"/>
          <w:b/>
          <w:sz w:val="22"/>
        </w:rPr>
        <w:t>نرم‌افزارها.</w:t>
      </w:r>
      <w:r>
        <w:rPr>
          <w:rFonts w:ascii="Times New Roman" w:hAnsi="Times New Roman" w:cs="B Nazanin"/>
          <w:sz w:val="22"/>
        </w:rPr>
        <w:t xml:space="preserve"> تحلیل‌های آماری پژوهش با نرم‌افزار SPSS نسخهٔ ۲۶ و (در صورت امکان) نرم‌افزار Amos نسخهٔ ۲۴ انجام می‌شود و برای تحلیل مسیر جایگزین، از ماکروی PROCESS بر بستر SPSS استفاده می‌گردد.</w:t>
      </w:r>
    </w:p>
    <w:p>
      <w:pPr>
        <w:bidi w:val="1"/>
        <w:spacing w:lineRule="exact" w:line="580" w:after="0"/>
        <w:jc w:val="both"/>
      </w:pPr>
      <w:r>
        <w:rPr>
          <w:rFonts w:ascii="Times New Roman" w:hAnsi="Times New Roman" w:cs="B Nazanin"/>
          <w:sz w:val="22"/>
        </w:rPr>
        <w:t>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bidi w:val="1"/>
        <w:spacing w:lineRule="exact" w:line="580" w:before="240" w:after="60"/>
        <w:jc w:val="right"/>
      </w:pPr>
      <w:r>
        <w:rPr>
          <w:rFonts w:ascii="Times New Roman" w:hAnsi="Times New Roman" w:cs="B Nazanin"/>
          <w:b/>
          <w:sz w:val="28"/>
        </w:rPr>
        <w:t>۳-۷. ملاحظات اخلاقی</w:t>
      </w:r>
    </w:p>
    <w:p>
      <w:pPr>
        <w:bidi w:val="1"/>
        <w:spacing w:lineRule="exact" w:line="580" w:after="0"/>
        <w:jc w:val="both"/>
      </w:pPr>
      <w:r>
        <w:rPr>
          <w:rFonts w:ascii="Times New Roman" w:hAnsi="Times New Roman" w:cs="B Nazanin"/>
          <w:sz w:val="22"/>
        </w:rPr>
        <w:t>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Times New Roman" w:hAnsi="Times New Roman" w:cs="B Nazanin"/>
          <w:sz w:val="22"/>
        </w:rPr>
        <w:t>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Times New Roman" w:hAnsi="Times New Roman" w:cs="B Nazanin"/>
          <w:sz w:val="22"/>
        </w:rPr>
        <w:t>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Times New Roman" w:hAnsi="Times New Roman" w:cs="B Nazanin"/>
          <w:sz w:val="22"/>
        </w:rPr>
        <w:t>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Times New Roman" w:hAnsi="Times New Roman" w:cs="B Nazanin"/>
          <w:sz w:val="22"/>
        </w:rPr>
        <w:t>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first" r:id="rId13"/>
          <w:footerReference w:type="default" r:id="rId14"/>
          <w:pgSz w:w="11906" w:h="16838"/>
          <w:pgMar w:top="1701" w:right="2268" w:bottom="1417" w:left="1417" w:header="720" w:footer="567" w:gutter="0"/>
          <w:pgNumType w:numFmt="hindi" w:start="1"/>
          <w:titlePg/>
          <w:pgNumType w:numFmt="hindi"/>
          <w:titlePg/>
          <w:pgNumType w:numFmt="hindi"/>
          <w:titlePg/>
          <w:cols w:space="720"/>
          <w:bidi/>
          <w:docGrid w:linePitch="360"/>
        </w:sectPr>
      </w:pPr>
    </w:p>
    <w:p>
      <w:pPr>
        <w:bidi w:val="1"/>
        <w:spacing w:lineRule="exact" w:line="580" w:before="240" w:after="180"/>
        <w:jc w:val="center"/>
      </w:pPr>
      <w:r>
        <w:rPr>
          <w:rFonts w:ascii="Times New Roman" w:hAnsi="Times New Roman" w:cs="B Nazanin"/>
          <w:b/>
          <w:sz w:val="28"/>
        </w:rPr>
        <w:t>منابع</w:t>
      </w:r>
    </w:p>
    <w:p>
      <w:pPr>
        <w:bidi w:val="1"/>
        <w:spacing w:lineRule="exact" w:line="580" w:before="180" w:after="60"/>
        <w:jc w:val="right"/>
      </w:pPr>
      <w:r>
        <w:rPr>
          <w:rFonts w:ascii="Times New Roman" w:hAnsi="Times New Roman" w:cs="B Nazanin"/>
          <w:b/>
          <w:sz w:val="28"/>
        </w:rPr>
        <w:t>الف) منابع فارسی</w:t>
      </w:r>
    </w:p>
    <w:p>
      <w:pPr>
        <w:bidi w:val="1"/>
        <w:spacing w:lineRule="exact" w:line="580" w:after="40"/>
        <w:jc w:val="both"/>
      </w:pPr>
      <w:r>
        <w:rPr>
          <w:rFonts w:ascii="Times New Roman" w:hAnsi="Times New Roman" w:cs="B Nazanin"/>
          <w:sz w:val="22"/>
        </w:rPr>
        <w:t>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both"/>
      </w:pPr>
      <w:r>
        <w:rPr>
          <w:rFonts w:ascii="Times New Roman" w:hAnsi="Times New Roman" w:cs="B Nazanin"/>
          <w:sz w:val="22"/>
        </w:rPr>
        <w:t>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val="1"/>
        <w:spacing w:lineRule="exact" w:line="580" w:after="40"/>
        <w:jc w:val="both"/>
      </w:pPr>
      <w:r>
        <w:rPr>
          <w:rFonts w:ascii="Times New Roman" w:hAnsi="Times New Roman" w:cs="B Nazanin"/>
          <w:sz w:val="22"/>
        </w:rPr>
        <w:t>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both"/>
      </w:pPr>
      <w:r>
        <w:rPr>
          <w:rFonts w:ascii="Times New Roman" w:hAnsi="Times New Roman" w:cs="B Nazanin"/>
          <w:sz w:val="22"/>
        </w:rPr>
        <w:t>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both"/>
      </w:pPr>
      <w:r>
        <w:rPr>
          <w:rFonts w:ascii="Times New Roman" w:hAnsi="Times New Roman" w:cs="B Nazanin"/>
          <w:sz w:val="22"/>
        </w:rPr>
        <w:t>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both"/>
      </w:pPr>
      <w:r>
        <w:rPr>
          <w:rFonts w:ascii="Times New Roman" w:hAnsi="Times New Roman" w:cs="B Nazanin"/>
          <w:sz w:val="22"/>
        </w:rPr>
        <w:t>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both"/>
      </w:pPr>
      <w:r>
        <w:rPr>
          <w:rFonts w:ascii="Times New Roman" w:hAnsi="Times New Roman" w:cs="B Nazanin"/>
          <w:sz w:val="22"/>
        </w:rPr>
        <w:t>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both"/>
      </w:pPr>
      <w:r>
        <w:rPr>
          <w:rFonts w:ascii="Times New Roman" w:hAnsi="Times New Roman" w:cs="B Nazanin"/>
          <w:sz w:val="22"/>
        </w:rPr>
        <w:t>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after="40"/>
        <w:jc w:val="both"/>
      </w:pPr>
      <w:r>
        <w:rPr>
          <w:rFonts w:ascii="Times New Roman" w:hAnsi="Times New Roman" w:cs="B Nazanin"/>
          <w:sz w:val="22"/>
        </w:rPr>
        <w:t>یوسفی، ناصر. (۱۳۹۶). ویژگی‌های روان‌سنجی نسخه فارسی پرسشنامه طرحواره یانگ (فرم کوتاه) در نمونه غیربالینی. مجله روانشناسی بالینی، ۹(۲)، ۹۱-۱۰۲.</w:t>
      </w:r>
    </w:p>
    <w:p>
      <w:pPr>
        <w:bidi w:val="1"/>
        <w:spacing w:lineRule="exact" w:line="580" w:before="180" w:after="60"/>
        <w:jc w:val="right"/>
      </w:pPr>
      <w:r>
        <w:rPr>
          <w:rFonts w:ascii="Times New Roman" w:hAnsi="Times New Roman" w:cs="B Nazanin"/>
          <w:b/>
          <w:sz w:val="28"/>
        </w:rPr>
        <w:t>ب) منابع لاتین</w:t>
      </w:r>
    </w:p>
    <w:p>
      <w:pPr>
        <w:bidi w:val="1"/>
        <w:spacing w:lineRule="exact" w:line="580" w:after="40"/>
        <w:jc w:val="left"/>
      </w:pPr>
      <w:r>
        <w:rPr>
          <w:rFonts w:ascii="Times New Roman" w:hAnsi="Times New Roman"/>
          <w:sz w:val="22"/>
        </w:rPr>
        <w:t>American Psychiatric Association. (2013). Diagnostic and statistical manual of mental disorders</w:t>
      </w:r>
    </w:p>
    <w:p>
      <w:pPr>
        <w:bidi w:val="1"/>
        <w:spacing w:lineRule="exact" w:line="580" w:after="40"/>
        <w:jc w:val="left"/>
      </w:pPr>
      <w:r>
        <w:rPr>
          <w:rFonts w:ascii="Times New Roman" w:hAnsi="Times New Roman"/>
          <w:sz w:val="22"/>
        </w:rPr>
        <w:t>An, H., Li, M., &amp; Wu, W. (2021). The impact of financial anxiety on individual investor's risky asset holdings: Evidence from China. Emerging Markets Finance and Trade, 57(11), 3217-3232.</w:t>
      </w:r>
    </w:p>
    <w:p>
      <w:pPr>
        <w:bidi w:val="1"/>
        <w:spacing w:lineRule="exact" w:line="580" w:after="40"/>
        <w:jc w:val="left"/>
      </w:pPr>
      <w:r>
        <w:rPr>
          <w:rFonts w:ascii="Times New Roman" w:hAnsi="Times New Roman"/>
          <w:sz w:val="22"/>
        </w:rPr>
        <w:t>Arena, M., Sbai, E., &amp; Soriya, S. (2022). Personality traits and behaviour biases: The moderating role of risk-tolerance. Frontiers in Psychology, 13, 949638.</w:t>
      </w:r>
    </w:p>
    <w:p>
      <w:pPr>
        <w:bidi w:val="1"/>
        <w:spacing w:lineRule="exact" w:line="580" w:after="40"/>
        <w:jc w:val="left"/>
      </w:pPr>
      <w:r>
        <w:rPr>
          <w:rFonts w:ascii="Times New Roman" w:hAnsi="Times New Roman"/>
          <w:sz w:val="22"/>
        </w:rPr>
        <w:t>Arntz, A., &amp; Jacob, G. (2012). Schema therapy in practice: An introductory guide to the schema mode approach. John Wiley &amp; Sons.</w:t>
      </w:r>
    </w:p>
    <w:p>
      <w:pPr>
        <w:bidi w:val="1"/>
        <w:spacing w:lineRule="exact" w:line="580" w:after="40"/>
        <w:jc w:val="left"/>
      </w:pPr>
      <w:r>
        <w:rPr>
          <w:rFonts w:ascii="Times New Roman" w:hAnsi="Times New Roman"/>
          <w:sz w:val="22"/>
        </w:rPr>
        <w:t>Auer, B. R., &amp; Schuhmacher, F. (2023). FOMO and the dark side of social trading. Finance Research Letters, 54, 103759.</w:t>
      </w:r>
    </w:p>
    <w:p>
      <w:pPr>
        <w:bidi w:val="1"/>
        <w:spacing w:lineRule="exact" w:line="580" w:after="40"/>
        <w:jc w:val="left"/>
      </w:pPr>
      <w:r>
        <w:rPr>
          <w:rFonts w:ascii="Times New Roman" w:hAnsi="Times New Roman"/>
          <w:sz w:val="22"/>
        </w:rPr>
        <w:t>Baddeley, A. D., Eysenck, M. W., &amp; Anderson, M. C. (2021). Memory (3rd ed.). Routledge.</w:t>
      </w:r>
    </w:p>
    <w:p>
      <w:pPr>
        <w:bidi w:val="1"/>
        <w:spacing w:lineRule="exact" w:line="580" w:after="40"/>
        <w:jc w:val="left"/>
      </w:pPr>
      <w:r>
        <w:rPr>
          <w:rFonts w:ascii="Times New Roman" w:hAnsi="Times New Roman"/>
          <w:sz w:val="22"/>
        </w:rPr>
        <w:t>Baker, H. K., &amp; Nofsinger, J. R. (Eds.). (2010). Behavioral finance: Investors, corporations, and markets. John Wiley &amp; Sons.</w:t>
      </w:r>
    </w:p>
    <w:p>
      <w:pPr>
        <w:bidi w:val="1"/>
        <w:spacing w:lineRule="exact" w:line="580" w:after="40"/>
        <w:jc w:val="left"/>
      </w:pPr>
      <w:r>
        <w:rPr>
          <w:rFonts w:ascii="Times New Roman" w:hAnsi="Times New Roman"/>
          <w:sz w:val="22"/>
        </w:rPr>
        <w:t>Barber, B. M., &amp; Odean, T. (2000). Trading is hazardous to your wealth: The common stock investment performance of individual investors. The Journal of Finance, 55(2), 773-806.</w:t>
      </w:r>
    </w:p>
    <w:p>
      <w:pPr>
        <w:bidi w:val="1"/>
        <w:spacing w:lineRule="exact" w:line="580" w:after="40"/>
        <w:jc w:val="left"/>
      </w:pPr>
      <w:r>
        <w:rPr>
          <w:rFonts w:ascii="Times New Roman" w:hAnsi="Times New Roman"/>
          <w:sz w:val="22"/>
        </w:rPr>
        <w:t>Barlow, D. H. (2002). Anxiety and its disorders: The nature and treatment of anxiety and panic. Guilford Press.</w:t>
      </w:r>
    </w:p>
    <w:p>
      <w:pPr>
        <w:bidi w:val="1"/>
        <w:spacing w:lineRule="exact" w:line="580" w:after="40"/>
        <w:jc w:val="left"/>
      </w:pPr>
      <w:r>
        <w:rPr>
          <w:rFonts w:ascii="Times New Roman" w:hAnsi="Times New Roman"/>
          <w:sz w:val="22"/>
        </w:rPr>
        <w:t>Beck, A. T. (1976). Cognitive therapy and the emotional disorders. International Universities Press.</w:t>
      </w:r>
    </w:p>
    <w:p>
      <w:pPr>
        <w:bidi w:val="1"/>
        <w:spacing w:lineRule="exact" w:line="580" w:after="40"/>
        <w:jc w:val="left"/>
      </w:pPr>
      <w:r>
        <w:rPr>
          <w:rFonts w:ascii="Times New Roman" w:hAnsi="Times New Roman"/>
          <w:sz w:val="22"/>
        </w:rPr>
        <w:t>Beck, A. T., &amp; Clark, D. A. (1997). An information processing model of anxiety: Automatic and strategic processes. Behaviour Research and Therapy, 35(1), 49–58. https://doi.org/10.1016/s0005-7967(96)00069-1</w:t>
      </w:r>
    </w:p>
    <w:p>
      <w:pPr>
        <w:bidi w:val="1"/>
        <w:spacing w:lineRule="exact" w:line="580" w:after="40"/>
        <w:jc w:val="left"/>
      </w:pPr>
      <w:r>
        <w:rPr>
          <w:rFonts w:ascii="Times New Roman" w:hAnsi="Times New Roman"/>
          <w:sz w:val="22"/>
        </w:rPr>
        <w:t>Bishop, S. J. (2007). Neurocognitive mechanisms of anxiety: an integrative account. Trends in Cognitive Sciences, 11(7), 307-316.</w:t>
      </w:r>
    </w:p>
    <w:p>
      <w:pPr>
        <w:bidi w:val="1"/>
        <w:spacing w:lineRule="exact" w:line="580" w:after="40"/>
        <w:jc w:val="left"/>
      </w:pPr>
      <w:r>
        <w:rPr>
          <w:rFonts w:ascii="Times New Roman" w:hAnsi="Times New Roman"/>
          <w:sz w:val="22"/>
        </w:rPr>
        <w:t>Bodie, Z., Kane, A., &amp; Marcus, A. J. (2018). Investments (11th ed.). McGraw-Hill Education.</w:t>
      </w:r>
    </w:p>
    <w:p>
      <w:pPr>
        <w:bidi w:val="1"/>
        <w:spacing w:lineRule="exact" w:line="580" w:after="40"/>
        <w:jc w:val="left"/>
      </w:pPr>
      <w:r>
        <w:rPr>
          <w:rFonts w:ascii="Times New Roman" w:hAnsi="Times New Roman"/>
          <w:sz w:val="22"/>
        </w:rPr>
        <w:t>Borkovec, T. D. (1994). The nature, functions, and origins of worry. In G. C. L. Davey &amp; F. Tallis (Eds.), Worrying: Perspectives on theory, assessment and treatment (pp. 5–33). Wiley.</w:t>
      </w:r>
    </w:p>
    <w:p>
      <w:pPr>
        <w:bidi w:val="1"/>
        <w:spacing w:lineRule="exact" w:line="580" w:after="40"/>
        <w:jc w:val="left"/>
      </w:pPr>
      <w:r>
        <w:rPr>
          <w:rFonts w:ascii="Times New Roman" w:hAnsi="Times New Roman"/>
          <w:sz w:val="22"/>
        </w:rPr>
        <w:t>Charles, V., &amp; Kasilingam, R. (2022). The role of anxiety in financial decisions. Review of Behavioral Finance, 14(5), 720-735.</w:t>
      </w:r>
    </w:p>
    <w:p>
      <w:pPr>
        <w:bidi w:val="1"/>
        <w:spacing w:lineRule="exact" w:line="580" w:after="40"/>
        <w:jc w:val="left"/>
      </w:pPr>
      <w:r>
        <w:rPr>
          <w:rFonts w:ascii="Times New Roman" w:hAnsi="Times New Roman"/>
          <w:sz w:val="22"/>
        </w:rPr>
        <w:t>Daniel, K., Hirshleifer, D., &amp; Subrahmanyam, A. (1998). Investor psychology and security market under- and overreactions. The Journal of Finance, 53(6), 1839–1885. https://doi.org/10.1111/0022-1082.00077</w:t>
      </w:r>
    </w:p>
    <w:p>
      <w:pPr>
        <w:bidi w:val="1"/>
        <w:spacing w:lineRule="exact" w:line="580" w:after="40"/>
        <w:jc w:val="left"/>
      </w:pPr>
      <w:r>
        <w:rPr>
          <w:rFonts w:ascii="Times New Roman" w:hAnsi="Times New Roman"/>
          <w:sz w:val="22"/>
        </w:rPr>
        <w:t>De Martino, B., et al. (2006) Frames, biases, and rational decision-making in the human brain. Science, 313 (5787), 684–687.</w:t>
      </w:r>
    </w:p>
    <w:p>
      <w:pPr>
        <w:bidi w:val="1"/>
        <w:spacing w:lineRule="exact" w:line="580" w:after="40"/>
        <w:jc w:val="left"/>
      </w:pPr>
      <w:r>
        <w:rPr>
          <w:rFonts w:ascii="Times New Roman" w:hAnsi="Times New Roman"/>
          <w:sz w:val="22"/>
        </w:rPr>
        <w:t>Dhingra, J., &amp; Aggarwal, N. (2025). Exploring Trait Anxiety as a Psychological Construct: Impacts of Gender, Educational Attainment and Financial Training. Indian Journal of Positive Psychology, 16(1), 45-58.</w:t>
      </w:r>
    </w:p>
    <w:p>
      <w:pPr>
        <w:bidi w:val="1"/>
        <w:spacing w:lineRule="exact" w:line="580" w:after="40"/>
        <w:jc w:val="left"/>
      </w:pPr>
      <w:r>
        <w:rPr>
          <w:rFonts w:ascii="Times New Roman" w:hAnsi="Times New Roman"/>
          <w:sz w:val="22"/>
        </w:rPr>
        <w:t>Estévez, A., et al. (2024). Association between gambling motives, violence and early maladaptive schemas in women with gambling disorder. Journal of Gambling Studies. https://doi.org/10.1007/s10899-024-10285-8</w:t>
      </w:r>
    </w:p>
    <w:p>
      <w:pPr>
        <w:bidi w:val="1"/>
        <w:spacing w:lineRule="exact" w:line="580" w:after="40"/>
        <w:jc w:val="left"/>
      </w:pPr>
      <w:r>
        <w:rPr>
          <w:rFonts w:ascii="Times New Roman" w:hAnsi="Times New Roman"/>
          <w:sz w:val="22"/>
        </w:rPr>
        <w:t>Eysenck, M. W., Derakshan, N., Santos, R., &amp; Calvo, M. G. (2007). Anxiety and cognitive performance: attentional control theory. Emotion, 7(2), 336–353.</w:t>
      </w:r>
    </w:p>
    <w:p>
      <w:pPr>
        <w:bidi w:val="1"/>
        <w:spacing w:lineRule="exact" w:line="580" w:after="40"/>
        <w:jc w:val="left"/>
      </w:pPr>
      <w:r>
        <w:rPr>
          <w:rFonts w:ascii="Times New Roman" w:hAnsi="Times New Roman"/>
          <w:sz w:val="22"/>
        </w:rPr>
        <w:t>Fenton-O'Creevy, M., et al. (2012). Emotion regulation and trader expertise: Heart rate variability on the trading floor. Journal of Neuroscience, Psychology, and Economics, 5(4), 227-237.</w:t>
      </w:r>
    </w:p>
    <w:p>
      <w:pPr>
        <w:bidi w:val="1"/>
        <w:spacing w:lineRule="exact" w:line="580" w:after="40"/>
        <w:jc w:val="left"/>
      </w:pPr>
      <w:r>
        <w:rPr>
          <w:rFonts w:ascii="Times New Roman" w:hAnsi="Times New Roman"/>
          <w:sz w:val="22"/>
        </w:rPr>
        <w:t>Fenton-O'Creevy, M., Soane, E., Nicholson, N., &amp; Willman, P. (2011). Thinking, feeling and deciding: The influence of emotions on the decision making and performance of traders. Journal of Organizational Behavior, 32(8), 1044-1061. https://doi.org/10.1002/job.720</w:t>
      </w:r>
    </w:p>
    <w:p>
      <w:pPr>
        <w:bidi w:val="1"/>
        <w:spacing w:lineRule="exact" w:line="580" w:after="40"/>
        <w:jc w:val="left"/>
      </w:pPr>
      <w:r>
        <w:rPr>
          <w:rFonts w:ascii="Times New Roman" w:hAnsi="Times New Roman"/>
          <w:sz w:val="22"/>
        </w:rPr>
        <w:t>Fenton-O’Creevy, M., et al. (2012) Emotion regulation and trader expertise: Heart rate variability on the trading floor. Journal of Neuroscience, Psychology, and Economics, 5 (4), 227–237</w:t>
      </w:r>
    </w:p>
    <w:p>
      <w:pPr>
        <w:bidi w:val="1"/>
        <w:spacing w:lineRule="exact" w:line="580" w:after="40"/>
        <w:jc w:val="left"/>
      </w:pPr>
      <w:r>
        <w:rPr>
          <w:rFonts w:ascii="Times New Roman" w:hAnsi="Times New Roman"/>
          <w:sz w:val="22"/>
        </w:rPr>
        <w:t>Gambetti, E., &amp; Giusberti, F. (2012). The effect of anger and anxiety on investment decisions. Journal of Economic Psychology, 33 (5), 1059–1069</w:t>
      </w:r>
    </w:p>
    <w:p>
      <w:pPr>
        <w:bidi w:val="1"/>
        <w:spacing w:lineRule="exact" w:line="580" w:after="40"/>
        <w:jc w:val="left"/>
      </w:pPr>
      <w:r>
        <w:rPr>
          <w:rFonts w:ascii="Times New Roman" w:hAnsi="Times New Roman"/>
          <w:sz w:val="22"/>
        </w:rPr>
        <w:t>Goetzmann, W. N., &amp; Kumar, A. (2008). Equity portfolio diversification. Review of Finance, 12(3), 433-463.</w:t>
      </w:r>
    </w:p>
    <w:p>
      <w:pPr>
        <w:bidi w:val="1"/>
        <w:spacing w:lineRule="exact" w:line="580" w:after="40"/>
        <w:jc w:val="left"/>
      </w:pPr>
      <w:r>
        <w:rPr>
          <w:rFonts w:ascii="Times New Roman" w:hAnsi="Times New Roman"/>
          <w:sz w:val="22"/>
        </w:rPr>
        <w:t>Grable, J. E. (2017). Financial risk tolerance: A psychometric review. Financial Services Review, 26(2), 1-18.</w:t>
      </w:r>
    </w:p>
    <w:p>
      <w:pPr>
        <w:bidi w:val="1"/>
        <w:spacing w:lineRule="exact" w:line="580" w:after="40"/>
        <w:jc w:val="left"/>
      </w:pPr>
      <w:r>
        <w:rPr>
          <w:rFonts w:ascii="Times New Roman" w:hAnsi="Times New Roman"/>
          <w:sz w:val="22"/>
        </w:rPr>
        <w:t>Grable, J. E., &amp; Lytton, R. H. (1999). Financial risk tolerance revisited: The development of a risk assessment instrument. Financial Services Review, 8(3), 163-181.</w:t>
      </w:r>
    </w:p>
    <w:p>
      <w:pPr>
        <w:bidi w:val="1"/>
        <w:spacing w:lineRule="exact" w:line="580" w:after="40"/>
        <w:jc w:val="left"/>
      </w:pPr>
      <w:r>
        <w:rPr>
          <w:rFonts w:ascii="Times New Roman" w:hAnsi="Times New Roman"/>
          <w:sz w:val="22"/>
        </w:rPr>
        <w:t>Grall-Bronnec, M., et al. (2025). Development and validation of the Trading Disorder Scale for assessing problematic trading behaviors. Journal of Behavioral Addictions, 14(1), 112-128.</w:t>
      </w:r>
    </w:p>
    <w:p>
      <w:pPr>
        <w:bidi w:val="1"/>
        <w:spacing w:lineRule="exact" w:line="580" w:after="40"/>
        <w:jc w:val="left"/>
      </w:pPr>
      <w:r>
        <w:rPr>
          <w:rFonts w:ascii="Times New Roman" w:hAnsi="Times New Roman"/>
          <w:sz w:val="22"/>
        </w:rPr>
        <w:t>Grupe, D. W., &amp; Nitschke, J. B. (2013). Uncertainty and anticipation in anxiety: an integrated neurobiological and psychological perspective. Nature Reviews Neuroscience, 14(7), 488-501.</w:t>
      </w:r>
    </w:p>
    <w:p>
      <w:pPr>
        <w:bidi w:val="1"/>
        <w:spacing w:lineRule="exact" w:line="580" w:after="40"/>
        <w:jc w:val="left"/>
      </w:pPr>
      <w:r>
        <w:rPr>
          <w:rFonts w:ascii="Times New Roman" w:hAnsi="Times New Roman"/>
          <w:sz w:val="22"/>
        </w:rPr>
        <w:t>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1"/>
        <w:spacing w:lineRule="exact" w:line="580" w:after="40"/>
        <w:jc w:val="left"/>
      </w:pPr>
      <w:r>
        <w:rPr>
          <w:rFonts w:ascii="Times New Roman" w:hAnsi="Times New Roman"/>
          <w:sz w:val="22"/>
        </w:rPr>
        <w:t>Hartley, C. A., &amp; Phelps, E. A. (2012). Anxiety and decision-making. Biological Psychiatry, 72 (2), 113–118</w:t>
      </w:r>
    </w:p>
    <w:p>
      <w:pPr>
        <w:bidi w:val="1"/>
        <w:spacing w:lineRule="exact" w:line="580" w:after="40"/>
        <w:jc w:val="left"/>
      </w:pPr>
      <w:r>
        <w:rPr>
          <w:rFonts w:ascii="Times New Roman" w:hAnsi="Times New Roman"/>
          <w:sz w:val="22"/>
        </w:rPr>
        <w:t>Hayes, A. F. (2018). Introduction to mediation, moderation, and conditional process analysis: A regression-based approach (2nd ed.). Guilford Press.</w:t>
      </w:r>
    </w:p>
    <w:p>
      <w:pPr>
        <w:bidi w:val="1"/>
        <w:spacing w:lineRule="exact" w:line="580" w:after="40"/>
        <w:jc w:val="left"/>
      </w:pPr>
      <w:r>
        <w:rPr>
          <w:rFonts w:ascii="Times New Roman" w:hAnsi="Times New Roman"/>
          <w:sz w:val="22"/>
        </w:rPr>
        <w:t>Hwang, S., &amp; Salmon, M. (2004). Market stress and herding. Journal of Empirical Finance, 11(4), 585-616.</w:t>
      </w:r>
    </w:p>
    <w:p>
      <w:pPr>
        <w:bidi w:val="1"/>
        <w:spacing w:lineRule="exact" w:line="580" w:after="40"/>
        <w:jc w:val="left"/>
      </w:pPr>
      <w:r>
        <w:rPr>
          <w:rFonts w:ascii="Times New Roman" w:hAnsi="Times New Roman"/>
          <w:sz w:val="22"/>
        </w:rPr>
        <w:t>Kahneman, D. (2011). Thinking, fast and slow. Farrar, Straus and Giroux.</w:t>
      </w:r>
    </w:p>
    <w:p>
      <w:pPr>
        <w:bidi w:val="1"/>
        <w:spacing w:lineRule="exact" w:line="580" w:after="40"/>
        <w:jc w:val="left"/>
      </w:pPr>
      <w:r>
        <w:rPr>
          <w:rFonts w:ascii="Times New Roman" w:hAnsi="Times New Roman"/>
          <w:sz w:val="22"/>
        </w:rPr>
        <w:t>Kahneman, D., &amp; Tversky, A. (1979). Prospect theory: An analysis of decision under risk. Econometrica, 47(2), 263-291.</w:t>
      </w:r>
    </w:p>
    <w:p>
      <w:pPr>
        <w:bidi w:val="1"/>
        <w:spacing w:lineRule="exact" w:line="580" w:after="40"/>
        <w:jc w:val="left"/>
      </w:pPr>
      <w:r>
        <w:rPr>
          <w:rFonts w:ascii="Times New Roman" w:hAnsi="Times New Roman"/>
          <w:sz w:val="22"/>
        </w:rPr>
        <w:t>Kaplan, H. I., &amp; Sadock, B. J. (2015) Synopsis of Psychiatry: Behavioral Sciences/Clinical Psychiatry. Wolters Kluwer.</w:t>
      </w:r>
    </w:p>
    <w:p>
      <w:pPr>
        <w:bidi w:val="1"/>
        <w:spacing w:lineRule="exact" w:line="580" w:after="40"/>
        <w:jc w:val="left"/>
      </w:pPr>
      <w:r>
        <w:rPr>
          <w:rFonts w:ascii="Times New Roman" w:hAnsi="Times New Roman"/>
          <w:sz w:val="22"/>
        </w:rPr>
        <w:t>Kline, R. B. (2016). Principles and practice of structural equation modeling (4th ed.). Guilford Press.</w:t>
      </w:r>
    </w:p>
    <w:p>
      <w:pPr>
        <w:bidi w:val="1"/>
        <w:spacing w:lineRule="exact" w:line="580" w:after="40"/>
        <w:jc w:val="left"/>
      </w:pPr>
      <w:r>
        <w:rPr>
          <w:rFonts w:ascii="Times New Roman" w:hAnsi="Times New Roman"/>
          <w:sz w:val="22"/>
        </w:rPr>
        <w:t>Kuhnen, C. M., &amp; Chiao, J. Y. (2009). Genetic determinants of financial risk taking. PLOS ONE, 4 (2), e4362</w:t>
      </w:r>
    </w:p>
    <w:p>
      <w:pPr>
        <w:bidi w:val="1"/>
        <w:spacing w:lineRule="exact" w:line="580" w:after="40"/>
        <w:jc w:val="left"/>
      </w:pPr>
      <w:r>
        <w:rPr>
          <w:rFonts w:ascii="Times New Roman" w:hAnsi="Times New Roman"/>
          <w:sz w:val="22"/>
        </w:rPr>
        <w:t>Lauriola, M., &amp; Levin, I. P. (2001). Personality traits and risky decision-making in a controlled experimental task: An exploratory study. Personality and Individual Differences, 31(2), 215-226.</w:t>
      </w:r>
    </w:p>
    <w:p>
      <w:pPr>
        <w:bidi w:val="1"/>
        <w:spacing w:lineRule="exact" w:line="580" w:after="40"/>
        <w:jc w:val="left"/>
      </w:pPr>
      <w:r>
        <w:rPr>
          <w:rFonts w:ascii="Times New Roman" w:hAnsi="Times New Roman"/>
          <w:sz w:val="22"/>
        </w:rPr>
        <w:t>Lindberg, N., et al. (2011). Early maladaptive schemas in pathological gambling. Journal of Gambling Studies, 27(2), 277-287.</w:t>
      </w:r>
    </w:p>
    <w:p>
      <w:pPr>
        <w:bidi w:val="1"/>
        <w:spacing w:lineRule="exact" w:line="580" w:after="40"/>
        <w:jc w:val="left"/>
      </w:pPr>
      <w:r>
        <w:rPr>
          <w:rFonts w:ascii="Times New Roman" w:hAnsi="Times New Roman"/>
          <w:sz w:val="22"/>
        </w:rPr>
        <w:t>Lo, A. W., &amp; Repin, D. V. (2002). The psychophysiology of real-time financial risk processing. Journal of Cognitive Neuroscience, 14(3), 323-339.</w:t>
      </w:r>
    </w:p>
    <w:p>
      <w:pPr>
        <w:bidi w:val="1"/>
        <w:spacing w:lineRule="exact" w:line="580" w:after="40"/>
        <w:jc w:val="left"/>
      </w:pPr>
      <w:r>
        <w:rPr>
          <w:rFonts w:ascii="Times New Roman" w:hAnsi="Times New Roman"/>
          <w:sz w:val="22"/>
        </w:rPr>
        <w:t>Lo, A. W., Repin, D. V., &amp; Steenbarger, B. N. (2005). Fear and Greed in Financial Markets: A Clinical Study of Day-Traders. American Economic Review, 95 (2), 352–359.</w:t>
      </w:r>
    </w:p>
    <w:p>
      <w:pPr>
        <w:bidi w:val="1"/>
        <w:spacing w:lineRule="exact" w:line="580" w:after="40"/>
        <w:jc w:val="left"/>
      </w:pPr>
      <w:r>
        <w:rPr>
          <w:rFonts w:ascii="Times New Roman" w:hAnsi="Times New Roman"/>
          <w:sz w:val="22"/>
        </w:rPr>
        <w:t>Mahato, S., et al. (2025). Millennials and zoomers as investors: Behavioral factors shaping financial choices. All Finance Journal, 3(2), 15-29.</w:t>
      </w:r>
    </w:p>
    <w:p>
      <w:pPr>
        <w:bidi w:val="1"/>
        <w:spacing w:lineRule="exact" w:line="580" w:after="40"/>
        <w:jc w:val="left"/>
      </w:pPr>
      <w:r>
        <w:rPr>
          <w:rFonts w:ascii="Times New Roman" w:hAnsi="Times New Roman"/>
          <w:sz w:val="22"/>
        </w:rPr>
        <w:t>Malkiel, B. G. (2003). The efficient market hypothesis and its critics. Journal of Economic Perspectives, 17(1), 59-82.</w:t>
      </w:r>
    </w:p>
    <w:p>
      <w:pPr>
        <w:bidi w:val="1"/>
        <w:spacing w:lineRule="exact" w:line="580" w:after="40"/>
        <w:jc w:val="left"/>
      </w:pPr>
      <w:r>
        <w:rPr>
          <w:rFonts w:ascii="Times New Roman" w:hAnsi="Times New Roman"/>
          <w:sz w:val="22"/>
        </w:rPr>
        <w:t>Maner, J. K., &amp; Schmidt, N. B. (2006). The role of risk avoidance in anxiety. Behavior Therapy, 37 (3), 290–305.</w:t>
      </w:r>
    </w:p>
    <w:p>
      <w:pPr>
        <w:bidi w:val="1"/>
        <w:spacing w:lineRule="exact" w:line="580" w:after="40"/>
        <w:jc w:val="left"/>
      </w:pPr>
      <w:r>
        <w:rPr>
          <w:rFonts w:ascii="Times New Roman" w:hAnsi="Times New Roman"/>
          <w:sz w:val="22"/>
        </w:rPr>
        <w:t>Mishkin, F. S. (2019). The economics of money, banking and financial markets (12th ed.). Pearson.</w:t>
      </w:r>
    </w:p>
    <w:p>
      <w:pPr>
        <w:bidi w:val="1"/>
        <w:spacing w:lineRule="exact" w:line="580" w:after="40"/>
        <w:jc w:val="left"/>
      </w:pPr>
      <w:r>
        <w:rPr>
          <w:rFonts w:ascii="Times New Roman" w:hAnsi="Times New Roman"/>
          <w:sz w:val="22"/>
        </w:rPr>
        <w:t>Mitte, K. (2007). Anxiety and risky decision-making: The role of cognitive processing. Psychological Review, 114 (4), 893-912.</w:t>
      </w:r>
    </w:p>
    <w:p>
      <w:pPr>
        <w:bidi w:val="1"/>
        <w:spacing w:lineRule="exact" w:line="580" w:after="40"/>
        <w:jc w:val="left"/>
      </w:pPr>
      <w:r>
        <w:rPr>
          <w:rFonts w:ascii="Times New Roman" w:hAnsi="Times New Roman"/>
          <w:sz w:val="22"/>
        </w:rPr>
        <w:t>Nguyen, M. T. T., Nguyen, L. H., &amp; Ho, T. H. (2019). Personality traits and stock investment of individuals. Sustainability, 11(19), 5474.</w:t>
      </w:r>
    </w:p>
    <w:p>
      <w:pPr>
        <w:bidi w:val="1"/>
        <w:spacing w:lineRule="exact" w:line="580" w:after="40"/>
        <w:jc w:val="left"/>
      </w:pPr>
      <w:r>
        <w:rPr>
          <w:rFonts w:ascii="Times New Roman" w:hAnsi="Times New Roman"/>
          <w:sz w:val="22"/>
        </w:rPr>
        <w:t>OECD. (2021). Retail investors in capital markets: Key findings and main messages. OECD Publishing.</w:t>
      </w:r>
    </w:p>
    <w:p>
      <w:pPr>
        <w:bidi w:val="1"/>
        <w:spacing w:lineRule="exact" w:line="580" w:after="40"/>
        <w:jc w:val="left"/>
      </w:pPr>
      <w:r>
        <w:rPr>
          <w:rFonts w:ascii="Times New Roman" w:hAnsi="Times New Roman"/>
          <w:sz w:val="22"/>
        </w:rPr>
        <w:t>Ololo, K., et al. (2024). Rational Emotive and Cognitive Behavior Coaching Intervention for Promoting College Students’ Financial Risk Tolerance. Journal of Rational-Emotive &amp; Cognitive-Behavior Therapy, 42, 398-418.</w:t>
      </w:r>
    </w:p>
    <w:p>
      <w:pPr>
        <w:bidi w:val="1"/>
        <w:spacing w:lineRule="exact" w:line="580" w:after="40"/>
        <w:jc w:val="left"/>
      </w:pPr>
      <w:r>
        <w:rPr>
          <w:rFonts w:ascii="Times New Roman" w:hAnsi="Times New Roman"/>
          <w:sz w:val="22"/>
        </w:rPr>
        <w:t>Pak, O., &amp; Mahmood, M. (2019). Personality traits and investor profile analysis: A behavioral finance study. PLoS ONE, 14(3), e0213626.</w:t>
      </w:r>
    </w:p>
    <w:p>
      <w:pPr>
        <w:bidi w:val="1"/>
        <w:spacing w:lineRule="exact" w:line="580" w:after="40"/>
        <w:jc w:val="left"/>
      </w:pPr>
      <w:r>
        <w:rPr>
          <w:rFonts w:ascii="Times New Roman" w:hAnsi="Times New Roman"/>
          <w:sz w:val="22"/>
        </w:rPr>
        <w:t>Rehm, I. C., et al. (2015). Neuroticism and its facets in relation to early maladaptive schemas. Journal of Affective Disorders, 172, 424-431.</w:t>
      </w:r>
    </w:p>
    <w:p>
      <w:pPr>
        <w:bidi w:val="1"/>
        <w:spacing w:lineRule="exact" w:line="580" w:after="40"/>
        <w:jc w:val="left"/>
      </w:pPr>
      <w:r>
        <w:rPr>
          <w:rFonts w:ascii="Times New Roman" w:hAnsi="Times New Roman"/>
          <w:sz w:val="22"/>
        </w:rPr>
        <w:t>Safitri, H., Giriati, G., &amp; Wendy, W. (2025). Socio-Psychological Effect in Investment Decision-Making Mediated by Risk Tolerance. Journal of Information Systems Engineering and Management, 10(1), 22015.</w:t>
      </w:r>
    </w:p>
    <w:p>
      <w:pPr>
        <w:bidi w:val="1"/>
        <w:spacing w:lineRule="exact" w:line="580" w:after="40"/>
        <w:jc w:val="left"/>
      </w:pPr>
      <w:r>
        <w:rPr>
          <w:rFonts w:ascii="Times New Roman" w:hAnsi="Times New Roman"/>
          <w:sz w:val="22"/>
        </w:rPr>
        <w:t>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val="1"/>
        <w:spacing w:lineRule="exact" w:line="580" w:after="40"/>
        <w:jc w:val="left"/>
      </w:pPr>
      <w:r>
        <w:rPr>
          <w:rFonts w:ascii="Times New Roman" w:hAnsi="Times New Roman"/>
          <w:sz w:val="22"/>
        </w:rPr>
        <w:t>Schmidt, N. B., Joiner, T. E., Young, J. E., &amp; Telch, M. J. (1995). The schema questionnaire: Investigation of psychometric properties and the hierarchical structure of a measure of maladaptive schemas. Cognitive Therapy and Research, 19(3), 295–321. https://doi.org/10.1007/bf02230402</w:t>
      </w:r>
    </w:p>
    <w:p>
      <w:pPr>
        <w:bidi w:val="1"/>
        <w:spacing w:lineRule="exact" w:line="580" w:after="40"/>
        <w:jc w:val="left"/>
      </w:pPr>
      <w:r>
        <w:rPr>
          <w:rFonts w:ascii="Times New Roman" w:hAnsi="Times New Roman"/>
          <w:sz w:val="22"/>
        </w:rPr>
        <w:t>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1"/>
        <w:spacing w:lineRule="exact" w:line="580" w:after="40"/>
        <w:jc w:val="left"/>
      </w:pPr>
      <w:r>
        <w:rPr>
          <w:rFonts w:ascii="Times New Roman" w:hAnsi="Times New Roman"/>
          <w:sz w:val="22"/>
        </w:rPr>
        <w:t>Shefrin, H., &amp; Statman, M. (1985). The disposition to sell winners too early and ride losers too long: Theory and evidence. The Journal of Finance, 40(3), 777-790.</w:t>
      </w:r>
    </w:p>
    <w:p>
      <w:pPr>
        <w:bidi w:val="1"/>
        <w:spacing w:lineRule="exact" w:line="580" w:after="40"/>
        <w:jc w:val="left"/>
      </w:pPr>
      <w:r>
        <w:rPr>
          <w:rFonts w:ascii="Times New Roman" w:hAnsi="Times New Roman"/>
          <w:sz w:val="22"/>
        </w:rPr>
        <w:t>Shiller, R. J. (2015). Irrational exuberance (3rd ed.). Princeton University Press.</w:t>
      </w:r>
    </w:p>
    <w:p>
      <w:pPr>
        <w:bidi w:val="1"/>
        <w:spacing w:lineRule="exact" w:line="580" w:after="40"/>
        <w:jc w:val="left"/>
      </w:pPr>
      <w:r>
        <w:rPr>
          <w:rFonts w:ascii="Times New Roman" w:hAnsi="Times New Roman"/>
          <w:sz w:val="22"/>
        </w:rPr>
        <w:t>Shorey, R. C., et al. (2012). Gambling and early maladaptive schemas in a treatment seeking sample of male alcohol users: A preliminary investigation. Addictive Disorders &amp; Their Treatment, 11(4), 173-182. https://doi.org/10.1097/adt.0b013e31823eda8f</w:t>
      </w:r>
    </w:p>
    <w:p>
      <w:pPr>
        <w:bidi w:val="1"/>
        <w:spacing w:lineRule="exact" w:line="580" w:after="40"/>
        <w:jc w:val="left"/>
      </w:pPr>
      <w:r>
        <w:rPr>
          <w:rFonts w:ascii="Times New Roman" w:hAnsi="Times New Roman"/>
          <w:sz w:val="22"/>
        </w:rPr>
        <w:t>Spielberger, C. D. (1983). Manual for the State-Trait Anxiety Inventory. Consulting Psychologists Press.</w:t>
      </w:r>
    </w:p>
    <w:p>
      <w:pPr>
        <w:bidi w:val="1"/>
        <w:spacing w:lineRule="exact" w:line="580" w:after="40"/>
        <w:jc w:val="left"/>
      </w:pPr>
      <w:r>
        <w:rPr>
          <w:rFonts w:ascii="Times New Roman" w:hAnsi="Times New Roman"/>
          <w:sz w:val="22"/>
        </w:rPr>
        <w:t>Spielberger, C. D., Gorsuch, R. L., &amp; Lushene, R. E. (1970). Manual for the State-Trait Anxiety Inventory. Consulting Psychologists Press.</w:t>
      </w:r>
    </w:p>
    <w:p>
      <w:pPr>
        <w:bidi w:val="1"/>
        <w:spacing w:lineRule="exact" w:line="580" w:after="40"/>
        <w:jc w:val="left"/>
      </w:pPr>
      <w:r>
        <w:rPr>
          <w:rFonts w:ascii="Times New Roman" w:hAnsi="Times New Roman"/>
          <w:sz w:val="22"/>
        </w:rPr>
        <w:t>Thaler, R. H. (2016). Behavioral finance: Past, present, and future. American Economic Review, 106(7), 1577-1600.</w:t>
      </w:r>
    </w:p>
    <w:p>
      <w:pPr>
        <w:bidi w:val="1"/>
        <w:spacing w:lineRule="exact" w:line="580" w:after="40"/>
        <w:jc w:val="left"/>
      </w:pPr>
      <w:r>
        <w:rPr>
          <w:rFonts w:ascii="Times New Roman" w:hAnsi="Times New Roman"/>
          <w:sz w:val="22"/>
        </w:rPr>
        <w:t>Vieira, C., Kuss, D. J., &amp; Griffiths, M. D. (2023). Early maladaptive schemas and behavioural addictions: A systematic literature review. Clinical Psychology Review, 105, 102340. https://doi.org/10.1016/j.cpr.2023.102340</w:t>
      </w:r>
    </w:p>
    <w:p>
      <w:pPr>
        <w:bidi w:val="1"/>
        <w:spacing w:lineRule="exact" w:line="580" w:after="40"/>
        <w:jc w:val="left"/>
      </w:pPr>
      <w:r>
        <w:rPr>
          <w:rFonts w:ascii="Times New Roman" w:hAnsi="Times New Roman"/>
          <w:sz w:val="22"/>
        </w:rPr>
        <w:t>Yalom, I. D. (1980). Existential Psychotherapy. Basic Books</w:t>
      </w:r>
    </w:p>
    <w:p>
      <w:pPr>
        <w:bidi w:val="1"/>
        <w:spacing w:lineRule="exact" w:line="580" w:after="40"/>
        <w:jc w:val="left"/>
      </w:pPr>
      <w:r>
        <w:rPr>
          <w:rFonts w:ascii="Times New Roman" w:hAnsi="Times New Roman"/>
          <w:sz w:val="22"/>
        </w:rPr>
        <w:t>Young, J. E. (1998). Young Schema Questionnaire - Short Form. Schema Therapy Institute.</w:t>
      </w:r>
    </w:p>
    <w:p>
      <w:pPr>
        <w:bidi w:val="1"/>
        <w:spacing w:lineRule="exact" w:line="580" w:after="40"/>
        <w:jc w:val="left"/>
      </w:pPr>
      <w:r>
        <w:rPr>
          <w:rFonts w:ascii="Times New Roman" w:hAnsi="Times New Roman"/>
          <w:sz w:val="22"/>
        </w:rPr>
        <w:t>Young, J. E., Klosko, J. S., &amp; Weishaar, M. E. (2003). Schema Therapy: A Practitioner's Guide. Guilford Press.</w:t>
      </w:r>
    </w:p>
    <w:p>
      <w:pPr>
        <w:bidi w:val="1"/>
        <w:spacing w:lineRule="exact" w:line="580" w:after="40"/>
        <w:jc w:val="left"/>
      </w:pPr>
      <w:r>
        <w:rPr>
          <w:rFonts w:ascii="Times New Roman" w:hAnsi="Times New Roman"/>
          <w:sz w:val="22"/>
        </w:rPr>
        <w:t>Zuckerman, M. (1999). Vulnerability to psychopathology: A biosocial model. American Psychological Association.</w:t>
      </w:r>
    </w:p>
    <w:sectPr w:rsidR="00FC693F" w:rsidRPr="0006063C" w:rsidSect="00034616">
      <w:footerReference w:type="default" r:id="rId15"/>
      <w:pgSz w:w="11906" w:h="16838"/>
      <w:pgMar w:top="1701" w:right="2268" w:bottom="1417" w:left="1417" w:header="720" w:footer="567" w:gutter="0"/>
      <w:pgNumType w:numFmt="hindi" w:start="1"/>
      <w:titlePg/>
      <w:pgNumType w:numFmt="hindi"/>
      <w:titlePg/>
      <w:pgNumType w:numFmt="hindi"/>
      <w:titlePg/>
      <w:pgNumType w:numFmt="hindi"/>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Times New Roman" w:hAnsi="Times New Roman" w:cs="B Nazanin"/>
          <w:szCs w:val="24"/>
        </w:rPr>
        <w:t>۱</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Times New Roman" w:hAnsi="Times New Roman" w:cs="B Nazanin"/>
          <w:szCs w:val="24"/>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Times New Roman" w:hAnsi="Times New Roman" w:cs="B Nazanin"/>
          <w:szCs w:val="24"/>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