
<file path=[Content_Types].xml><?xml version="1.0" encoding="utf-8"?>
<ns0:Types xmlns:ns0="http://schemas.openxmlformats.org/package/2006/content-types">
  <ns0:Default Extension="jpeg" ContentType="image/jpeg"/>
  <ns0:Default Extension="rels" ContentType="application/vnd.openxmlformats-package.relationships+xml"/>
  <ns0:Default Extension="xml" ContentType="application/xml"/>
  <ns0:Override PartName="/customXml/itemProps1.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footer1.xml" ContentType="application/vnd.openxmlformats-officedocument.wordprocessingml.footer+xml"/>
  <ns0:Override PartName="/word/footer10.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Override PartName="/word/footer4.xml" ContentType="application/vnd.openxmlformats-officedocument.wordprocessingml.footer+xml"/>
  <ns0:Override PartName="/word/footer5.xml" ContentType="application/vnd.openxmlformats-officedocument.wordprocessingml.footer+xml"/>
  <ns0:Override PartName="/word/footer6.xml" ContentType="application/vnd.openxmlformats-officedocument.wordprocessingml.footer+xml"/>
  <ns0:Override PartName="/word/footer7.xml" ContentType="application/vnd.openxmlformats-officedocument.wordprocessingml.footer+xml"/>
  <ns0:Override PartName="/word/footer8.xml" ContentType="application/vnd.openxmlformats-officedocument.wordprocessingml.footer+xml"/>
  <ns0:Override PartName="/word/footer9.xml" ContentType="application/vnd.openxmlformats-officedocument.wordprocessingml.footer+xml"/>
  <ns0:Override PartName="/word/footnotes.xml" ContentType="application/vnd.openxmlformats-officedocument.wordprocessingml.footnotes+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stylesWithEffects.xml" ContentType="application/vnd.ms-word.stylesWithEffects+xml"/>
  <ns0:Override PartName="/word/theme/theme1.xml" ContentType="application/vnd.openxmlformats-officedocument.theme+xml"/>
  <ns0:Override PartName="/word/webSettings.xml" ContentType="application/vnd.openxmlformats-officedocument.wordprocessingml.webSettings+xml"/>
  <ns0:Default Extension="png" ContentType="image/png"/>
</ns0: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3="http://schemas.openxmlformats.org/drawingml/2006/wordprocessingDrawing" xmlns:ns4="http://schemas.openxmlformats.org/drawingml/2006/main" xmlns:ns5="http://schemas.openxmlformats.org/drawingml/2006/picture" xmlns:r="http://schemas.openxmlformats.org/officeDocument/2006/relationships" xmlns:w="http://schemas.openxmlformats.org/wordprocessingml/2006/main" ns1:Ignorable="w14 wp14">
  <w:body>
    <w:p/>
    <w:p/>
    <w:p/>
    <w:p/>
    <w:p>
      <w:pPr>
        <w:bidi/>
        <w:jc w:val="center"/>
        <w:spacing w:line="580" w:lineRule="exact"/>
      </w:pPr>
      <w:r>
        <w:rPr>
          <w:rFonts w:ascii="B Nazanin" w:hAnsi="B Nazanin" w:cs="B Nazanin"/>
          <w:sz w:val="28"/>
          <w:szCs w:val="28"/>
        </w:rPr>
        <w:t>بسم الله الرحمن الرحیم</w:t>
      </w:r>
    </w:p>
    <w:p>
      <w:r>
        <w:br w:type="page"/>
      </w:r>
    </w:p>
    <w:p>
      <w:pPr>
        <w:bidi/>
        <w:jc w:val="center"/>
        <w:spacing w:line="580" w:lineRule="exact"/>
      </w:pPr>
      <w:r>
        <w:rPr>
          <w:rFonts w:ascii="B Nazanin" w:hAnsi="B Nazanin" w:cs="B Nazanin"/>
          <w:b/>
          <w:bCs/>
          <w:sz w:val="28"/>
          <w:szCs w:val="28"/>
        </w:rPr>
        <w:t>وزارت علوم، تحقیقات و فناوری</w:t>
      </w:r>
    </w:p>
    <w:p>
      <w:pPr>
        <w:bidi/>
        <w:jc w:val="center"/>
        <w:spacing w:line="580" w:lineRule="exact"/>
      </w:pPr>
      <w:r>
        <w:rPr>
          <w:rFonts w:ascii="B Nazanin" w:hAnsi="B Nazanin" w:cs="B Nazanin"/>
          <w:b/>
          <w:bCs/>
          <w:sz w:val="28"/>
          <w:szCs w:val="28"/>
        </w:rPr>
        <w:t>دانشگاه علم و هنر یزد</w:t>
      </w:r>
    </w:p>
    <w:p>
      <w:pPr>
        <w:bidi/>
        <w:jc w:val="center"/>
        <w:spacing w:line="580" w:lineRule="exact"/>
      </w:pPr>
      <w:r>
        <w:rPr>
          <w:rFonts w:ascii="B Nazanin" w:hAnsi="B Nazanin" w:cs="B Nazanin"/>
          <w:b/>
          <w:bCs/>
          <w:sz w:val="28"/>
          <w:szCs w:val="28"/>
        </w:rPr>
        <w:t>دانشکده انسانی</w:t>
      </w:r>
    </w:p>
    <w:p>
      <w:pPr>
        <w:bidi/>
        <w:jc w:val="center"/>
        <w:spacing w:line="580" w:lineRule="exact"/>
      </w:pPr>
      <w:r>
        <w:rPr>
          <w:rFonts w:ascii="B Nazanin" w:hAnsi="B Nazanin" w:cs="B Nazanin"/>
          <w:b/>
          <w:bCs/>
          <w:sz w:val="28"/>
          <w:szCs w:val="28"/>
        </w:rPr>
        <w:t>گروه روان‌شناسی</w:t>
      </w:r>
    </w:p>
    <w:p/>
    <w:p>
      <w:pPr>
        <w:bidi/>
        <w:jc w:val="center"/>
        <w:spacing w:line="580" w:lineRule="exact"/>
      </w:pPr>
      <w:r>
        <w:rPr>
          <w:rFonts w:ascii="B Nazanin" w:hAnsi="B Nazanin" w:cs="B Nazanin"/>
          <w:b/>
          <w:bCs/>
          <w:sz w:val="32"/>
          <w:szCs w:val="32"/>
        </w:rPr>
        <w:t>پایان‌نامه کارشناسی ارشد</w:t>
      </w:r>
    </w:p>
    <w:p/>
    <w:p>
      <w:pPr>
        <w:bidi/>
        <w:jc w:val="center"/>
        <w:spacing w:line="580" w:lineRule="exact"/>
      </w:pPr>
      <w:r>
        <w:rPr>
          <w:rFonts w:ascii="B Nazanin" w:hAnsi="B Nazanin" w:cs="B Nazanin"/>
          <w:b/>
          <w:bCs/>
          <w:sz w:val="28"/>
          <w:szCs w:val="28"/>
        </w:rPr>
        <w:t>عنوان:</w:t>
      </w:r>
    </w:p>
    <w:p>
      <w:pPr>
        <w:bidi/>
        <w:jc w:val="center"/>
        <w:spacing w:line="580" w:lineRule="exact"/>
      </w:pPr>
      <w:r>
        <w:rPr>
          <w:rFonts w:ascii="B Nazanin" w:hAnsi="B Nazanin" w:cs="B Nazanin"/>
          <w:b/>
          <w:bCs/>
          <w:sz w:val="32"/>
          <w:szCs w:val="32"/>
        </w:rPr>
        <w:t>تعیین نقش میانجی‌گر طرحواره‌های ناسازگار اولیه</w:t>
      </w:r>
    </w:p>
    <w:p>
      <w:pPr>
        <w:bidi/>
        <w:jc w:val="center"/>
        <w:spacing w:line="580" w:lineRule="exact"/>
      </w:pPr>
      <w:r>
        <w:rPr>
          <w:rFonts w:ascii="B Nazanin" w:hAnsi="B Nazanin" w:cs="B Nazanin"/>
          <w:b/>
          <w:bCs/>
          <w:sz w:val="32"/>
          <w:szCs w:val="32"/>
        </w:rPr>
        <w:t>در رابطه بین اضطراب صفتی و رفتارهای مالی پرخطر</w:t>
      </w:r>
    </w:p>
    <w:p>
      <w:pPr>
        <w:bidi/>
        <w:jc w:val="center"/>
        <w:spacing w:line="580" w:lineRule="exact"/>
      </w:pPr>
      <w:r>
        <w:rPr>
          <w:rFonts w:ascii="B Nazanin" w:hAnsi="B Nazanin" w:cs="B Nazanin"/>
          <w:b/>
          <w:bCs/>
          <w:sz w:val="32"/>
          <w:szCs w:val="32"/>
        </w:rPr>
        <w:t>در معامله‌گران بازارهای مالی</w:t>
      </w:r>
    </w:p>
    <w:p/>
    <w:p>
      <w:pPr>
        <w:bidi/>
        <w:jc w:val="center"/>
        <w:spacing w:line="580" w:lineRule="exact"/>
      </w:pPr>
      <w:r>
        <w:rPr>
          <w:rFonts w:ascii="B Nazanin" w:hAnsi="B Nazanin" w:cs="B Nazanin"/>
          <w:b/>
          <w:bCs/>
          <w:sz w:val="28"/>
          <w:szCs w:val="28"/>
        </w:rPr>
        <w:t>نام دانشجو: مریم قابل</w:t>
      </w:r>
    </w:p>
    <w:p>
      <w:pPr>
        <w:bidi/>
        <w:jc w:val="center"/>
        <w:spacing w:line="580" w:lineRule="exact"/>
      </w:pPr>
      <w:r>
        <w:rPr>
          <w:rFonts w:ascii="B Nazanin" w:hAnsi="B Nazanin" w:cs="B Nazanin"/>
          <w:b/>
          <w:bCs/>
          <w:sz w:val="28"/>
          <w:szCs w:val="28"/>
        </w:rPr>
        <w:t>استاد راهنما: دکتر سعید وزیری یزدی</w:t>
      </w:r>
    </w:p>
    <w:p>
      <w:pPr>
        <w:bidi/>
        <w:jc w:val="center"/>
        <w:spacing w:line="580" w:lineRule="exact"/>
      </w:pPr>
      <w:r>
        <w:rPr>
          <w:rFonts w:ascii="B Nazanin" w:hAnsi="B Nazanin" w:cs="B Nazanin"/>
          <w:b/>
          <w:bCs/>
          <w:sz w:val="28"/>
          <w:szCs w:val="28"/>
        </w:rPr>
        <w:t>دانشکده انسانی</w:t>
      </w:r>
    </w:p>
    <w:p>
      <w:pPr>
        <w:bidi/>
        <w:jc w:val="center"/>
        <w:spacing w:line="580" w:lineRule="exact"/>
      </w:pPr>
      <w:r>
        <w:rPr>
          <w:rFonts w:ascii="B Nazanin" w:hAnsi="B Nazanin" w:cs="B Nazanin"/>
          <w:b/>
          <w:bCs/>
          <w:sz w:val="28"/>
          <w:szCs w:val="28"/>
        </w:rPr>
        <w:t>گروه روان‌شناسی</w:t>
      </w:r>
    </w:p>
    <w:p>
      <w:pPr>
        <w:bidi/>
        <w:jc w:val="center"/>
        <w:spacing w:line="580" w:lineRule="exact"/>
      </w:pPr>
      <w:r>
        <w:rPr>
          <w:rFonts w:ascii="B Nazanin" w:hAnsi="B Nazanin" w:cs="B Nazanin"/>
          <w:b/>
          <w:bCs/>
          <w:sz w:val="28"/>
          <w:szCs w:val="28"/>
        </w:rPr>
        <w:t>۱۴۰۵</w:t>
      </w:r>
    </w:p>
    <w:p>
      <w:r>
        <w:br w:type="page"/>
      </w:r>
    </w:p>
    <w:p>
      <w:pPr>
        <w:bidi/>
        <w:jc w:val="center"/>
        <w:spacing w:line="580" w:lineRule="exact"/>
      </w:pPr>
      <w:r>
        <w:rPr>
          <w:rFonts w:ascii="B Nazanin" w:hAnsi="B Nazanin" w:cs="B Nazanin"/>
          <w:b/>
          <w:bCs/>
          <w:sz w:val="28"/>
          <w:szCs w:val="28"/>
        </w:rPr>
        <w:t>تأییدیه پایان‌نامه</w:t>
      </w:r>
    </w:p>
    <w:p/>
    <w:p>
      <w:pPr>
        <w:bidi/>
        <w:jc w:val="both"/>
        <w:spacing w:line="580" w:lineRule="exact"/>
      </w:pPr>
      <w:r>
        <w:rPr>
          <w:rFonts w:ascii="B Nazanin" w:hAnsi="B Nazanin" w:cs="B Nazanin"/>
          <w:sz w:val="24"/>
          <w:szCs w:val="24"/>
        </w:rPr>
        <w:t>این پایان‌نامه با عنوان</w:t>
      </w:r>
    </w:p>
    <w:p>
      <w:pPr>
        <w:bidi/>
        <w:jc w:val="center"/>
        <w:spacing w:line="580" w:lineRule="exact"/>
      </w:pPr>
      <w:r>
        <w:rPr>
          <w:rFonts w:ascii="B Nazanin" w:hAnsi="B Nazanin" w:cs="B Nazanin"/>
          <w:b/>
          <w:bCs/>
          <w:sz w:val="24"/>
          <w:szCs w:val="24"/>
        </w:rPr>
        <w:t>«تعیین نقش میانجی‌گر طرحواره‌های ناسازگار اولیه در رابطه بین اضطراب صفتی و رفتارهای مالی پرخطر در معامله‌گران بازارهای مالی»</w:t>
      </w:r>
    </w:p>
    <w:p>
      <w:pPr>
        <w:bidi/>
        <w:jc w:val="both"/>
        <w:spacing w:line="580" w:lineRule="exact"/>
      </w:pPr>
      <w:r>
        <w:rPr>
          <w:rFonts w:ascii="B Nazanin" w:hAnsi="B Nazanin" w:cs="B Nazanin"/>
          <w:sz w:val="24"/>
          <w:szCs w:val="24"/>
        </w:rPr>
        <w:t>تهیه‌شده توسط</w:t>
      </w:r>
    </w:p>
    <w:p>
      <w:pPr>
        <w:bidi/>
        <w:jc w:val="center"/>
        <w:spacing w:line="580" w:lineRule="exact"/>
      </w:pPr>
      <w:r>
        <w:rPr>
          <w:rFonts w:ascii="B Nazanin" w:hAnsi="B Nazanin" w:cs="B Nazanin"/>
          <w:b/>
          <w:bCs/>
          <w:sz w:val="24"/>
          <w:szCs w:val="24"/>
        </w:rPr>
        <w:t>مریم قابل</w:t>
      </w:r>
    </w:p>
    <w:p>
      <w:pPr>
        <w:bidi/>
        <w:jc w:val="both"/>
        <w:spacing w:line="580" w:lineRule="exact"/>
      </w:pPr>
      <w:r>
        <w:rPr>
          <w:rFonts w:ascii="B Nazanin" w:hAnsi="B Nazanin" w:cs="B Nazanin"/>
          <w:sz w:val="24"/>
          <w:szCs w:val="24"/>
        </w:rPr>
        <w:t>به عنوان پایان‌نامه کارشناسی ارشد در رشته روان‌شناسی بالینی</w:t>
      </w:r>
    </w:p>
    <w:p>
      <w:pPr>
        <w:bidi/>
        <w:jc w:val="both"/>
        <w:spacing w:line="580" w:lineRule="exact"/>
      </w:pPr>
      <w:r>
        <w:rPr>
          <w:rFonts w:ascii="B Nazanin" w:hAnsi="B Nazanin" w:cs="B Nazanin"/>
          <w:sz w:val="24"/>
          <w:szCs w:val="24"/>
        </w:rPr>
        <w:t>دانشکده انسانی دانشگاه علم و هنر یزد</w:t>
      </w:r>
    </w:p>
    <w:p>
      <w:pPr>
        <w:bidi/>
        <w:jc w:val="both"/>
        <w:spacing w:line="580" w:lineRule="exact"/>
      </w:pPr>
      <w:r>
        <w:rPr>
          <w:rFonts w:ascii="B Nazanin" w:hAnsi="B Nazanin" w:cs="B Nazanin"/>
          <w:sz w:val="24"/>
          <w:szCs w:val="24"/>
        </w:rPr>
        <w:t>در تاریخ ....... به عنوان پایان‌نامه‌ای کامل و قابل دفاع پذیرفته شد.</w:t>
      </w:r>
    </w:p>
    <w:p/>
    <w:p>
      <w:pPr>
        <w:bidi/>
        <w:jc w:val="both"/>
        <w:spacing w:line="580" w:lineRule="exact"/>
      </w:pPr>
      <w:r>
        <w:rPr>
          <w:rFonts w:ascii="B Nazanin" w:hAnsi="B Nazanin" w:cs="B Nazanin"/>
          <w:sz w:val="24"/>
          <w:szCs w:val="24"/>
        </w:rPr>
        <w:t>امضاء استاد راهنما: دکتر سعید وزیری یزدی</w:t>
      </w:r>
    </w:p>
    <w:p>
      <w:pPr>
        <w:bidi/>
        <w:jc w:val="both"/>
        <w:spacing w:line="580" w:lineRule="exact"/>
      </w:pPr>
      <w:r>
        <w:rPr>
          <w:rFonts w:ascii="B Nazanin" w:hAnsi="B Nazanin" w:cs="B Nazanin"/>
          <w:sz w:val="24"/>
          <w:szCs w:val="24"/>
        </w:rPr>
        <w:t>امضاء داور:</w:t>
      </w:r>
    </w:p>
    <w:p>
      <w:pPr>
        <w:bidi/>
        <w:jc w:val="both"/>
        <w:spacing w:line="580" w:lineRule="exact"/>
      </w:pPr>
      <w:r>
        <w:rPr>
          <w:rFonts w:ascii="B Nazanin" w:hAnsi="B Nazanin" w:cs="B Nazanin"/>
          <w:sz w:val="24"/>
          <w:szCs w:val="24"/>
        </w:rPr>
        <w:t>امضاء رئیس گروه:</w:t>
      </w:r>
    </w:p>
    <w:p>
      <w:pPr>
        <w:bidi/>
        <w:jc w:val="both"/>
        <w:spacing w:line="580" w:lineRule="exact"/>
      </w:pPr>
      <w:r>
        <w:rPr>
          <w:rFonts w:ascii="B Nazanin" w:hAnsi="B Nazanin" w:cs="B Nazanin"/>
          <w:sz w:val="24"/>
          <w:szCs w:val="24"/>
        </w:rPr>
        <w:t>تاریخ دفاع:</w:t>
      </w:r>
    </w:p>
    <w:p>
      <w:r>
        <w:br w:type="page"/>
      </w:r>
    </w:p>
    <w:p>
      <w:pPr>
        <w:bidi/>
        <w:jc w:val="center"/>
        <w:spacing w:line="580" w:lineRule="exact"/>
      </w:pPr>
      <w:r>
        <w:rPr>
          <w:rFonts w:ascii="B Nazanin" w:hAnsi="B Nazanin" w:cs="B Nazanin"/>
          <w:b/>
          <w:bCs/>
          <w:sz w:val="28"/>
          <w:szCs w:val="28"/>
        </w:rPr>
        <w:t>تعهدنامه</w:t>
      </w:r>
    </w:p>
    <w:p/>
    <w:p>
      <w:pPr>
        <w:bidi/>
        <w:jc w:val="both"/>
        <w:spacing w:line="580" w:lineRule="exact"/>
      </w:pPr>
      <w:r>
        <w:rPr>
          <w:rFonts w:ascii="B Nazanin" w:hAnsi="B Nazanin" w:cs="B Nazanin"/>
          <w:sz w:val="24"/>
          <w:szCs w:val="24"/>
        </w:rPr>
        <w:t>اینجانب مریم قابل، دانشجوی کارشناسی ارشد روان‌شناسی بالینی دانشکده انسانی دانشگاه علم و هنر یزد، تعهد می‌کنم که این پایان‌نامه حاصل کار شخصی بنده بوده و تمام منابع مورد استفاده در آن به درستی ذکر شده‌اند. در صورت کشف هرگونه تخلف علمی، مسئولیت آن بر عهدهٔ اینجانب خواهد بود.</w:t>
      </w:r>
    </w:p>
    <w:p/>
    <w:p>
      <w:pPr>
        <w:bidi/>
        <w:jc w:val="both"/>
        <w:spacing w:line="580" w:lineRule="exact"/>
      </w:pPr>
      <w:r>
        <w:rPr>
          <w:rFonts w:ascii="B Nazanin" w:hAnsi="B Nazanin" w:cs="B Nazanin"/>
          <w:sz w:val="24"/>
          <w:szCs w:val="24"/>
        </w:rPr>
        <w:t>نام و نام خانوادگی: مریم قابل</w:t>
      </w:r>
    </w:p>
    <w:p>
      <w:pPr>
        <w:bidi/>
        <w:jc w:val="both"/>
        <w:spacing w:line="580" w:lineRule="exact"/>
      </w:pPr>
      <w:r>
        <w:rPr>
          <w:rFonts w:ascii="B Nazanin" w:hAnsi="B Nazanin" w:cs="B Nazanin"/>
          <w:sz w:val="24"/>
          <w:szCs w:val="24"/>
        </w:rPr>
        <w:t>امضاء:</w:t>
      </w:r>
    </w:p>
    <w:p>
      <w:pPr>
        <w:bidi/>
        <w:jc w:val="both"/>
        <w:spacing w:line="580" w:lineRule="exact"/>
      </w:pPr>
      <w:r>
        <w:rPr>
          <w:rFonts w:ascii="B Nazanin" w:hAnsi="B Nazanin" w:cs="B Nazanin"/>
          <w:sz w:val="24"/>
          <w:szCs w:val="24"/>
        </w:rPr>
        <w:t>تاریخ:</w:t>
      </w:r>
    </w:p>
    <w:p>
      <w:r>
        <w:br w:type="page"/>
      </w:r>
    </w:p>
    <w:p>
      <w:pPr>
        <w:bidi/>
        <w:jc w:val="center"/>
        <w:spacing w:line="580" w:lineRule="exact"/>
      </w:pPr>
      <w:r>
        <w:rPr>
          <w:rFonts w:ascii="B Nazanin" w:hAnsi="B Nazanin" w:cs="B Nazanin"/>
          <w:b/>
          <w:bCs/>
          <w:sz w:val="28"/>
          <w:szCs w:val="28"/>
        </w:rPr>
        <w:t>تقدیم به:</w:t>
      </w:r>
    </w:p>
    <w:p/>
    <w:p>
      <w:pPr>
        <w:bidi/>
        <w:jc w:val="center"/>
        <w:spacing w:line="580" w:lineRule="exact"/>
      </w:pPr>
      <w:r>
        <w:rPr>
          <w:rFonts w:ascii="B Nazanin" w:hAnsi="B Nazanin" w:cs="B Nazanin"/>
          <w:sz w:val="24"/>
          <w:szCs w:val="24"/>
        </w:rPr>
        <w:t>[این بخش توسط دانشجو تکمیل می‌شود]</w:t>
      </w:r>
    </w:p>
    <w:p>
      <w:r>
        <w:br w:type="page"/>
      </w:r>
    </w:p>
    <w:p>
      <w:pPr>
        <w:bidi/>
        <w:jc w:val="center"/>
        <w:spacing w:line="580" w:lineRule="exact"/>
      </w:pPr>
      <w:r>
        <w:rPr>
          <w:rFonts w:ascii="B Nazanin" w:hAnsi="B Nazanin" w:cs="B Nazanin"/>
          <w:b/>
          <w:bCs/>
          <w:sz w:val="28"/>
          <w:szCs w:val="28"/>
        </w:rPr>
        <w:t>سپاسگزاری</w:t>
      </w:r>
    </w:p>
    <w:p/>
    <w:p>
      <w:pPr>
        <w:bidi/>
        <w:jc w:val="center"/>
        <w:spacing w:line="580" w:lineRule="exact"/>
      </w:pPr>
      <w:r>
        <w:rPr>
          <w:rFonts w:ascii="B Nazanin" w:hAnsi="B Nazanin" w:cs="B Nazanin"/>
          <w:sz w:val="24"/>
          <w:szCs w:val="24"/>
        </w:rPr>
        <w:t>[این بخش توسط دانشجو تکمیل می‌شود]</w:t>
      </w:r>
    </w:p>
    <w:p>
      <w:r>
        <w:br w:type="page"/>
      </w:r>
    </w:p>
    <w:p>
      <w:pPr>
        <w:bidi/>
        <w:jc w:val="center"/>
        <w:spacing w:line="580" w:lineRule="exact"/>
      </w:pPr>
      <w:r>
        <w:rPr>
          <w:rFonts w:ascii="B Nazanin" w:hAnsi="B Nazanin" w:cs="B Nazanin"/>
          <w:b/>
          <w:bCs/>
          <w:sz w:val="28"/>
          <w:szCs w:val="28"/>
        </w:rPr>
        <w:t>چکیده</w:t>
      </w:r>
    </w:p>
    <w:p/>
    <w:p>
      <w:pPr>
        <w:bidi/>
        <w:jc w:val="both"/>
        <w:spacing w:line="580" w:lineRule="exact"/>
      </w:pPr>
      <w:r>
        <w:rPr>
          <w:rFonts w:ascii="B Nazanin" w:hAnsi="B Nazanin" w:cs="B Nazanin"/>
          <w:sz w:val="24"/>
          <w:szCs w:val="24"/>
        </w:rPr>
        <w:t>پژوهش حاضر با هدف تعیین نقش میانجی‌گر طرحواره‌های ناسازگار اولیه در رابطه بین اضطراب صفتی و رفتارهای مالی پرخطر در معامله‌گران بازارهای مالی انجام شد. این پژوهش از نظر هدف کاربردی و از نظر روش توصیفی-همبستگی با رویکرد مدل‌سازی معادلات ساختاری بود. جامعهٔ آماری پژوهش را کلیهٔ معامله‌گران حقیقی فارسی‌زبان با حداقل ۶ ماه سابقهٔ معامله تشکیل می‌دادند و نمونه (n=185) با روش نمونه‌گیری در دسترس و گلوله‌برفی انتخاب شد. ابزارهای پژوهش شامل پرسشنامه اضطراب حالت-صفت اسپیلبرگر (فرم صفتی)، پرسشنامه طرحواره‌های ناسازگار اولیه یانگ (فرم کوتاه ۷۵ گویه‌ای) و مقیاس تحمل ریسک مالی گرابل و لایتون بود. داده‌ها با نرم‌افزارهای SPSS و Amos و ماکروی PROCESS تحلیل شدند. یافته‌ها نشان داد که اضطراب صفتی با رفتارهای مالی پرخطر (r=0.327)، طرحواره‌های ناسازگار اولیه (r=0.501) و رفتارهای مالی پرخطر (r=0.321) رابطه مثبت و معنادار دارد. همچنین طرحواره‌های ناسازگار اولیه نقش میانجی‌گر جزئی در رابطه بین اضطراب صفتی و رفتارهای مالی پرخطر ایفا می‌کنند (اثر غیرمستقیم=0.070، CI 95%: 0.011 تا 0.133). نتایج نشان داد که طرحواره‌های ناسازگار اولیه بخشی از اثر اضطراب صفتی بر رفتارهای مالی پرخطر را تبیین می‌کنند و مداخله‌های شناختی-رفتاری می‌توانند بر این مسیر اثر بگذارند.</w:t>
      </w:r>
    </w:p>
    <w:p>
      <w:pPr>
        <w:bidi/>
        <w:jc w:val="both"/>
        <w:spacing w:line="580" w:lineRule="exact"/>
      </w:pPr>
      <w:r>
        <w:rPr>
          <w:rFonts w:ascii="B Nazanin" w:hAnsi="B Nazanin" w:cs="B Nazanin"/>
          <w:b/>
          <w:bCs/>
          <w:sz w:val="24"/>
          <w:szCs w:val="24"/>
        </w:rPr>
        <w:t xml:space="preserve">کلمات کلیدی: </w:t>
      </w:r>
      <w:r>
        <w:rPr>
          <w:rFonts w:ascii="B Nazanin" w:hAnsi="B Nazanin" w:cs="B Nazanin"/>
          <w:sz w:val="24"/>
          <w:szCs w:val="24"/>
        </w:rPr>
        <w:t>اضطراب صفتی؛ طرحواره‌های ناسازگار اولیه؛ رفتارهای مالی پرخطر؛ معامله‌گران بازارهای مالی؛ مدل‌سازی معادلات ساختاری</w:t>
      </w:r>
    </w:p>
    <w:p>
      <w:r>
        <w:br w:type="page"/>
      </w:r>
    </w:p>
    <w:p>
      <w:pPr>
        <w:bidi/>
        <w:jc w:val="center"/>
        <w:spacing w:line="580" w:lineRule="exact"/>
      </w:pPr>
      <w:r>
        <w:rPr>
          <w:rFonts w:ascii="B Nazanin" w:hAnsi="B Nazanin" w:cs="B Nazanin"/>
          <w:b/>
          <w:bCs/>
          <w:sz w:val="28"/>
          <w:szCs w:val="28"/>
        </w:rPr>
        <w:t>فهرست مطالب</w:t>
      </w:r>
    </w:p>
    <w:p>
      <w:pPr>
        <w:bidi/>
      </w:pPr>
      <w:r>
        <w:rPr>
          <w:rFonts w:ascii="B Nazanin" w:hAnsi="B Nazanin"/>
        </w:rPr>
        <w:fldChar w:fldCharType="begin"/>
      </w:r>
      <w:r>
        <w:rPr>
          <w:rFonts w:ascii="B Nazanin" w:hAnsi="B Nazanin"/>
        </w:rPr>
        <w:instrText>TOC \o "1-2" \h \z \u</w:instrText>
      </w:r>
      <w:r>
        <w:rPr>
          <w:rFonts w:ascii="B Nazanin" w:hAnsi="B Nazanin"/>
        </w:rPr>
        <w:fldChar w:fldCharType="separate"/>
      </w:r>
    </w:p>
    <w:p>
      <w:pPr>
        <w:bidi/>
        <w:jc w:val="both"/>
        <w:spacing w:line="580" w:lineRule="exact"/>
      </w:pPr>
      <w:r>
        <w:rPr>
          <w:rFonts w:ascii="B Nazanin" w:hAnsi="B Nazanin" w:cs="B Nazanin"/>
          <w:sz w:val="24"/>
          <w:szCs w:val="24"/>
        </w:rPr>
        <w:t>فصل اول</w:t>
      </w:r>
    </w:p>
    <w:p>
      <w:pPr>
        <w:bidi/>
        <w:jc w:val="both"/>
        <w:spacing w:line="580" w:lineRule="exact"/>
      </w:pPr>
      <w:r>
        <w:rPr>
          <w:rFonts w:ascii="B Nazanin" w:hAnsi="B Nazanin" w:cs="B Nazanin"/>
          <w:sz w:val="24"/>
          <w:szCs w:val="24"/>
        </w:rPr>
        <w:t>۱-۱. مقدمه</w:t>
      </w:r>
    </w:p>
    <w:p>
      <w:pPr>
        <w:bidi/>
        <w:jc w:val="both"/>
        <w:spacing w:line="580" w:lineRule="exact"/>
      </w:pPr>
      <w:r>
        <w:rPr>
          <w:rFonts w:ascii="B Nazanin" w:hAnsi="B Nazanin" w:cs="B Nazanin"/>
          <w:sz w:val="24"/>
          <w:szCs w:val="24"/>
        </w:rPr>
        <w:t>۱-۲. بیان مسأله</w:t>
      </w:r>
    </w:p>
    <w:p>
      <w:pPr>
        <w:bidi/>
        <w:jc w:val="both"/>
        <w:spacing w:line="580" w:lineRule="exact"/>
      </w:pPr>
      <w:r>
        <w:rPr>
          <w:rFonts w:ascii="B Nazanin" w:hAnsi="B Nazanin" w:cs="B Nazanin"/>
          <w:sz w:val="24"/>
          <w:szCs w:val="24"/>
        </w:rPr>
        <w:t>۱-۳. اهمیت و ضرورت پژوهش</w:t>
      </w:r>
    </w:p>
    <w:p>
      <w:pPr>
        <w:bidi/>
        <w:jc w:val="both"/>
        <w:spacing w:line="580" w:lineRule="exact"/>
      </w:pPr>
      <w:r>
        <w:rPr>
          <w:rFonts w:ascii="B Nazanin" w:hAnsi="B Nazanin" w:cs="B Nazanin"/>
          <w:sz w:val="24"/>
          <w:szCs w:val="24"/>
        </w:rPr>
        <w:t>۱-۴. اهداف پژوهش</w:t>
      </w:r>
    </w:p>
    <w:p>
      <w:pPr>
        <w:bidi/>
        <w:jc w:val="both"/>
        <w:spacing w:line="580" w:lineRule="exact"/>
      </w:pPr>
      <w:r>
        <w:rPr>
          <w:rFonts w:ascii="B Nazanin" w:hAnsi="B Nazanin" w:cs="B Nazanin"/>
          <w:sz w:val="24"/>
          <w:szCs w:val="24"/>
        </w:rPr>
        <w:t>۱-۴-۱. هدف اصلی</w:t>
      </w:r>
    </w:p>
    <w:p>
      <w:pPr>
        <w:bidi/>
        <w:jc w:val="both"/>
        <w:spacing w:line="580" w:lineRule="exact"/>
      </w:pPr>
      <w:r>
        <w:rPr>
          <w:rFonts w:ascii="B Nazanin" w:hAnsi="B Nazanin" w:cs="B Nazanin"/>
          <w:sz w:val="24"/>
          <w:szCs w:val="24"/>
        </w:rPr>
        <w:t>۱-۴-۲. اهداف فرعی</w:t>
      </w:r>
    </w:p>
    <w:p>
      <w:pPr>
        <w:bidi/>
        <w:jc w:val="both"/>
        <w:spacing w:line="580" w:lineRule="exact"/>
      </w:pPr>
      <w:r>
        <w:rPr>
          <w:rFonts w:ascii="B Nazanin" w:hAnsi="B Nazanin" w:cs="B Nazanin"/>
          <w:sz w:val="24"/>
          <w:szCs w:val="24"/>
        </w:rPr>
        <w:t>۱-۵. فرضیه‌های پژوهش</w:t>
      </w:r>
    </w:p>
    <w:p>
      <w:pPr>
        <w:bidi/>
        <w:jc w:val="both"/>
        <w:spacing w:line="580" w:lineRule="exact"/>
      </w:pPr>
      <w:r>
        <w:rPr>
          <w:rFonts w:ascii="B Nazanin" w:hAnsi="B Nazanin" w:cs="B Nazanin"/>
          <w:sz w:val="24"/>
          <w:szCs w:val="24"/>
        </w:rPr>
        <w:t>۱-۶. تعاریف مفهومی و عملیاتی متغیرهای پژوهش</w:t>
      </w:r>
    </w:p>
    <w:p>
      <w:pPr>
        <w:bidi/>
        <w:jc w:val="both"/>
        <w:spacing w:line="580" w:lineRule="exact"/>
      </w:pPr>
      <w:r>
        <w:rPr>
          <w:rFonts w:ascii="B Nazanin" w:hAnsi="B Nazanin" w:cs="B Nazanin"/>
          <w:sz w:val="24"/>
          <w:szCs w:val="24"/>
        </w:rPr>
        <w:t>۱-۶-۱. اضطراب صفتی</w:t>
      </w:r>
    </w:p>
    <w:p>
      <w:pPr>
        <w:bidi/>
        <w:jc w:val="both"/>
        <w:spacing w:line="580" w:lineRule="exact"/>
      </w:pPr>
      <w:r>
        <w:rPr>
          <w:rFonts w:ascii="B Nazanin" w:hAnsi="B Nazanin" w:cs="B Nazanin"/>
          <w:sz w:val="24"/>
          <w:szCs w:val="24"/>
        </w:rPr>
        <w:t>۱-۶-۲. طرحواره‌های ناسازگار اولیه</w:t>
      </w:r>
    </w:p>
    <w:p>
      <w:pPr>
        <w:bidi/>
        <w:jc w:val="both"/>
        <w:spacing w:line="580" w:lineRule="exact"/>
      </w:pPr>
      <w:r>
        <w:rPr>
          <w:rFonts w:ascii="B Nazanin" w:hAnsi="B Nazanin" w:cs="B Nazanin"/>
          <w:sz w:val="24"/>
          <w:szCs w:val="24"/>
        </w:rPr>
        <w:t>۱-۶-۳. رفتارهای مالی پرخطر</w:t>
      </w:r>
    </w:p>
    <w:p>
      <w:pPr>
        <w:bidi/>
        <w:jc w:val="both"/>
        <w:spacing w:line="580" w:lineRule="exact"/>
      </w:pPr>
      <w:r>
        <w:rPr>
          <w:rFonts w:ascii="B Nazanin" w:hAnsi="B Nazanin" w:cs="B Nazanin"/>
          <w:sz w:val="24"/>
          <w:szCs w:val="24"/>
        </w:rPr>
        <w:t>۱-۷. سازمان‌بندی رساله</w:t>
      </w:r>
    </w:p>
    <w:p>
      <w:pPr>
        <w:bidi/>
        <w:jc w:val="both"/>
        <w:spacing w:line="580" w:lineRule="exact"/>
      </w:pPr>
      <w:r>
        <w:rPr>
          <w:rFonts w:ascii="B Nazanin" w:hAnsi="B Nazanin" w:cs="B Nazanin"/>
          <w:sz w:val="24"/>
          <w:szCs w:val="24"/>
        </w:rPr>
        <w:t>فصل دوم</w:t>
      </w:r>
    </w:p>
    <w:p>
      <w:pPr>
        <w:bidi/>
        <w:jc w:val="both"/>
        <w:spacing w:line="580" w:lineRule="exact"/>
      </w:pPr>
      <w:r>
        <w:rPr>
          <w:rFonts w:ascii="B Nazanin" w:hAnsi="B Nazanin" w:cs="B Nazanin"/>
          <w:sz w:val="24"/>
          <w:szCs w:val="24"/>
        </w:rPr>
        <w:t>۲-۱ مقدمه</w:t>
      </w:r>
    </w:p>
    <w:p>
      <w:pPr>
        <w:bidi/>
        <w:jc w:val="both"/>
        <w:spacing w:line="580" w:lineRule="exact"/>
      </w:pPr>
      <w:r>
        <w:rPr>
          <w:rFonts w:ascii="B Nazanin" w:hAnsi="B Nazanin" w:cs="B Nazanin"/>
          <w:sz w:val="24"/>
          <w:szCs w:val="24"/>
        </w:rPr>
        <w:t>۲-۲ مبانی نظری</w:t>
      </w:r>
    </w:p>
    <w:p>
      <w:pPr>
        <w:bidi/>
        <w:jc w:val="both"/>
        <w:spacing w:line="580" w:lineRule="exact"/>
      </w:pPr>
      <w:r>
        <w:rPr>
          <w:rFonts w:ascii="B Nazanin" w:hAnsi="B Nazanin" w:cs="B Nazanin"/>
          <w:sz w:val="24"/>
          <w:szCs w:val="24"/>
        </w:rPr>
        <w:t>۲-۲-۱ اضطراب صفتی</w:t>
      </w:r>
    </w:p>
    <w:p>
      <w:pPr>
        <w:bidi/>
        <w:jc w:val="both"/>
        <w:spacing w:line="580" w:lineRule="exact"/>
      </w:pPr>
      <w:r>
        <w:rPr>
          <w:rFonts w:ascii="B Nazanin" w:hAnsi="B Nazanin" w:cs="B Nazanin"/>
          <w:sz w:val="24"/>
          <w:szCs w:val="24"/>
        </w:rPr>
        <w:t>۲-۲-۱-۱ تمایزهای مفهومی کلیدی</w:t>
      </w:r>
    </w:p>
    <w:p>
      <w:pPr>
        <w:bidi/>
        <w:jc w:val="both"/>
        <w:spacing w:line="580" w:lineRule="exact"/>
      </w:pPr>
      <w:r>
        <w:rPr>
          <w:rFonts w:ascii="B Nazanin" w:hAnsi="B Nazanin" w:cs="B Nazanin"/>
          <w:sz w:val="24"/>
          <w:szCs w:val="24"/>
        </w:rPr>
        <w:t>۲-۲-۱-۲ مبانی زیست‌شناختی و عصب‌شناختی اضطراب</w:t>
      </w:r>
    </w:p>
    <w:p>
      <w:pPr>
        <w:bidi/>
        <w:jc w:val="both"/>
        <w:spacing w:line="580" w:lineRule="exact"/>
      </w:pPr>
      <w:r>
        <w:rPr>
          <w:rFonts w:ascii="B Nazanin" w:hAnsi="B Nazanin" w:cs="B Nazanin"/>
          <w:sz w:val="24"/>
          <w:szCs w:val="24"/>
        </w:rPr>
        <w:t>۲-۲-۱-۳ دیدگاه‌های روانشناختی درباره اضطراب</w:t>
      </w:r>
    </w:p>
    <w:p>
      <w:pPr>
        <w:bidi/>
        <w:jc w:val="both"/>
        <w:spacing w:line="580" w:lineRule="exact"/>
      </w:pPr>
      <w:r>
        <w:rPr>
          <w:rFonts w:ascii="B Nazanin" w:hAnsi="B Nazanin" w:cs="B Nazanin"/>
          <w:sz w:val="24"/>
          <w:szCs w:val="24"/>
        </w:rPr>
        <w:t>۲-۲-۱-۴ جمع‌بندی: جایگاه اضطراب صفتی در تصمیم‌گیری مالی</w:t>
      </w:r>
    </w:p>
    <w:p>
      <w:pPr>
        <w:bidi/>
        <w:jc w:val="both"/>
        <w:spacing w:line="580" w:lineRule="exact"/>
      </w:pPr>
      <w:r>
        <w:rPr>
          <w:rFonts w:ascii="B Nazanin" w:hAnsi="B Nazanin" w:cs="B Nazanin"/>
          <w:sz w:val="24"/>
          <w:szCs w:val="24"/>
        </w:rPr>
        <w:t>۲-۲-۲ طرحواره‌های ناسازگار اولیه</w:t>
      </w:r>
    </w:p>
    <w:p>
      <w:pPr>
        <w:bidi/>
        <w:jc w:val="both"/>
        <w:spacing w:line="580" w:lineRule="exact"/>
      </w:pPr>
      <w:r>
        <w:rPr>
          <w:rFonts w:ascii="B Nazanin" w:hAnsi="B Nazanin" w:cs="B Nazanin"/>
          <w:sz w:val="24"/>
          <w:szCs w:val="24"/>
        </w:rPr>
        <w:t>۲-۲-۲-۱ حوزه‌ها و طرحواره‌های ناسازگار اولیه و سبک‌های مقابله‌ای</w:t>
      </w:r>
    </w:p>
    <w:p>
      <w:pPr>
        <w:bidi/>
        <w:jc w:val="both"/>
        <w:spacing w:line="580" w:lineRule="exact"/>
      </w:pPr>
      <w:r>
        <w:rPr>
          <w:rFonts w:ascii="B Nazanin" w:hAnsi="B Nazanin" w:cs="B Nazanin"/>
          <w:sz w:val="24"/>
          <w:szCs w:val="24"/>
        </w:rPr>
        <w:t>۲-۲-۳ رفتارهای مالی پرخطر</w:t>
      </w:r>
    </w:p>
    <w:p>
      <w:pPr>
        <w:bidi/>
        <w:jc w:val="both"/>
        <w:spacing w:line="580" w:lineRule="exact"/>
      </w:pPr>
      <w:r>
        <w:rPr>
          <w:rFonts w:ascii="B Nazanin" w:hAnsi="B Nazanin" w:cs="B Nazanin"/>
          <w:sz w:val="24"/>
          <w:szCs w:val="24"/>
        </w:rPr>
        <w:t>۲-۲-۳-۱ تحمل ریسک مالی</w:t>
      </w:r>
    </w:p>
    <w:p>
      <w:pPr>
        <w:bidi/>
        <w:jc w:val="both"/>
        <w:spacing w:line="580" w:lineRule="exact"/>
      </w:pPr>
      <w:r>
        <w:rPr>
          <w:rFonts w:ascii="B Nazanin" w:hAnsi="B Nazanin" w:cs="B Nazanin"/>
          <w:sz w:val="24"/>
          <w:szCs w:val="24"/>
        </w:rPr>
        <w:t>۲-۲-۴ روابط بین متغیرها و مدل نظری میانجی‌گری</w:t>
      </w:r>
    </w:p>
    <w:p>
      <w:pPr>
        <w:bidi/>
        <w:jc w:val="both"/>
        <w:spacing w:line="580" w:lineRule="exact"/>
      </w:pPr>
      <w:r>
        <w:rPr>
          <w:rFonts w:ascii="B Nazanin" w:hAnsi="B Nazanin" w:cs="B Nazanin"/>
          <w:sz w:val="24"/>
          <w:szCs w:val="24"/>
        </w:rPr>
        <w:t>۲-۲-۴-۱ سازوکار نظری مدل میانجی‌گری</w:t>
      </w:r>
    </w:p>
    <w:p>
      <w:pPr>
        <w:bidi/>
        <w:jc w:val="both"/>
        <w:spacing w:line="580" w:lineRule="exact"/>
      </w:pPr>
      <w:r>
        <w:rPr>
          <w:rFonts w:ascii="B Nazanin" w:hAnsi="B Nazanin" w:cs="B Nazanin"/>
          <w:sz w:val="24"/>
          <w:szCs w:val="24"/>
        </w:rPr>
        <w:t>۲-۳ پیشینه پژوهشی</w:t>
      </w:r>
    </w:p>
    <w:p>
      <w:pPr>
        <w:bidi/>
        <w:jc w:val="both"/>
        <w:spacing w:line="580" w:lineRule="exact"/>
      </w:pPr>
      <w:r>
        <w:rPr>
          <w:rFonts w:ascii="B Nazanin" w:hAnsi="B Nazanin" w:cs="B Nazanin"/>
          <w:sz w:val="24"/>
          <w:szCs w:val="24"/>
        </w:rPr>
        <w:t>۲-۳-۱ پیشینه داخلی</w:t>
      </w:r>
    </w:p>
    <w:p>
      <w:pPr>
        <w:bidi/>
        <w:jc w:val="both"/>
        <w:spacing w:line="580" w:lineRule="exact"/>
      </w:pPr>
      <w:r>
        <w:rPr>
          <w:rFonts w:ascii="B Nazanin" w:hAnsi="B Nazanin" w:cs="B Nazanin"/>
          <w:sz w:val="24"/>
          <w:szCs w:val="24"/>
        </w:rPr>
        <w:t>۲-۳-۲ پیشینه خارجی</w:t>
      </w:r>
    </w:p>
    <w:p>
      <w:pPr>
        <w:bidi/>
        <w:jc w:val="both"/>
        <w:spacing w:line="580" w:lineRule="exact"/>
      </w:pPr>
      <w:r>
        <w:rPr>
          <w:rFonts w:ascii="B Nazanin" w:hAnsi="B Nazanin" w:cs="B Nazanin"/>
          <w:sz w:val="24"/>
          <w:szCs w:val="24"/>
        </w:rPr>
        <w:t>۲-۳-۳ جمع‌بندی پیشینه و شکاف پژوهشی</w:t>
      </w:r>
    </w:p>
    <w:p>
      <w:pPr>
        <w:bidi/>
        <w:jc w:val="both"/>
        <w:spacing w:line="580" w:lineRule="exact"/>
      </w:pPr>
      <w:r>
        <w:rPr>
          <w:rFonts w:ascii="B Nazanin" w:hAnsi="B Nazanin" w:cs="B Nazanin"/>
          <w:sz w:val="24"/>
          <w:szCs w:val="24"/>
        </w:rPr>
        <w:t>۲-۴ مدل مفهومی و چارچوب نهایی پژوهش</w:t>
      </w:r>
    </w:p>
    <w:p>
      <w:pPr>
        <w:bidi/>
        <w:jc w:val="both"/>
        <w:spacing w:line="580" w:lineRule="exact"/>
      </w:pPr>
      <w:r>
        <w:rPr>
          <w:rFonts w:ascii="B Nazanin" w:hAnsi="B Nazanin" w:cs="B Nazanin"/>
          <w:sz w:val="24"/>
          <w:szCs w:val="24"/>
        </w:rPr>
        <w:t>فصل سوم</w:t>
      </w:r>
    </w:p>
    <w:p>
      <w:pPr>
        <w:bidi/>
        <w:jc w:val="both"/>
        <w:spacing w:line="580" w:lineRule="exact"/>
      </w:pPr>
      <w:r>
        <w:rPr>
          <w:rFonts w:ascii="B Nazanin" w:hAnsi="B Nazanin" w:cs="B Nazanin"/>
          <w:sz w:val="24"/>
          <w:szCs w:val="24"/>
        </w:rPr>
        <w:t>۳-۱. مقدمه</w:t>
      </w:r>
    </w:p>
    <w:p>
      <w:pPr>
        <w:bidi/>
        <w:jc w:val="both"/>
        <w:spacing w:line="580" w:lineRule="exact"/>
      </w:pPr>
      <w:r>
        <w:rPr>
          <w:rFonts w:ascii="B Nazanin" w:hAnsi="B Nazanin" w:cs="B Nazanin"/>
          <w:sz w:val="24"/>
          <w:szCs w:val="24"/>
        </w:rPr>
        <w:t>۳-۲. طرح پژوهش</w:t>
      </w:r>
    </w:p>
    <w:p>
      <w:pPr>
        <w:bidi/>
        <w:jc w:val="both"/>
        <w:spacing w:line="580" w:lineRule="exact"/>
      </w:pPr>
      <w:r>
        <w:rPr>
          <w:rFonts w:ascii="B Nazanin" w:hAnsi="B Nazanin" w:cs="B Nazanin"/>
          <w:sz w:val="24"/>
          <w:szCs w:val="24"/>
        </w:rPr>
        <w:t>۳-۳. جامعه آماری، نمونه و روش نمونه‌گیری</w:t>
      </w:r>
    </w:p>
    <w:p>
      <w:pPr>
        <w:bidi/>
        <w:jc w:val="both"/>
        <w:spacing w:line="580" w:lineRule="exact"/>
      </w:pPr>
      <w:r>
        <w:rPr>
          <w:rFonts w:ascii="B Nazanin" w:hAnsi="B Nazanin" w:cs="B Nazanin"/>
          <w:sz w:val="24"/>
          <w:szCs w:val="24"/>
        </w:rPr>
        <w:t>۳-۳-۱. جامعه آماری</w:t>
      </w:r>
    </w:p>
    <w:p>
      <w:pPr>
        <w:bidi/>
        <w:jc w:val="both"/>
        <w:spacing w:line="580" w:lineRule="exact"/>
      </w:pPr>
      <w:r>
        <w:rPr>
          <w:rFonts w:ascii="B Nazanin" w:hAnsi="B Nazanin" w:cs="B Nazanin"/>
          <w:sz w:val="24"/>
          <w:szCs w:val="24"/>
        </w:rPr>
        <w:t>۳-۳-۲. روش نمونه‌گیری و گردآوری داده‌ها</w:t>
      </w:r>
    </w:p>
    <w:p>
      <w:pPr>
        <w:bidi/>
        <w:jc w:val="both"/>
        <w:spacing w:line="580" w:lineRule="exact"/>
      </w:pPr>
      <w:r>
        <w:rPr>
          <w:rFonts w:ascii="B Nazanin" w:hAnsi="B Nazanin" w:cs="B Nazanin"/>
          <w:sz w:val="24"/>
          <w:szCs w:val="24"/>
        </w:rPr>
        <w:t>۳-۳-۳. حجم نمونه</w:t>
      </w:r>
    </w:p>
    <w:p>
      <w:pPr>
        <w:bidi/>
        <w:jc w:val="both"/>
        <w:spacing w:line="580" w:lineRule="exact"/>
      </w:pPr>
      <w:r>
        <w:rPr>
          <w:rFonts w:ascii="B Nazanin" w:hAnsi="B Nazanin" w:cs="B Nazanin"/>
          <w:sz w:val="24"/>
          <w:szCs w:val="24"/>
        </w:rPr>
        <w:t>۳-۳-۴. ملاک‌های ورود و خروج</w:t>
      </w:r>
    </w:p>
    <w:p>
      <w:pPr>
        <w:bidi/>
        <w:jc w:val="both"/>
        <w:spacing w:line="580" w:lineRule="exact"/>
      </w:pPr>
      <w:r>
        <w:rPr>
          <w:rFonts w:ascii="B Nazanin" w:hAnsi="B Nazanin" w:cs="B Nazanin"/>
          <w:sz w:val="24"/>
          <w:szCs w:val="24"/>
        </w:rPr>
        <w:t>۳-۴. ابزارهای اندازه‌گیری</w:t>
      </w:r>
    </w:p>
    <w:p>
      <w:pPr>
        <w:bidi/>
        <w:jc w:val="both"/>
        <w:spacing w:line="580" w:lineRule="exact"/>
      </w:pPr>
      <w:r>
        <w:rPr>
          <w:rFonts w:ascii="B Nazanin" w:hAnsi="B Nazanin" w:cs="B Nazanin"/>
          <w:sz w:val="24"/>
          <w:szCs w:val="24"/>
        </w:rPr>
        <w:t>۳-۴-۱. پرسشنامه اضطراب حالت-صفت اسپیلبرگر — فرم صفتی</w:t>
      </w:r>
    </w:p>
    <w:p>
      <w:pPr>
        <w:bidi/>
        <w:jc w:val="both"/>
        <w:spacing w:line="580" w:lineRule="exact"/>
      </w:pPr>
      <w:r>
        <w:rPr>
          <w:rFonts w:ascii="B Nazanin" w:hAnsi="B Nazanin" w:cs="B Nazanin"/>
          <w:sz w:val="24"/>
          <w:szCs w:val="24"/>
        </w:rPr>
        <w:t>۳-۴-۲. پرسشنامه طرحواره‌های ناسازگار اولیه یانگ — فرم کوتاه</w:t>
      </w:r>
    </w:p>
    <w:p>
      <w:pPr>
        <w:bidi/>
        <w:jc w:val="both"/>
        <w:spacing w:line="580" w:lineRule="exact"/>
      </w:pPr>
      <w:r>
        <w:rPr>
          <w:rFonts w:ascii="B Nazanin" w:hAnsi="B Nazanin" w:cs="B Nazanin"/>
          <w:sz w:val="24"/>
          <w:szCs w:val="24"/>
        </w:rPr>
        <w:t>۳-۴-۳. مقیاس تحمل ریسک مالی گرابل و لایتون</w:t>
      </w:r>
    </w:p>
    <w:p>
      <w:pPr>
        <w:bidi/>
        <w:jc w:val="both"/>
        <w:spacing w:line="580" w:lineRule="exact"/>
      </w:pPr>
      <w:r>
        <w:rPr>
          <w:rFonts w:ascii="B Nazanin" w:hAnsi="B Nazanin" w:cs="B Nazanin"/>
          <w:sz w:val="24"/>
          <w:szCs w:val="24"/>
        </w:rPr>
        <w:t>۳-۵. روش اجرای پژوهش</w:t>
      </w:r>
    </w:p>
    <w:p>
      <w:pPr>
        <w:bidi/>
        <w:jc w:val="both"/>
        <w:spacing w:line="580" w:lineRule="exact"/>
      </w:pPr>
      <w:r>
        <w:rPr>
          <w:rFonts w:ascii="B Nazanin" w:hAnsi="B Nazanin" w:cs="B Nazanin"/>
          <w:sz w:val="24"/>
          <w:szCs w:val="24"/>
        </w:rPr>
        <w:t>۳-۶. روش تحلیل داده‌ها</w:t>
      </w:r>
    </w:p>
    <w:p>
      <w:pPr>
        <w:bidi/>
        <w:jc w:val="both"/>
        <w:spacing w:line="580" w:lineRule="exact"/>
      </w:pPr>
      <w:r>
        <w:rPr>
          <w:rFonts w:ascii="B Nazanin" w:hAnsi="B Nazanin" w:cs="B Nazanin"/>
          <w:sz w:val="24"/>
          <w:szCs w:val="24"/>
        </w:rPr>
        <w:t>۳-۷. ملاحظات اخلاقی</w:t>
      </w:r>
    </w:p>
    <w:p>
      <w:pPr>
        <w:bidi/>
        <w:jc w:val="both"/>
        <w:spacing w:line="580" w:lineRule="exact"/>
      </w:pPr>
      <w:r>
        <w:rPr>
          <w:rFonts w:ascii="B Nazanin" w:hAnsi="B Nazanin" w:cs="B Nazanin"/>
          <w:sz w:val="24"/>
          <w:szCs w:val="24"/>
        </w:rPr>
        <w:t>فصل چهارم: یافته‌های پژوهش</w:t>
      </w:r>
    </w:p>
    <w:p>
      <w:pPr>
        <w:bidi/>
        <w:jc w:val="both"/>
        <w:spacing w:line="580" w:lineRule="exact"/>
      </w:pPr>
      <w:r>
        <w:rPr>
          <w:rFonts w:ascii="B Nazanin" w:hAnsi="B Nazanin" w:cs="B Nazanin"/>
          <w:sz w:val="24"/>
          <w:szCs w:val="24"/>
        </w:rPr>
        <w:t>۴-۱. مقدمه</w:t>
      </w:r>
    </w:p>
    <w:p>
      <w:pPr>
        <w:bidi/>
        <w:jc w:val="both"/>
        <w:spacing w:line="580" w:lineRule="exact"/>
      </w:pPr>
      <w:r>
        <w:rPr>
          <w:rFonts w:ascii="B Nazanin" w:hAnsi="B Nazanin" w:cs="B Nazanin"/>
          <w:sz w:val="24"/>
          <w:szCs w:val="24"/>
        </w:rPr>
        <w:t>۴-۲. آماده‌سازی و غربالگری داده‌ها</w:t>
      </w:r>
    </w:p>
    <w:p>
      <w:pPr>
        <w:bidi/>
        <w:jc w:val="both"/>
        <w:spacing w:line="580" w:lineRule="exact"/>
      </w:pPr>
      <w:r>
        <w:rPr>
          <w:rFonts w:ascii="B Nazanin" w:hAnsi="B Nazanin" w:cs="B Nazanin"/>
          <w:sz w:val="24"/>
          <w:szCs w:val="24"/>
        </w:rPr>
        <w:t>۴-۳. ویژگی‌های جمعیت‌شناختی و معاملاتی نمونه</w:t>
      </w:r>
    </w:p>
    <w:p>
      <w:pPr>
        <w:bidi/>
        <w:jc w:val="both"/>
        <w:spacing w:line="580" w:lineRule="exact"/>
      </w:pPr>
      <w:r>
        <w:rPr>
          <w:rFonts w:ascii="B Nazanin" w:hAnsi="B Nazanin" w:cs="B Nazanin"/>
          <w:sz w:val="24"/>
          <w:szCs w:val="24"/>
        </w:rPr>
        <w:t>۴-۴. شاخص‌های توصیفی متغیرهای اصلی پژوهش</w:t>
      </w:r>
    </w:p>
    <w:p>
      <w:pPr>
        <w:bidi/>
        <w:jc w:val="both"/>
        <w:spacing w:line="580" w:lineRule="exact"/>
      </w:pPr>
      <w:r>
        <w:rPr>
          <w:rFonts w:ascii="B Nazanin" w:hAnsi="B Nazanin" w:cs="B Nazanin"/>
          <w:sz w:val="24"/>
          <w:szCs w:val="24"/>
        </w:rPr>
        <w:t>۴-۵. پایایی ابزارهای اندازه‌گیری</w:t>
      </w:r>
    </w:p>
    <w:p>
      <w:pPr>
        <w:bidi/>
        <w:jc w:val="both"/>
        <w:spacing w:line="580" w:lineRule="exact"/>
      </w:pPr>
      <w:r>
        <w:rPr>
          <w:rFonts w:ascii="B Nazanin" w:hAnsi="B Nazanin" w:cs="B Nazanin"/>
          <w:sz w:val="24"/>
          <w:szCs w:val="24"/>
        </w:rPr>
        <w:t>۴-۶. ارزیابی پیش‌فرض‌های آماری</w:t>
      </w:r>
    </w:p>
    <w:p>
      <w:pPr>
        <w:bidi/>
        <w:jc w:val="both"/>
        <w:spacing w:line="580" w:lineRule="exact"/>
      </w:pPr>
      <w:r>
        <w:rPr>
          <w:rFonts w:ascii="B Nazanin" w:hAnsi="B Nazanin" w:cs="B Nazanin"/>
          <w:sz w:val="24"/>
          <w:szCs w:val="24"/>
        </w:rPr>
        <w:t>۴-۷. همبستگی پیرسون و آزمون فرضیه‌های فرعی</w:t>
      </w:r>
    </w:p>
    <w:p>
      <w:pPr>
        <w:bidi/>
        <w:jc w:val="both"/>
        <w:spacing w:line="580" w:lineRule="exact"/>
      </w:pPr>
      <w:r>
        <w:rPr>
          <w:rFonts w:ascii="B Nazanin" w:hAnsi="B Nazanin" w:cs="B Nazanin"/>
          <w:sz w:val="24"/>
          <w:szCs w:val="24"/>
        </w:rPr>
        <w:t>۴-۸. آزمون فرضیه اصلی: تحلیل میانجی‌گری</w:t>
      </w:r>
    </w:p>
    <w:p>
      <w:pPr>
        <w:bidi/>
        <w:jc w:val="both"/>
        <w:spacing w:line="580" w:lineRule="exact"/>
      </w:pPr>
      <w:r>
        <w:rPr>
          <w:rFonts w:ascii="B Nazanin" w:hAnsi="B Nazanin" w:cs="B Nazanin"/>
          <w:sz w:val="24"/>
          <w:szCs w:val="24"/>
        </w:rPr>
        <w:t>۴-۹. تحلیل مسیر با متغیرهای مشاهده‌شده</w:t>
      </w:r>
    </w:p>
    <w:p>
      <w:pPr>
        <w:bidi/>
        <w:jc w:val="both"/>
        <w:spacing w:line="580" w:lineRule="exact"/>
      </w:pPr>
      <w:r>
        <w:rPr>
          <w:rFonts w:ascii="B Nazanin" w:hAnsi="B Nazanin" w:cs="B Nazanin"/>
          <w:sz w:val="24"/>
          <w:szCs w:val="24"/>
        </w:rPr>
        <w:t>۴-۱۰. جمع‌بندی یافته‌ها</w:t>
      </w:r>
    </w:p>
    <w:p>
      <w:pPr>
        <w:bidi/>
        <w:jc w:val="both"/>
        <w:spacing w:line="580" w:lineRule="exact"/>
      </w:pPr>
      <w:r>
        <w:rPr>
          <w:rFonts w:ascii="B Nazanin" w:hAnsi="B Nazanin" w:cs="B Nazanin"/>
          <w:sz w:val="24"/>
          <w:szCs w:val="24"/>
        </w:rPr>
        <w:t>فصل پنجم: بحث و نتیجه‌گیری</w:t>
      </w:r>
    </w:p>
    <w:p>
      <w:pPr>
        <w:bidi/>
        <w:jc w:val="both"/>
        <w:spacing w:line="580" w:lineRule="exact"/>
      </w:pPr>
      <w:r>
        <w:rPr>
          <w:rFonts w:ascii="B Nazanin" w:hAnsi="B Nazanin" w:cs="B Nazanin"/>
          <w:sz w:val="24"/>
          <w:szCs w:val="24"/>
        </w:rPr>
        <w:t>۵-۱. مقدمه</w:t>
      </w:r>
    </w:p>
    <w:p>
      <w:pPr>
        <w:bidi/>
        <w:jc w:val="both"/>
        <w:spacing w:line="580" w:lineRule="exact"/>
      </w:pPr>
      <w:r>
        <w:rPr>
          <w:rFonts w:ascii="B Nazanin" w:hAnsi="B Nazanin" w:cs="B Nazanin"/>
          <w:sz w:val="24"/>
          <w:szCs w:val="24"/>
        </w:rPr>
        <w:t>۵-۲. خلاصه یافته‌ها</w:t>
      </w:r>
    </w:p>
    <w:p>
      <w:pPr>
        <w:bidi/>
        <w:jc w:val="both"/>
        <w:spacing w:line="580" w:lineRule="exact"/>
      </w:pPr>
      <w:r>
        <w:rPr>
          <w:rFonts w:ascii="B Nazanin" w:hAnsi="B Nazanin" w:cs="B Nazanin"/>
          <w:sz w:val="24"/>
          <w:szCs w:val="24"/>
        </w:rPr>
        <w:t>۵-۳. بحث درباره یافته‌ها</w:t>
      </w:r>
    </w:p>
    <w:p>
      <w:pPr>
        <w:bidi/>
        <w:jc w:val="both"/>
        <w:spacing w:line="580" w:lineRule="exact"/>
      </w:pPr>
      <w:r>
        <w:rPr>
          <w:rFonts w:ascii="B Nazanin" w:hAnsi="B Nazanin" w:cs="B Nazanin"/>
          <w:sz w:val="24"/>
          <w:szCs w:val="24"/>
        </w:rPr>
        <w:t>۵-۳-۱. فرضیه اصلی: میانجی‌گری جزئی طرحواره‌های ناسازگار اولیه</w:t>
      </w:r>
    </w:p>
    <w:p>
      <w:pPr>
        <w:bidi/>
        <w:jc w:val="both"/>
        <w:spacing w:line="580" w:lineRule="exact"/>
      </w:pPr>
      <w:r>
        <w:rPr>
          <w:rFonts w:ascii="B Nazanin" w:hAnsi="B Nazanin" w:cs="B Nazanin"/>
          <w:sz w:val="24"/>
          <w:szCs w:val="24"/>
        </w:rPr>
        <w:t>۵-۳-۲. فرضیه دوم: رابطه اضطراب صفتی با رفتارهای مالی پرخطر</w:t>
      </w:r>
    </w:p>
    <w:p>
      <w:pPr>
        <w:bidi/>
        <w:jc w:val="both"/>
        <w:spacing w:line="580" w:lineRule="exact"/>
      </w:pPr>
      <w:r>
        <w:rPr>
          <w:rFonts w:ascii="B Nazanin" w:hAnsi="B Nazanin" w:cs="B Nazanin"/>
          <w:sz w:val="24"/>
          <w:szCs w:val="24"/>
        </w:rPr>
        <w:t>۵-۳-۳. فرضیه سوم: رابطه اضطراب صفتی با طرحواره‌های ناسازگار اولیه</w:t>
      </w:r>
    </w:p>
    <w:p>
      <w:pPr>
        <w:bidi/>
        <w:jc w:val="both"/>
        <w:spacing w:line="580" w:lineRule="exact"/>
      </w:pPr>
      <w:r>
        <w:rPr>
          <w:rFonts w:ascii="B Nazanin" w:hAnsi="B Nazanin" w:cs="B Nazanin"/>
          <w:sz w:val="24"/>
          <w:szCs w:val="24"/>
        </w:rPr>
        <w:t>۵-۳-۴. فرضیه چهارم: رابطه طرحواره‌های ناسازگار اولیه با رفتارهای مالی پرخطر</w:t>
      </w:r>
    </w:p>
    <w:p>
      <w:pPr>
        <w:bidi/>
        <w:jc w:val="both"/>
        <w:spacing w:line="580" w:lineRule="exact"/>
      </w:pPr>
      <w:r>
        <w:rPr>
          <w:rFonts w:ascii="B Nazanin" w:hAnsi="B Nazanin" w:cs="B Nazanin"/>
          <w:sz w:val="24"/>
          <w:szCs w:val="24"/>
        </w:rPr>
        <w:t>۵-۳-۵. جمع‌بندی نظری بحث</w:t>
      </w:r>
    </w:p>
    <w:p>
      <w:pPr>
        <w:bidi/>
        <w:jc w:val="both"/>
        <w:spacing w:line="580" w:lineRule="exact"/>
      </w:pPr>
      <w:r>
        <w:rPr>
          <w:rFonts w:ascii="B Nazanin" w:hAnsi="B Nazanin" w:cs="B Nazanin"/>
          <w:sz w:val="24"/>
          <w:szCs w:val="24"/>
        </w:rPr>
        <w:t>۵-۴. همسویی و ناهمسویی یافته‌ها با پیشینه پژوهش</w:t>
      </w:r>
    </w:p>
    <w:p>
      <w:pPr>
        <w:bidi/>
        <w:jc w:val="both"/>
        <w:spacing w:line="580" w:lineRule="exact"/>
      </w:pPr>
      <w:r>
        <w:rPr>
          <w:rFonts w:ascii="B Nazanin" w:hAnsi="B Nazanin" w:cs="B Nazanin"/>
          <w:sz w:val="24"/>
          <w:szCs w:val="24"/>
        </w:rPr>
        <w:t>۵-۵. دلالت‌های کاربردی</w:t>
      </w:r>
    </w:p>
    <w:p>
      <w:pPr>
        <w:bidi/>
        <w:jc w:val="both"/>
        <w:spacing w:line="580" w:lineRule="exact"/>
      </w:pPr>
      <w:r>
        <w:rPr>
          <w:rFonts w:ascii="B Nazanin" w:hAnsi="B Nazanin" w:cs="B Nazanin"/>
          <w:sz w:val="24"/>
          <w:szCs w:val="24"/>
        </w:rPr>
        <w:t>۵-۶. محدودیت‌های پژوهش</w:t>
      </w:r>
    </w:p>
    <w:p>
      <w:pPr>
        <w:bidi/>
        <w:jc w:val="both"/>
        <w:spacing w:line="580" w:lineRule="exact"/>
      </w:pPr>
      <w:r>
        <w:rPr>
          <w:rFonts w:ascii="B Nazanin" w:hAnsi="B Nazanin" w:cs="B Nazanin"/>
          <w:sz w:val="24"/>
          <w:szCs w:val="24"/>
        </w:rPr>
        <w:t>۵-۷. پیشنهادها برای پژوهش‌های آینده</w:t>
      </w:r>
    </w:p>
    <w:p>
      <w:pPr>
        <w:bidi/>
        <w:jc w:val="both"/>
        <w:spacing w:line="580" w:lineRule="exact"/>
      </w:pPr>
      <w:r>
        <w:rPr>
          <w:rFonts w:ascii="B Nazanin" w:hAnsi="B Nazanin" w:cs="B Nazanin"/>
          <w:sz w:val="24"/>
          <w:szCs w:val="24"/>
        </w:rPr>
        <w:t>۵-۸. جمع‌بندی نهایی</w:t>
      </w:r>
    </w:p>
    <w:p>
      <w:pPr>
        <w:bidi/>
        <w:jc w:val="both"/>
        <w:spacing w:line="580" w:lineRule="exact"/>
      </w:pPr>
      <w:r>
        <w:rPr>
          <w:rFonts w:ascii="B Nazanin" w:hAnsi="B Nazanin" w:cs="B Nazanin"/>
          <w:sz w:val="24"/>
          <w:szCs w:val="24"/>
        </w:rPr>
        <w:t>منابع</w:t>
      </w:r>
    </w:p>
    <w:p>
      <w:pPr>
        <w:bidi/>
      </w:pPr>
      <w:r>
        <w:fldChar w:fldCharType="end"/>
      </w:r>
    </w:p>
    <w:p>
      <w:r>
        <w:br w:type="page"/>
      </w:r>
    </w:p>
    <w:p>
      <w:pPr>
        <w:bidi/>
        <w:jc w:val="center"/>
        <w:spacing w:line="580" w:lineRule="exact"/>
      </w:pPr>
      <w:r>
        <w:rPr>
          <w:rFonts w:ascii="B Nazanin" w:hAnsi="B Nazanin" w:cs="B Nazanin"/>
          <w:b/>
          <w:bCs/>
          <w:sz w:val="28"/>
          <w:szCs w:val="28"/>
        </w:rPr>
        <w:t>فهرست جداول</w:t>
      </w:r>
    </w:p>
    <w:p>
      <w:pPr>
        <w:bidi/>
      </w:pPr>
      <w:r>
        <w:rPr>
          <w:rFonts w:ascii="B Nazanin" w:hAnsi="B Nazanin"/>
        </w:rPr>
        <w:fldChar w:fldCharType="begin"/>
      </w:r>
      <w:r>
        <w:rPr>
          <w:rFonts w:ascii="B Nazanin" w:hAnsi="B Nazanin"/>
        </w:rPr>
        <w:instrText>TOC \f T \h \z</w:instrText>
      </w:r>
      <w:r>
        <w:rPr>
          <w:rFonts w:ascii="B Nazanin" w:hAnsi="B Nazanin"/>
        </w:rPr>
        <w:fldChar w:fldCharType="separate"/>
      </w:r>
    </w:p>
    <w:p>
      <w:pPr>
        <w:bidi/>
        <w:jc w:val="both"/>
        <w:spacing w:line="580" w:lineRule="exact"/>
      </w:pPr>
      <w:r>
        <w:rPr>
          <w:rFonts w:ascii="B Nazanin" w:hAnsi="B Nazanin" w:cs="B Nazanin"/>
          <w:sz w:val="24"/>
          <w:szCs w:val="24"/>
        </w:rPr>
        <w:t>جدول ۲-۱. حوزه‌ها و طرحواره‌های ناسازگار اولیه در مدل یانگ</w:t>
      </w:r>
    </w:p>
    <w:p>
      <w:pPr>
        <w:bidi/>
        <w:jc w:val="both"/>
        <w:spacing w:line="580" w:lineRule="exact"/>
      </w:pPr>
      <w:r>
        <w:rPr>
          <w:rFonts w:ascii="B Nazanin" w:hAnsi="B Nazanin" w:cs="B Nazanin"/>
          <w:sz w:val="24"/>
          <w:szCs w:val="24"/>
        </w:rPr>
        <w:t>جدول ۳-۱. خلاصه ابزارهای پژوهش</w:t>
      </w:r>
    </w:p>
    <w:p>
      <w:pPr>
        <w:bidi/>
        <w:jc w:val="both"/>
        <w:spacing w:line="580" w:lineRule="exact"/>
      </w:pPr>
      <w:r>
        <w:rPr>
          <w:rFonts w:ascii="B Nazanin" w:hAnsi="B Nazanin" w:cs="B Nazanin"/>
          <w:sz w:val="24"/>
          <w:szCs w:val="24"/>
        </w:rPr>
        <w:t>جدول ۴-۱. روند غربالگری و ریزش پاسخ‌ها</w:t>
      </w:r>
    </w:p>
    <w:p>
      <w:pPr>
        <w:bidi/>
        <w:jc w:val="both"/>
        <w:spacing w:line="580" w:lineRule="exact"/>
      </w:pPr>
      <w:r>
        <w:rPr>
          <w:rFonts w:ascii="B Nazanin" w:hAnsi="B Nazanin" w:cs="B Nazanin"/>
          <w:sz w:val="24"/>
          <w:szCs w:val="24"/>
        </w:rPr>
        <w:t>جدول ۴-۲. توزیع ویژگی‌های جمعیت‌شناختی نمونه نهایی</w:t>
      </w:r>
    </w:p>
    <w:p>
      <w:pPr>
        <w:bidi/>
        <w:jc w:val="both"/>
        <w:spacing w:line="580" w:lineRule="exact"/>
      </w:pPr>
      <w:r>
        <w:rPr>
          <w:rFonts w:ascii="B Nazanin" w:hAnsi="B Nazanin" w:cs="B Nazanin"/>
          <w:sz w:val="24"/>
          <w:szCs w:val="24"/>
        </w:rPr>
        <w:t>جدول ۴-۳. توزیع ویژگی‌های معاملاتی نمونه نهایی</w:t>
      </w:r>
    </w:p>
    <w:p>
      <w:pPr>
        <w:bidi/>
        <w:jc w:val="both"/>
        <w:spacing w:line="580" w:lineRule="exact"/>
      </w:pPr>
      <w:r>
        <w:rPr>
          <w:rFonts w:ascii="B Nazanin" w:hAnsi="B Nazanin" w:cs="B Nazanin"/>
          <w:sz w:val="24"/>
          <w:szCs w:val="24"/>
        </w:rPr>
        <w:t>جدول ۴-۴. شاخص‌های توصیفی نمره‌های کل</w:t>
      </w:r>
    </w:p>
    <w:p>
      <w:pPr>
        <w:bidi/>
        <w:jc w:val="both"/>
        <w:spacing w:line="580" w:lineRule="exact"/>
      </w:pPr>
      <w:r>
        <w:rPr>
          <w:rFonts w:ascii="B Nazanin" w:hAnsi="B Nazanin" w:cs="B Nazanin"/>
          <w:sz w:val="24"/>
          <w:szCs w:val="24"/>
        </w:rPr>
        <w:t>جدول ۴-۵. پایایی ابزارها و خرده‌مقیاس‌ها (آلفای کرونباخ)</w:t>
      </w:r>
    </w:p>
    <w:p>
      <w:pPr>
        <w:bidi/>
        <w:jc w:val="both"/>
        <w:spacing w:line="580" w:lineRule="exact"/>
      </w:pPr>
      <w:r>
        <w:rPr>
          <w:rFonts w:ascii="B Nazanin" w:hAnsi="B Nazanin" w:cs="B Nazanin"/>
          <w:sz w:val="24"/>
          <w:szCs w:val="24"/>
        </w:rPr>
        <w:t>جدول ۴-۶. ماتریس همبستگی پیرسون متغیرهای پژوهش</w:t>
      </w:r>
    </w:p>
    <w:p>
      <w:pPr>
        <w:bidi/>
        <w:jc w:val="both"/>
        <w:spacing w:line="580" w:lineRule="exact"/>
      </w:pPr>
      <w:r>
        <w:rPr>
          <w:rFonts w:ascii="B Nazanin" w:hAnsi="B Nazanin" w:cs="B Nazanin"/>
          <w:sz w:val="24"/>
          <w:szCs w:val="24"/>
        </w:rPr>
        <w:t>جدول ۴-۷. نتایج تحلیل میانجی‌گری (الگوی شماره ۴، خودگردان‌سازی ۵۰۰۰ نمونه‌ای)</w:t>
      </w:r>
    </w:p>
    <w:p>
      <w:pPr>
        <w:bidi/>
        <w:jc w:val="both"/>
        <w:spacing w:line="580" w:lineRule="exact"/>
      </w:pPr>
      <w:r>
        <w:rPr>
          <w:rFonts w:ascii="B Nazanin" w:hAnsi="B Nazanin" w:cs="B Nazanin"/>
          <w:sz w:val="24"/>
          <w:szCs w:val="24"/>
        </w:rPr>
        <w:t>جدول ۴-۸. شاخص‌های مدل مقید میانجی‌گری کامل (مکمل، df=۱)</w:t>
      </w:r>
    </w:p>
    <w:p>
      <w:pPr>
        <w:bidi/>
        <w:jc w:val="both"/>
        <w:spacing w:line="580" w:lineRule="exact"/>
      </w:pPr>
      <w:r>
        <w:rPr>
          <w:rFonts w:ascii="B Nazanin" w:hAnsi="B Nazanin" w:cs="B Nazanin"/>
          <w:sz w:val="24"/>
          <w:szCs w:val="24"/>
        </w:rPr>
        <w:t>جدول ۴-۹. خلاصه نتایج آزمون فرضیه‌ها</w:t>
      </w:r>
    </w:p>
    <w:p>
      <w:pPr>
        <w:bidi/>
      </w:pPr>
      <w:r>
        <w:fldChar w:fldCharType="end"/>
      </w:r>
    </w:p>
    <w:p>
      <w:r>
        <w:br w:type="page"/>
      </w:r>
    </w:p>
    <w:p>
      <w:pPr>
        <w:bidi/>
        <w:jc w:val="center"/>
        <w:spacing w:line="580" w:lineRule="exact"/>
      </w:pPr>
      <w:r>
        <w:rPr>
          <w:rFonts w:ascii="B Nazanin" w:hAnsi="B Nazanin" w:cs="B Nazanin"/>
          <w:b/>
          <w:bCs/>
          <w:sz w:val="28"/>
          <w:szCs w:val="28"/>
        </w:rPr>
        <w:t>فهرست شکل‌ها</w:t>
      </w:r>
    </w:p>
    <w:p>
      <w:pPr>
        <w:bidi/>
      </w:pPr>
      <w:r>
        <w:rPr>
          <w:rFonts w:ascii="B Nazanin" w:hAnsi="B Nazanin"/>
        </w:rPr>
        <w:fldChar w:fldCharType="begin"/>
      </w:r>
      <w:r>
        <w:rPr>
          <w:rFonts w:ascii="B Nazanin" w:hAnsi="B Nazanin"/>
        </w:rPr>
        <w:instrText>TOC \f F \h \z</w:instrText>
      </w:r>
      <w:r>
        <w:rPr>
          <w:rFonts w:ascii="B Nazanin" w:hAnsi="B Nazanin"/>
        </w:rPr>
        <w:fldChar w:fldCharType="separate"/>
      </w:r>
    </w:p>
    <w:p>
      <w:pPr>
        <w:bidi/>
        <w:jc w:val="both"/>
        <w:spacing w:line="580" w:lineRule="exact"/>
      </w:pPr>
      <w:r>
        <w:rPr>
          <w:rFonts w:ascii="B Nazanin" w:hAnsi="B Nazanin" w:cs="B Nazanin"/>
          <w:sz w:val="24"/>
          <w:szCs w:val="24"/>
        </w:rPr>
        <w:t>شکل ۲-۱. مدل مفهومی پژوهش</w:t>
      </w:r>
    </w:p>
    <w:p>
      <w:pPr>
        <w:bidi/>
        <w:jc w:val="both"/>
        <w:spacing w:line="580" w:lineRule="exact"/>
      </w:pPr>
      <w:r>
        <w:rPr>
          <w:rFonts w:ascii="B Nazanin" w:hAnsi="B Nazanin" w:cs="B Nazanin"/>
          <w:sz w:val="24"/>
          <w:szCs w:val="24"/>
        </w:rPr>
        <w:t>شکل ۴-۱. نمودار مسیر الگوی میانجی‌گری با ضرایب برآوردشده در نمونه نهایی</w:t>
      </w:r>
    </w:p>
    <w:p>
      <w:pPr>
        <w:bidi/>
      </w:pPr>
      <w:r>
        <w:fldChar w:fldCharType="end"/>
      </w:r>
    </w:p>
    <w:p>
      <w:pPr>
        <w:sectPr>
          <w:footerReference w:type="default" r:id="rId9"/>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outlineLvl w:val="1"/>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انجام می‌شود. پژوهش حاضر بررسی می‌کند که اضطراب صفتی، به‌عنوان ویژگی شخصیتی پایدار، چگونه با رفتارهای مالی پرخطر ارتباط دارد و آیا طرحواره‌های ناسازگار اولیه در این رابطه نقش میانجی دارند.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با کیفیت تصمیم‌گیری مالی مرتبط گزارش شده است و می‌تواند با اجتناب از تصمیم‌گیری، محافظه‌کاری افراطی یا واکنش‌های هیجانی و تکانشی همراه باشد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با اعتیادهای رفتاری مخرب همراه باشد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outlineLvl w:val="1"/>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2"/>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به‌طور کامل و بدون سوگیری در قیمت دارایی‌ها منعکس می‌شوند؛ و سوم، آنکه در نتیجه این دو، هیچ سرمایه‌گذاری نمی‌تواند با اتکا به اطلاعات گذشته یا تحلیل‌های عمومی، به‌طور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3"/>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4"/>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6"/>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به‌عنوان یک انتخاب برای افزایش ثروت، بلکه به‌عنوان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7"/>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به‌عنوان یک تفسیر، بلکه به‌عنوان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8"/>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9"/>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0"/>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با شکل‌گیری حباب‌های قیمتی کاذب و سقوط‌های ناگهانی همراه باشد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این ابعاد در ادبیات مالی رفتاری برای توصیف جلوه‌های گوناگون رفتار مالی پرخطر به‌کار می‌روند؛ بااین‌حال، ابزار عملیاتی پژوهش حاضر مقیاس تحمل ریسک مالی گرابل و لایتون است. بنابراین، این ابزار سنجش مستقیم معامله‌گری بیش‌ازحد، رفتار گله‌ای، اثر گرایش یا تمرکز سبد نیست و نتایج باید بر اساس شاخص تحمل ریسک مالی تفسیر شوند.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می‌تواند با رفتار مالی نهایی ارتباط داشته باشد.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به‌عنوان یک آسیب‌پذیری پایدار، لزوماً به تنهایی و به‌طور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می‌توانند با رفتار مالی نهایی ارتباط داشته باشند.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outlineLvl w:val="1"/>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فرایندی»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به‌ویژه با ظهور پلتفرم‌های دموکراتیک معاملاتی، میلیون‌ها فرد فاقد تجربه و آموزش تخصصی را به‌طور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با کیفیت تصمیم‌گیری‌های مالی آن‌ها مرتبط گزارش شده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با تصمیمات عجولانه مرتبط است،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با اعتیادهای رفتاری مخرب همراه باشد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به‌عنوان یک انتخاب برای افزایش ثروت، بلکه به‌عنوان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طرحواره‌های ناسازگار اولیه — به‌ویژه در حوزه‌های «بریدگی و طرد» و «خودگردانی مختل» — با اضطراب اجتماعی به‌عنوان سازه‌ای جداگانه، در میان دانشجویان و قشر جوان ایرانی رابطه قابل توجهی دارند (نوری و هاشمیان، ۱۳۹۶). این یافته‌ها هشدار می‌دهند که ورود این گروه جمعیتی به بازار سرمایه، بدون حل‌وفصل تعارضات شناختی و هیجانی زیربنایی، می‌تواند با انتقال مستقیم اضطراب‌های بین‌فردی به محیط تصمیم‌گیری مالی و تشدید رفتارهای اجتنابی یا جبرانی در معامله‌گری همراه باشد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با شکل‌گیری حباب‌های قیمتی کاذب و سقوط‌های ناگهانی همراه باشد.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با تشدید رفتار توده‌وار و شکل‌گیری حباب‌های قیمتی کاذب همراه است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outlineLvl w:val="1"/>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outlineLvl w:val="1"/>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outlineLvl w:val="1"/>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outlineLvl w:val="1"/>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outlineLvl w:val="1"/>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outlineLvl w:val="1"/>
      </w:pPr>
      <w:r>
        <w:rPr>
          <w:rFonts w:ascii="B Nazanin" w:hAnsi="B Nazanin" w:cs="B Nazanin" w:hint="cs"/>
          <w:b/>
          <w:bCs/>
          <w:sz w:val="26"/>
          <w:szCs w:val="26"/>
          <w:rtl/>
          <w:lang w:bidi="fa-IR"/>
        </w:rPr>
        <w:t xml:space="preserve">۱-۶-۱. اضطراب صفتی</w:t>
      </w:r>
      <w:r>
        <w:rPr>
          <w:rFonts w:ascii="B Nazanin" w:hAnsi="B Nazanin" w:cs="B Nazanin" w:hint="cs"/>
          <w:vertAlign w:val="superscript"/>
          <w:rtl/>
        </w:rPr>
        <w:footnoteReference w:id="12"/>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3"/>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در نسخه مورد استفاده، هشت گویه ۱، ۶، ۷، ۱۰، ۱۳، ۱۴، ۱۶ و ۱۹ به‌صورت معکوس نمره‌گذاری می‌شوند. دامنه نمره کل پس از اعمال این نمره‌گذاری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outlineLvl w:val="1"/>
      </w:pPr>
      <w:r>
        <w:rPr>
          <w:rFonts w:ascii="B Nazanin" w:hAnsi="B Nazanin" w:cs="B Nazanin" w:hint="cs"/>
          <w:b/>
          <w:bCs/>
          <w:sz w:val="26"/>
          <w:szCs w:val="26"/>
          <w:rtl/>
          <w:lang w:bidi="fa-IR"/>
        </w:rPr>
        <w:t xml:space="preserve">۱-۶-۲. طرحواره‌های ناسازگار اولیه</w:t>
      </w:r>
      <w:r>
        <w:rPr>
          <w:rFonts w:ascii="B Nazanin" w:hAnsi="B Nazanin" w:cs="B Nazanin" w:hint="cs"/>
          <w:vertAlign w:val="superscript"/>
          <w:rtl/>
        </w:rPr>
        <w:footnoteReference w:id="14"/>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نیازهایی مانند امنیت، دلبستگی، خودمختاری، پذیرش و محبت که هرگاه در محیط خانواده به‌طور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در مدل اصلی پژوهش، نمره کل ۷۵ گویه به‌عنوان شاخص متغیر میانجی استفاده می‌شود و دامنه نظری آن از ۷۵ تا ۴۵۰ است. تحلیل حوزه‌های پنج‌گانه، در صورت تأیید کلید رسمی و کفایت داده‌ها، صرفاً به‌صورت تکمیلی بررسی خواهد شد.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outlineLvl w:val="1"/>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این ابعاد، چارچوب مفهومی رفتارهای مالی پرخطر را شکل می‌دهند؛ بااین‌حال، در پژوهش حاضر، متغیر وابسته در سطح عملیاتی از طریق نمره تحمل ریسک مالی سنجیده می‌شود. بنابراین، یافته‌های پژوهش درباره رفتارهای مالی پرخطر باید با توجه به این شاخص عملیاتی تفسیر شوند و به معنای سنجش مستقیم همه ابعاد رفتاری یادشده نیستند.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بر اساس کلید نمره‌گذاری مورد استفاده در این پژوهش، نمره کل این مقیاس در دامنه ۱۳ تا ۵۲ قرار می‌گیرد و نمره بالاتر نشان‌دهنده تحمل ریسک مالی بیشتر است.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outlineLvl w:val="1"/>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8"/>
          <w:pgNumType w:fmt="hindi" w:start="1"/>
          <w:titlePg/>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outlineLvl w:val="1"/>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outlineLvl w:val="1"/>
      </w:pPr>
      <w:r>
        <w:rPr>
          <w:rFonts w:ascii="B Nazanin" w:hAnsi="B Nazanin" w:cs="B Nazanin" w:hint="cs"/>
          <w:b/>
          <w:bCs/>
          <w:sz w:val="28"/>
          <w:szCs w:val="28"/>
          <w:rtl/>
          <w:lang w:bidi="fa-IR"/>
        </w:rPr>
        <w:t xml:space="preserve">۲-۲ مبانی نظری</w:t>
      </w:r>
    </w:p>
    <w:p>
      <w:pPr>
        <w:pStyle w:val="Heading3"/>
        <w:bidi w:val="1"/>
        <w:jc w:val="right"/>
        <w:outlineLvl w:val="1"/>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pStyle w:val="Heading4"/>
        <w:bidi w:val="1"/>
        <w:jc w:val="right"/>
        <w:outlineLvl w:val="1"/>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pStyle w:val="Heading4"/>
        <w:bidi w:val="1"/>
        <w:jc w:val="right"/>
        <w:outlineLvl w:val="1"/>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outlineLvl w:val="1"/>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pStyle w:val="Heading4"/>
        <w:bidi w:val="1"/>
        <w:jc w:val="right"/>
        <w:outlineLvl w:val="1"/>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outlineLvl w:val="1"/>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outlineLvl w:val="1"/>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p>
      <w:pPr>
        <w:bidi/>
      </w:pPr>
      <w:r>
        <w:rPr>
          <w:vanish/>
          <w:rFonts w:ascii="B Nazanin" w:hAnsi="B Nazanin"/>
        </w:rPr>
        <w:fldChar w:fldCharType="begin"/>
      </w:r>
      <w:r>
        <w:rPr>
          <w:vanish/>
          <w:rFonts w:ascii="B Nazanin" w:hAnsi="B Nazanin"/>
        </w:rPr>
        <w:instrText>TC "جدول ۲-۱. حوزه‌ها و طرحواره‌های ناسازگار اولیه در مدل یانگ" \f T \l 1</w:instrText>
      </w:r>
      <w:r>
        <w:rPr>
          <w:vanish/>
          <w:rFonts w:ascii="B Nazanin" w:hAnsi="B Nazanin"/>
        </w:rPr>
        <w:fldChar w:fldCharType="end"/>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outlineLvl w:val="1"/>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pStyle w:val="Heading4"/>
        <w:bidi w:val="1"/>
        <w:jc w:val="right"/>
        <w:outlineLvl w:val="1"/>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outlineLvl w:val="1"/>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pStyle w:val="Heading4"/>
        <w:bidi w:val="1"/>
        <w:jc w:val="right"/>
        <w:outlineLvl w:val="1"/>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outlineLvl w:val="1"/>
      </w:pPr>
      <w:r>
        <w:rPr>
          <w:rFonts w:ascii="B Nazanin" w:hAnsi="B Nazanin" w:cs="B Nazanin" w:hint="cs"/>
          <w:b/>
          <w:bCs/>
          <w:sz w:val="28"/>
          <w:szCs w:val="28"/>
          <w:rtl/>
          <w:lang w:bidi="fa-IR"/>
        </w:rPr>
        <w:t xml:space="preserve">۲-۳ پیشینه پژوهشی</w:t>
      </w:r>
    </w:p>
    <w:p>
      <w:pPr>
        <w:pStyle w:val="Heading3"/>
        <w:bidi w:val="1"/>
        <w:jc w:val="right"/>
        <w:outlineLvl w:val="1"/>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outlineLvl w:val="1"/>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outlineLvl w:val="1"/>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outlineLvl w:val="1"/>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pPr>
      <w:r>
        <w:rPr>
          <w:vanish/>
          <w:rFonts w:ascii="B Nazanin" w:hAnsi="B Nazanin"/>
        </w:rPr>
        <w:fldChar w:fldCharType="begin"/>
      </w:r>
      <w:r>
        <w:rPr>
          <w:vanish/>
          <w:rFonts w:ascii="B Nazanin" w:hAnsi="B Nazanin"/>
        </w:rPr>
        <w:instrText>TC "شکل ۲-۱. مدل مفهومی پژوهش" \f F \l 1</w:instrText>
      </w:r>
      <w:r>
        <w:rPr>
          <w:vanish/>
          <w:rFonts w:ascii="B Nazanin" w:hAnsi="B Nazanin"/>
        </w:rPr>
        <w:fldChar w:fldCharType="end"/>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8"/>
          <w:pgNumType w:fmt="hindi"/>
          <w:titlePg/>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outlineLvl w:val="1"/>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outlineLvl w:val="1"/>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outlineLvl w:val="1"/>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outlineLvl w:val="1"/>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outlineLvl w:val="1"/>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outlineLvl w:val="1"/>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outlineLvl w:val="1"/>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outlineLvl w:val="1"/>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outlineLvl w:val="1"/>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1"/>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1"/>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2"/>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p>
      <w:pPr>
        <w:bidi/>
      </w:pPr>
      <w:r>
        <w:rPr>
          <w:vanish/>
          <w:rFonts w:ascii="B Nazanin" w:hAnsi="B Nazanin"/>
        </w:rPr>
        <w:fldChar w:fldCharType="begin"/>
      </w:r>
      <w:r>
        <w:rPr>
          <w:vanish/>
          <w:rFonts w:ascii="B Nazanin" w:hAnsi="B Nazanin"/>
        </w:rPr>
        <w:instrText>TC "جدول ۳-۱. خلاصه ابزارهای پژوهش" \f T \l 1</w:instrText>
      </w:r>
      <w:r>
        <w:rPr>
          <w:vanish/>
          <w:rFonts w:ascii="B Nazanin" w:hAnsi="B Nazanin"/>
        </w:rPr>
        <w:fldChar w:fldCharType="end"/>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outlineLvl w:val="1"/>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outlineLvl w:val="1"/>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outlineLvl w:val="1"/>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8"/>
          <w:pgNumType w:fmt="hindi"/>
          <w:titlePg/>
        </w:sectPr>
      </w:pPr>
    </w:p>
    <w:p>
      <w:pPr>
        <w:bidi w:val="1"/>
        <w:spacing w:lineRule="exact" w:line="580" w:before="120" w:after="240"/>
        <w:jc w:val="center"/>
        <w:outlineLvl w:val="0"/>
      </w:pPr>
      <w:r>
        <w:rPr>
          <w:rFonts w:ascii="B Nazanin" w:hAnsi="B Nazanin" w:cs="B Nazanin" w:hint="cs"/>
          <w:b/>
          <w:bCs/>
          <w:sz w:val="56"/>
          <w:szCs w:val="56"/>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jc w:val="center"/>
        <w:spacing w:line="580" w:lineRule="exact"/>
      </w:pPr>
      <w:r>
        <w:rPr>
          <w:rFonts w:ascii="B Nazanin" w:hAnsi="B Nazanin" w:cs="B Nazanin"/>
          <w:i/>
          <w:iCs/>
          <w:sz w:val="22"/>
          <w:szCs w:val="22"/>
        </w:rPr>
        <w:t>این فصل نمونه آموزشی مبتنی بر داده شبیه‌سازی‌شده است و صرفاً برای نمایش روش تحلیل آماری تهیه شده است. متن نهایی فصل پس از تحلیل داده‌های واقعی پژوهش بازنویسی خواهد شد.</w:t>
      </w:r>
    </w:p>
    <w:p>
      <w:r>
        <w:br w:type="page"/>
      </w:r>
    </w:p>
    <w:p>
      <w:pPr>
        <w:pStyle w:val="Heading2"/>
        <w:bidi w:val="1"/>
        <w:jc w:val="right"/>
        <w:outlineLvl w:val="1"/>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 طرحواره‌های ناسازگار اولیه است. بر این اساس چهار فرضیه تدوین شد: سه فرضیه فرعی روابط دوتایی متغیرها را می‌آزمایند و فرضیه اصلی الگوی میانجی‌گری را. فرضیه اول (اصلی) بیان می‌کند که طرحواره‌های ناسازگار اولیه رابطه میان اضطراب صفتی و رفتارهای مالی پرخطر را میانجی‌گری می‌کند؛ فرضیه دوم از رابطه مثبت معنادار میان اضطراب صفتی و رفتارهای مالی پرخطر حکایت دارد؛ فرضیه سوم رابطه مثبت معنادار میان اضطراب صفتی و طرحواره‌های ناسازگار اولیه را پیش‌بینی می‌کند؛ و فرضیه چهارم نیز رابطه مثبت معنادار میان طرحواره‌های ناسازگار اولیه و رفتارهای مالی پرخطر را مطرح می‌سازد.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تعیین‌شده؛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شامل شکل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شماره ۴ هایز همراه با خودگردان‌سازی ۵۰۰۰ نمونه‌ای. به‌منظور بررسی همگرایی، الگوی مسیر با متغیرهای مشاهده‌شده و برآورد درست‌نمایی بیشینه نیز برازش داده شد.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تحلیل مسیر با متغیرهای مشاهده‌شده و بخش ۴-۱۰ جمع‌بندی نتایج را پوشش می‌دهند.</w:t>
      </w:r>
    </w:p>
    <w:p>
      <w:pPr>
        <w:pStyle w:val="Heading2"/>
        <w:bidi w:val="1"/>
        <w:jc w:val="right"/>
        <w:outlineLvl w:val="1"/>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پرسشنامه آنلاین در مجموع ۲۴۳ پاسخ خام دریافت کرد. غربالگری در شش مرحله سلسله‌مراتبی و به‌ترتیب اجرا شد، به این معنا که هر پاسخ‌دهنده تنها در نخستین مرحله‌ای که واجد شرط حذف بود شمرده شد. در مرحله اول، ۸ پاسخ به دلیل نبود رضایت آگاهانه معتبر کنار گذاشته شد. در مرحله دوم، ۱۰ پاسخ که دست‌کم یکی از سه شرط ورود (سن ۱۸ سال و بالاتر، معامله‌گر واقعی بودن با سرمایه شخصی، و دست‌کم ۶ ماه سابقه معامله‌گری واقعی) را نداشتند حذف شدند؛ با پایان یافتن فرم در همان مرحله، این پاسخ‌ها فاقد داده ابزارها بودند. در مرحله سوم، ۱۷ پاسخ که بیش از ۳۰ درصد گویه‌های ابزارها را بی‌پاسخ گذاشته بودند (رهاشدگی فرم، عمدتاً در میانه فرم بلند یانگ) حذف شدند. در مرحله چهارم، ۱۱ پاسخ با الگوی ثابت پاسخ‌گویی (واریانس صفر در سراسر گویه‌ها) کنار رفتند. در مرحله پنجم، ۹ پاسخ با زمان تکمیل نامتعارف کوتاه (کمتر از ۱۲۰ ثانیه برای ۱۰۸ گویه؛ بازه مشاهده‌شده ۴۶ تا ۱۰۹ ثانیه) حذف شدند. در مرحله ششم، ۳ پاسخ تکراری با بردار پاسخ یکسان شناسایی و نسخه‌های دوم به بعد آن‌ها کنار گذاشته شد. جدول ۴-۱ روند غربالگری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و ریزش پاسخ‌ها</w:t>
      </w:r>
    </w:p>
    <w:p>
      <w:pPr>
        <w:bidi/>
      </w:pPr>
      <w:r>
        <w:rPr>
          <w:vanish/>
          <w:rFonts w:ascii="B Nazanin" w:hAnsi="B Nazanin"/>
        </w:rPr>
        <w:fldChar w:fldCharType="begin"/>
      </w:r>
      <w:r>
        <w:rPr>
          <w:vanish/>
          <w:rFonts w:ascii="B Nazanin" w:hAnsi="B Nazanin"/>
        </w:rPr>
        <w:instrText>TC "جدول ۴-۱. روند غربالگری و ریزش پاسخ‌ها"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مرحله</w:t>
            </w:r>
          </w:p>
        </w:tc>
        <w:tc>
          <w:tcPr>
            <w:tcW w:type="dxa" w:w="2740"/>
            <w:tcBorders>
              <w:bottom w:val="single" w:sz="12" w:space="0" w:color="000000"/>
            </w:tcBorders>
          </w:tcPr>
          <w:p>
            <w:pPr>
              <w:bidi w:val="1"/>
              <w:jc w:val="center"/>
            </w:pPr>
            <w:r/>
            <w:r>
              <w:rPr>
                <w:rFonts w:ascii="Cambria" w:hAnsi="Cambria" w:cs="Cambria"/>
                <w:b/>
                <w:sz w:val="22"/>
              </w:rPr>
              <w:t>تعداد حذف‌شده</w:t>
            </w:r>
          </w:p>
        </w:tc>
        <w:tc>
          <w:tcPr>
            <w:tcW w:type="dxa" w:w="2740"/>
            <w:tcBorders>
              <w:bottom w:val="single" w:sz="12" w:space="0" w:color="000000"/>
            </w:tcBorders>
          </w:tcPr>
          <w:p>
            <w:pPr>
              <w:bidi w:val="1"/>
              <w:jc w:val="center"/>
            </w:pPr>
            <w:r/>
            <w:r>
              <w:rPr>
                <w:rFonts w:ascii="Cambria" w:hAnsi="Cambria" w:cs="Cambria"/>
                <w:b/>
                <w:sz w:val="22"/>
              </w:rPr>
              <w:t>باقی‌مانده</w:t>
            </w:r>
          </w:p>
        </w:tc>
      </w:tr>
      <w:tr>
        <w:tc>
          <w:tcPr>
            <w:tcW w:type="dxa" w:w="2740"/>
          </w:tcPr>
          <w:p>
            <w:pPr>
              <w:bidi w:val="1"/>
              <w:jc w:val="center"/>
            </w:pPr>
            <w:r/>
            <w:r>
              <w:rPr>
                <w:rFonts w:ascii="Cambria" w:hAnsi="Cambria" w:cs="Cambria"/>
                <w:b w:val="0"/>
                <w:sz w:val="22"/>
              </w:rPr>
              <w:t>خام اولیه</w:t>
            </w:r>
          </w:p>
        </w:tc>
        <w:tc>
          <w:tcPr>
            <w:tcW w:type="dxa" w:w="2740"/>
          </w:tcPr>
          <w:p>
            <w:pPr>
              <w:jc w:val="center"/>
            </w:pPr>
            <w:r/>
            <w:r>
              <w:rPr>
                <w:rFonts w:ascii="Cambria" w:hAnsi="Cambria" w:cs="Cambria"/>
                <w:b w:val="0"/>
                <w:sz w:val="22"/>
              </w:rPr>
              <w:t>—</w:t>
            </w:r>
          </w:p>
        </w:tc>
        <w:tc>
          <w:tcPr>
            <w:tcW w:type="dxa" w:w="2740"/>
          </w:tcPr>
          <w:p>
            <w:pPr>
              <w:bidi w:val="1"/>
              <w:jc w:val="center"/>
            </w:pPr>
            <w:r/>
            <w:r>
              <w:rPr>
                <w:rFonts w:ascii="Cambria" w:hAnsi="Cambria" w:cs="Cambria"/>
                <w:b w:val="0"/>
                <w:sz w:val="22"/>
              </w:rPr>
              <w:t>۲۴۳</w:t>
            </w:r>
          </w:p>
        </w:tc>
      </w:tr>
      <w:tr>
        <w:tc>
          <w:tcPr>
            <w:tcW w:type="dxa" w:w="2740"/>
          </w:tcPr>
          <w:p>
            <w:pPr>
              <w:bidi w:val="1"/>
              <w:jc w:val="center"/>
            </w:pPr>
            <w:r/>
            <w:r>
              <w:rPr>
                <w:rFonts w:ascii="Cambria" w:hAnsi="Cambria" w:cs="Cambria"/>
                <w:b w:val="0"/>
                <w:sz w:val="22"/>
              </w:rPr>
              <w:t>رضایت آگاهانه (بدون رضایت)</w:t>
            </w:r>
          </w:p>
        </w:tc>
        <w:tc>
          <w:tcPr>
            <w:tcW w:type="dxa" w:w="2740"/>
          </w:tcPr>
          <w:p>
            <w:pPr>
              <w:bidi w:val="1"/>
              <w:jc w:val="center"/>
            </w:pPr>
            <w:r/>
            <w:r>
              <w:rPr>
                <w:rFonts w:ascii="Cambria" w:hAnsi="Cambria" w:cs="Cambria"/>
                <w:b w:val="0"/>
                <w:sz w:val="22"/>
              </w:rPr>
              <w:t>۸</w:t>
            </w:r>
          </w:p>
        </w:tc>
        <w:tc>
          <w:tcPr>
            <w:tcW w:type="dxa" w:w="2740"/>
          </w:tcPr>
          <w:p>
            <w:pPr>
              <w:bidi w:val="1"/>
              <w:jc w:val="center"/>
            </w:pPr>
            <w:r/>
            <w:r>
              <w:rPr>
                <w:rFonts w:ascii="Cambria" w:hAnsi="Cambria" w:cs="Cambria"/>
                <w:b w:val="0"/>
                <w:sz w:val="22"/>
              </w:rPr>
              <w:t>۲۳۵</w:t>
            </w:r>
          </w:p>
        </w:tc>
      </w:tr>
      <w:tr>
        <w:tc>
          <w:tcPr>
            <w:tcW w:type="dxa" w:w="2740"/>
          </w:tcPr>
          <w:p>
            <w:pPr>
              <w:bidi w:val="1"/>
              <w:jc w:val="center"/>
            </w:pPr>
            <w:r/>
            <w:r>
              <w:rPr>
                <w:rFonts w:ascii="Cambria" w:hAnsi="Cambria" w:cs="Cambria"/>
                <w:b w:val="0"/>
                <w:sz w:val="22"/>
              </w:rPr>
              <w:t>غربالگری ورود (سن/معامله‌گر واقعی/سابقه)</w:t>
            </w:r>
          </w:p>
        </w:tc>
        <w:tc>
          <w:tcPr>
            <w:tcW w:type="dxa" w:w="2740"/>
          </w:tcPr>
          <w:p>
            <w:pPr>
              <w:bidi w:val="1"/>
              <w:jc w:val="center"/>
            </w:pPr>
            <w:r/>
            <w:r>
              <w:rPr>
                <w:rFonts w:ascii="Cambria" w:hAnsi="Cambria" w:cs="Cambria"/>
                <w:b w:val="0"/>
                <w:sz w:val="22"/>
              </w:rPr>
              <w:t>۱۰</w:t>
            </w:r>
          </w:p>
        </w:tc>
        <w:tc>
          <w:tcPr>
            <w:tcW w:type="dxa" w:w="2740"/>
          </w:tcPr>
          <w:p>
            <w:pPr>
              <w:bidi w:val="1"/>
              <w:jc w:val="center"/>
            </w:pPr>
            <w:r/>
            <w:r>
              <w:rPr>
                <w:rFonts w:ascii="Cambria" w:hAnsi="Cambria" w:cs="Cambria"/>
                <w:b w:val="0"/>
                <w:sz w:val="22"/>
              </w:rPr>
              <w:t>۲۲۵</w:t>
            </w:r>
          </w:p>
        </w:tc>
      </w:tr>
      <w:tr>
        <w:tc>
          <w:tcPr>
            <w:tcW w:type="dxa" w:w="2740"/>
          </w:tcPr>
          <w:p>
            <w:pPr>
              <w:bidi w:val="1"/>
              <w:jc w:val="center"/>
            </w:pPr>
            <w:r/>
            <w:r>
              <w:rPr>
                <w:rFonts w:ascii="Cambria" w:hAnsi="Cambria" w:cs="Cambria"/>
                <w:b w:val="0"/>
                <w:sz w:val="22"/>
              </w:rPr>
              <w:t>ناقص‌بودن (بیش از ۳۰٪ بی‌پاسخ)</w:t>
            </w:r>
          </w:p>
        </w:tc>
        <w:tc>
          <w:tcPr>
            <w:tcW w:type="dxa" w:w="2740"/>
          </w:tcPr>
          <w:p>
            <w:pPr>
              <w:bidi w:val="1"/>
              <w:jc w:val="center"/>
            </w:pPr>
            <w:r/>
            <w:r>
              <w:rPr>
                <w:rFonts w:ascii="Cambria" w:hAnsi="Cambria" w:cs="Cambria"/>
                <w:b w:val="0"/>
                <w:sz w:val="22"/>
              </w:rPr>
              <w:t>۱۷</w:t>
            </w:r>
          </w:p>
        </w:tc>
        <w:tc>
          <w:tcPr>
            <w:tcW w:type="dxa" w:w="2740"/>
          </w:tcPr>
          <w:p>
            <w:pPr>
              <w:bidi w:val="1"/>
              <w:jc w:val="center"/>
            </w:pPr>
            <w:r/>
            <w:r>
              <w:rPr>
                <w:rFonts w:ascii="Cambria" w:hAnsi="Cambria" w:cs="Cambria"/>
                <w:b w:val="0"/>
                <w:sz w:val="22"/>
              </w:rPr>
              <w:t>۲۰۸</w:t>
            </w:r>
          </w:p>
        </w:tc>
      </w:tr>
      <w:tr>
        <w:tc>
          <w:tcPr>
            <w:tcW w:type="dxa" w:w="2740"/>
          </w:tcPr>
          <w:p>
            <w:pPr>
              <w:bidi w:val="1"/>
              <w:jc w:val="center"/>
            </w:pPr>
            <w:r/>
            <w:r>
              <w:rPr>
                <w:rFonts w:ascii="Cambria" w:hAnsi="Cambria" w:cs="Cambria"/>
                <w:b w:val="0"/>
                <w:sz w:val="22"/>
              </w:rPr>
              <w:t>الگوی ثابت پاسخ (واریانس صفر)</w:t>
            </w:r>
          </w:p>
        </w:tc>
        <w:tc>
          <w:tcPr>
            <w:tcW w:type="dxa" w:w="2740"/>
          </w:tcPr>
          <w:p>
            <w:pPr>
              <w:bidi w:val="1"/>
              <w:jc w:val="center"/>
            </w:pPr>
            <w:r/>
            <w:r>
              <w:rPr>
                <w:rFonts w:ascii="Cambria" w:hAnsi="Cambria" w:cs="Cambria"/>
                <w:b w:val="0"/>
                <w:sz w:val="22"/>
              </w:rPr>
              <w:t>۱۱</w:t>
            </w:r>
          </w:p>
        </w:tc>
        <w:tc>
          <w:tcPr>
            <w:tcW w:type="dxa" w:w="2740"/>
          </w:tcPr>
          <w:p>
            <w:pPr>
              <w:bidi w:val="1"/>
              <w:jc w:val="center"/>
            </w:pPr>
            <w:r/>
            <w:r>
              <w:rPr>
                <w:rFonts w:ascii="Cambria" w:hAnsi="Cambria" w:cs="Cambria"/>
                <w:b w:val="0"/>
                <w:sz w:val="22"/>
              </w:rPr>
              <w:t>۱۹۷</w:t>
            </w:r>
          </w:p>
        </w:tc>
      </w:tr>
      <w:tr>
        <w:tc>
          <w:tcPr>
            <w:tcW w:type="dxa" w:w="2740"/>
          </w:tcPr>
          <w:p>
            <w:pPr>
              <w:bidi w:val="1"/>
              <w:jc w:val="center"/>
            </w:pPr>
            <w:r/>
            <w:r>
              <w:rPr>
                <w:rFonts w:ascii="Cambria" w:hAnsi="Cambria" w:cs="Cambria"/>
                <w:b w:val="0"/>
                <w:sz w:val="22"/>
              </w:rPr>
              <w:t>زمان نامتعارف کوتاه (کمتر از ۱۲۰ ثانیه)</w:t>
            </w:r>
          </w:p>
        </w:tc>
        <w:tc>
          <w:tcPr>
            <w:tcW w:type="dxa" w:w="2740"/>
          </w:tcPr>
          <w:p>
            <w:pPr>
              <w:bidi w:val="1"/>
              <w:jc w:val="center"/>
            </w:pPr>
            <w:r/>
            <w:r>
              <w:rPr>
                <w:rFonts w:ascii="Cambria" w:hAnsi="Cambria" w:cs="Cambria"/>
                <w:b w:val="0"/>
                <w:sz w:val="22"/>
              </w:rPr>
              <w:t>۹</w:t>
            </w:r>
          </w:p>
        </w:tc>
        <w:tc>
          <w:tcPr>
            <w:tcW w:type="dxa" w:w="2740"/>
          </w:tcPr>
          <w:p>
            <w:pPr>
              <w:bidi w:val="1"/>
              <w:jc w:val="center"/>
            </w:pPr>
            <w:r/>
            <w:r>
              <w:rPr>
                <w:rFonts w:ascii="Cambria" w:hAnsi="Cambria" w:cs="Cambria"/>
                <w:b w:val="0"/>
                <w:sz w:val="22"/>
              </w:rPr>
              <w:t>۱۸۸</w:t>
            </w:r>
          </w:p>
        </w:tc>
      </w:tr>
      <w:tr>
        <w:tc>
          <w:tcPr>
            <w:tcW w:type="dxa" w:w="2740"/>
          </w:tcPr>
          <w:p>
            <w:pPr>
              <w:bidi w:val="1"/>
              <w:jc w:val="center"/>
            </w:pPr>
            <w:r/>
            <w:r>
              <w:rPr>
                <w:rFonts w:ascii="Cambria" w:hAnsi="Cambria" w:cs="Cambria"/>
                <w:b w:val="0"/>
                <w:sz w:val="22"/>
              </w:rPr>
              <w:t>تکراری (بردار پاسخ یکسان)</w:t>
            </w:r>
          </w:p>
        </w:tc>
        <w:tc>
          <w:tcPr>
            <w:tcW w:type="dxa" w:w="2740"/>
          </w:tcPr>
          <w:p>
            <w:pPr>
              <w:bidi w:val="1"/>
              <w:jc w:val="center"/>
            </w:pPr>
            <w:r/>
            <w:r>
              <w:rPr>
                <w:rFonts w:ascii="Cambria" w:hAnsi="Cambria" w:cs="Cambria"/>
                <w:b w:val="0"/>
                <w:sz w:val="22"/>
              </w:rPr>
              <w:t>۳</w:t>
            </w:r>
          </w:p>
        </w:tc>
        <w:tc>
          <w:tcPr>
            <w:tcW w:type="dxa" w:w="2740"/>
          </w:tcPr>
          <w:p>
            <w:pPr>
              <w:bidi w:val="1"/>
              <w:jc w:val="center"/>
            </w:pPr>
            <w:r/>
            <w:r>
              <w:rPr>
                <w:rFonts w:ascii="Cambria" w:hAnsi="Cambria" w:cs="Cambria"/>
                <w:b w:val="0"/>
                <w:sz w:val="22"/>
              </w:rPr>
              <w:t>۱۸۵</w:t>
            </w:r>
          </w:p>
        </w:tc>
      </w:tr>
      <w:tr>
        <w:tc>
          <w:tcPr>
            <w:tcW w:type="dxa" w:w="2740"/>
          </w:tcPr>
          <w:p>
            <w:pPr>
              <w:bidi w:val="1"/>
              <w:jc w:val="center"/>
            </w:pPr>
            <w:r/>
            <w:r>
              <w:rPr>
                <w:rFonts w:ascii="Cambria" w:hAnsi="Cambria" w:cs="Cambria"/>
                <w:b w:val="0"/>
                <w:sz w:val="22"/>
              </w:rPr>
              <w:t>نمونهٔ نهایی معتبر</w:t>
            </w:r>
          </w:p>
        </w:tc>
        <w:tc>
          <w:tcPr>
            <w:tcW w:type="dxa" w:w="2740"/>
          </w:tcPr>
          <w:p>
            <w:pPr>
              <w:jc w:val="center"/>
            </w:pPr>
            <w:r/>
            <w:r>
              <w:rPr>
                <w:rFonts w:ascii="Cambria" w:hAnsi="Cambria" w:cs="Cambria"/>
                <w:b w:val="0"/>
                <w:sz w:val="22"/>
              </w:rPr>
              <w:t>—</w:t>
            </w:r>
          </w:p>
        </w:tc>
        <w:tc>
          <w:tcPr>
            <w:tcW w:type="dxa" w:w="2740"/>
          </w:tcPr>
          <w:p>
            <w:pPr>
              <w:bidi w:val="1"/>
              <w:jc w:val="center"/>
            </w:pPr>
            <w:r/>
            <w:r>
              <w:rPr>
                <w:rFonts w:ascii="Cambria" w:hAnsi="Cambria" w:cs="Cambria"/>
                <w:b w:val="0"/>
                <w:sz w:val="22"/>
              </w:rPr>
              <w:t>۱۸۵</w:t>
            </w:r>
          </w:p>
        </w:tc>
      </w:tr>
    </w:tbl>
    <w:p>
      <w:pPr>
        <w:bidi w:val="1"/>
        <w:spacing w:lineRule="exact" w:line="580" w:after="0"/>
        <w:jc w:val="both"/>
      </w:pPr>
      <w:r>
        <w:rPr>
          <w:rFonts w:ascii="B Nazanin" w:hAnsi="B Nazanin" w:cs="B Nazanin" w:hint="cs"/>
          <w:sz w:val="24"/>
          <w:szCs w:val="24"/>
          <w:rtl/>
          <w:lang w:bidi="fa-IR"/>
        </w:rPr>
        <w:t xml:space="preserve">پس از اعمال هر شش مرحله، ۱۸۵ پاسخ معتبر باقی ماند (۷۶٫۱ درصد پاسخ‌های خام) و ۵۸ پاسخ حذف شد (۲۳٫۹ درصد). زمان تکمیل فرم در نمونه نهایی معتبر، میانه‌ای برابر ۹۱۲ ثانیه (حدود ۱۵ دقیقه) با میانگین ۱۰۲۰ ثانیه و انحراف معیار ۴۴۳ ثانیه داشت؛ چارک اول و سوم به‌ترتیب ۶۹۰ و ۱۲۴۴ ثانیه و دامنه مشاهده‌شده ۳۰۰ تا ۲۸۷۵ ثانیه بود. این توزیع با برآورد ۱۵ تا ۲۰ دقیقه‌ای مدت‌زمان تکمیل فرم سازگار است. به دلیل اجباری‌بودن همه سؤالات فرم، در نمونه نهایی هیچ داده گمشده‌ای در گویه‌های ابزارها باقی نماند و تحلیل‌ها به روش حذف موردی روی نمونه کامل ۱۸۵ نفری انجام شد. همچنین بررسی سازگاری نشان داد که در نمونه نهایی هیچ پاسخ‌دهنده‌ای زیر ۱۸ سال، با سابقه کمتر از ۶ ماه، یا با گزارش صفر معامله در ۶ ماهه اخیر وجود ندارد.</w:t>
      </w:r>
    </w:p>
    <w:p>
      <w:pPr>
        <w:pStyle w:val="Heading2"/>
        <w:bidi w:val="1"/>
        <w:jc w:val="right"/>
        <w:outlineLvl w:val="1"/>
      </w:pPr>
      <w:r>
        <w:rPr>
          <w:rFonts w:ascii="B Nazanin" w:hAnsi="B Nazanin" w:cs="B Nazanin" w:hint="cs"/>
          <w:b/>
          <w:bCs/>
          <w:sz w:val="28"/>
          <w:szCs w:val="28"/>
          <w:rtl/>
          <w:lang w:bidi="fa-IR"/>
        </w:rPr>
        <w:t xml:space="preserve">۴-۳. ویژگی‌های جمعیت‌شناختی و معاملاتی نمونه</w:t>
      </w:r>
    </w:p>
    <w:p>
      <w:pPr>
        <w:bidi w:val="1"/>
        <w:spacing w:lineRule="exact" w:line="580" w:after="0"/>
        <w:jc w:val="both"/>
      </w:pPr>
      <w:r>
        <w:rPr>
          <w:rFonts w:ascii="B Nazanin" w:hAnsi="B Nazanin" w:cs="B Nazanin" w:hint="cs"/>
          <w:sz w:val="24"/>
          <w:szCs w:val="24"/>
          <w:rtl/>
          <w:lang w:bidi="fa-IR"/>
        </w:rPr>
        <w:t xml:space="preserve">میانگین سنی نمونه نهایی ۳۶٫۳ سال با انحراف معیار ۹٫۴ سال بود (دامنه ۲۱ تا ۶۱ سال) و بیشترین تراکم سنی در دهه چهارم زندگی دیده شد. از نظر جنسیت، ۱۲۳ نفر (۶۶٫۵ درصد) مرد، ۵۸ نفر (۳۱٫۴ درصد) زن و ۴ نفر (۲٫۲ درصد) بدون اظهار نظر بودند. وضعیت تأهل نمونه تقریباً به دو نیمه مساوی مجرد (۸۳ نفر، ۴۴٫۹ درصد) و متاهل (۸۲ نفر، ۴۴٫۳ درصد) تقسیم شد و ۲۰ نفر (۱۰٫۸ درصد) در گروه مطلقه/سایر قرار گرفتند. سطح تحصیلات غالب، لیسانس (۷۴ نفر، ۴۰٫۰ درصد) و فوق‌لیسانس (۴۲ نفر، ۲۲٫۷ درصد) بود و پس از آن‌ها دیپلم (۲۰٫۰ درصد)، فوق‌دیپلم (۱۰٫۳ درصد)، دکتری (۵٫۴ درصد) و زیر دیپلم (۱٫۶ درصد) قرار گرفتند. از نظر اشتغال، بیش از نیمی از نمونه کارمند (۹۴ نفر، ۵۰٫۸ درصد) و بیش از یک‌سوم دارای مشاغل آزاد (۶۷ نفر، ۳۶٫۲ درصد) بودند. جدول ۴-۲ توزیع ویژگی‌های جمعیت‌شناختی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ویژگی‌های جمعیت‌شناختی نمونه نهایی</w:t>
      </w:r>
    </w:p>
    <w:p>
      <w:pPr>
        <w:bidi/>
      </w:pPr>
      <w:r>
        <w:rPr>
          <w:vanish/>
          <w:rFonts w:ascii="B Nazanin" w:hAnsi="B Nazanin"/>
        </w:rPr>
        <w:fldChar w:fldCharType="begin"/>
      </w:r>
      <w:r>
        <w:rPr>
          <w:vanish/>
          <w:rFonts w:ascii="B Nazanin" w:hAnsi="B Nazanin"/>
        </w:rPr>
        <w:instrText>TC "جدول ۴-۲. توزیع ویژگی‌های جمعیت‌شناختی نمونه نهایی"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Cambria" w:hAnsi="Cambria" w:cs="Cambria"/>
                <w:b/>
                <w:sz w:val="22"/>
              </w:rPr>
              <w:t>متغیر</w:t>
            </w:r>
          </w:p>
        </w:tc>
        <w:tc>
          <w:tcPr>
            <w:tcW w:type="dxa" w:w="2055"/>
            <w:tcBorders>
              <w:bottom w:val="single" w:sz="12" w:space="0" w:color="000000"/>
            </w:tcBorders>
          </w:tcPr>
          <w:p>
            <w:pPr>
              <w:bidi w:val="1"/>
              <w:jc w:val="center"/>
            </w:pPr>
            <w:r/>
            <w:r>
              <w:rPr>
                <w:rFonts w:ascii="Cambria" w:hAnsi="Cambria" w:cs="Cambria"/>
                <w:b/>
                <w:sz w:val="22"/>
              </w:rPr>
              <w:t>سطح</w:t>
            </w:r>
          </w:p>
        </w:tc>
        <w:tc>
          <w:tcPr>
            <w:tcW w:type="dxa" w:w="2055"/>
            <w:tcBorders>
              <w:bottom w:val="single" w:sz="12" w:space="0" w:color="000000"/>
            </w:tcBorders>
          </w:tcPr>
          <w:p>
            <w:pPr>
              <w:bidi w:val="1"/>
              <w:jc w:val="center"/>
            </w:pPr>
            <w:r/>
            <w:r>
              <w:rPr>
                <w:rFonts w:ascii="Cambria" w:hAnsi="Cambria" w:cs="Cambria"/>
                <w:b/>
                <w:sz w:val="22"/>
              </w:rPr>
              <w:t>تعداد</w:t>
            </w:r>
          </w:p>
        </w:tc>
        <w:tc>
          <w:tcPr>
            <w:tcW w:type="dxa" w:w="2055"/>
            <w:tcBorders>
              <w:bottom w:val="single" w:sz="12" w:space="0" w:color="000000"/>
            </w:tcBorders>
          </w:tcPr>
          <w:p>
            <w:pPr>
              <w:bidi w:val="1"/>
              <w:jc w:val="center"/>
            </w:pPr>
            <w:r/>
            <w:r>
              <w:rPr>
                <w:rFonts w:ascii="Cambria" w:hAnsi="Cambria" w:cs="Cambria"/>
                <w:b/>
                <w:sz w:val="22"/>
              </w:rPr>
              <w:t>درصد</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۱۸ تا ۲۹</w:t>
            </w:r>
          </w:p>
        </w:tc>
        <w:tc>
          <w:tcPr>
            <w:tcW w:type="dxa" w:w="2055"/>
          </w:tcPr>
          <w:p>
            <w:pPr>
              <w:bidi w:val="1"/>
              <w:jc w:val="center"/>
            </w:pPr>
            <w:r/>
            <w:r>
              <w:rPr>
                <w:rFonts w:ascii="Cambria" w:hAnsi="Cambria" w:cs="Cambria"/>
                <w:b w:val="0"/>
                <w:sz w:val="22"/>
              </w:rPr>
              <w:t>۵۲</w:t>
            </w:r>
          </w:p>
        </w:tc>
        <w:tc>
          <w:tcPr>
            <w:tcW w:type="dxa" w:w="2055"/>
          </w:tcPr>
          <w:p>
            <w:pPr>
              <w:bidi w:val="1"/>
              <w:jc w:val="center"/>
            </w:pPr>
            <w:r/>
            <w:r>
              <w:rPr>
                <w:rFonts w:ascii="Cambria" w:hAnsi="Cambria" w:cs="Cambria"/>
                <w:b w:val="0"/>
                <w:sz w:val="22"/>
              </w:rPr>
              <w:t>۲۸٫۱۱</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۳۰ تا ۳۹</w:t>
            </w:r>
          </w:p>
        </w:tc>
        <w:tc>
          <w:tcPr>
            <w:tcW w:type="dxa" w:w="2055"/>
          </w:tcPr>
          <w:p>
            <w:pPr>
              <w:bidi w:val="1"/>
              <w:jc w:val="center"/>
            </w:pPr>
            <w:r/>
            <w:r>
              <w:rPr>
                <w:rFonts w:ascii="Cambria" w:hAnsi="Cambria" w:cs="Cambria"/>
                <w:b w:val="0"/>
                <w:sz w:val="22"/>
              </w:rPr>
              <w:t>۶۸</w:t>
            </w:r>
          </w:p>
        </w:tc>
        <w:tc>
          <w:tcPr>
            <w:tcW w:type="dxa" w:w="2055"/>
          </w:tcPr>
          <w:p>
            <w:pPr>
              <w:bidi w:val="1"/>
              <w:jc w:val="center"/>
            </w:pPr>
            <w:r/>
            <w:r>
              <w:rPr>
                <w:rFonts w:ascii="Cambria" w:hAnsi="Cambria" w:cs="Cambria"/>
                <w:b w:val="0"/>
                <w:sz w:val="22"/>
              </w:rPr>
              <w:t>۳۶٫۷۶</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۴۰ تا ۴۹</w:t>
            </w:r>
          </w:p>
        </w:tc>
        <w:tc>
          <w:tcPr>
            <w:tcW w:type="dxa" w:w="2055"/>
          </w:tcPr>
          <w:p>
            <w:pPr>
              <w:bidi w:val="1"/>
              <w:jc w:val="center"/>
            </w:pPr>
            <w:r/>
            <w:r>
              <w:rPr>
                <w:rFonts w:ascii="Cambria" w:hAnsi="Cambria" w:cs="Cambria"/>
                <w:b w:val="0"/>
                <w:sz w:val="22"/>
              </w:rPr>
              <w:t>۴۳</w:t>
            </w:r>
          </w:p>
        </w:tc>
        <w:tc>
          <w:tcPr>
            <w:tcW w:type="dxa" w:w="2055"/>
          </w:tcPr>
          <w:p>
            <w:pPr>
              <w:bidi w:val="1"/>
              <w:jc w:val="center"/>
            </w:pPr>
            <w:r/>
            <w:r>
              <w:rPr>
                <w:rFonts w:ascii="Cambria" w:hAnsi="Cambria" w:cs="Cambria"/>
                <w:b w:val="0"/>
                <w:sz w:val="22"/>
              </w:rPr>
              <w:t>۲۳٫۲۴</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۵۰ به بالا</w:t>
            </w:r>
          </w:p>
        </w:tc>
        <w:tc>
          <w:tcPr>
            <w:tcW w:type="dxa" w:w="2055"/>
          </w:tcPr>
          <w:p>
            <w:pPr>
              <w:bidi w:val="1"/>
              <w:jc w:val="center"/>
            </w:pPr>
            <w:r/>
            <w:r>
              <w:rPr>
                <w:rFonts w:ascii="Cambria" w:hAnsi="Cambria" w:cs="Cambria"/>
                <w:b w:val="0"/>
                <w:sz w:val="22"/>
              </w:rPr>
              <w:t>۲۲</w:t>
            </w:r>
          </w:p>
        </w:tc>
        <w:tc>
          <w:tcPr>
            <w:tcW w:type="dxa" w:w="2055"/>
          </w:tcPr>
          <w:p>
            <w:pPr>
              <w:bidi w:val="1"/>
              <w:jc w:val="center"/>
            </w:pPr>
            <w:r/>
            <w:r>
              <w:rPr>
                <w:rFonts w:ascii="Cambria" w:hAnsi="Cambria" w:cs="Cambria"/>
                <w:b w:val="0"/>
                <w:sz w:val="22"/>
              </w:rPr>
              <w:t>۱۱٫۸۹</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زن</w:t>
            </w:r>
          </w:p>
        </w:tc>
        <w:tc>
          <w:tcPr>
            <w:tcW w:type="dxa" w:w="2055"/>
          </w:tcPr>
          <w:p>
            <w:pPr>
              <w:bidi w:val="1"/>
              <w:jc w:val="center"/>
            </w:pPr>
            <w:r/>
            <w:r>
              <w:rPr>
                <w:rFonts w:ascii="Cambria" w:hAnsi="Cambria" w:cs="Cambria"/>
                <w:b w:val="0"/>
                <w:sz w:val="22"/>
              </w:rPr>
              <w:t>۵۸</w:t>
            </w:r>
          </w:p>
        </w:tc>
        <w:tc>
          <w:tcPr>
            <w:tcW w:type="dxa" w:w="2055"/>
          </w:tcPr>
          <w:p>
            <w:pPr>
              <w:bidi w:val="1"/>
              <w:jc w:val="center"/>
            </w:pPr>
            <w:r/>
            <w:r>
              <w:rPr>
                <w:rFonts w:ascii="Cambria" w:hAnsi="Cambria" w:cs="Cambria"/>
                <w:b w:val="0"/>
                <w:sz w:val="22"/>
              </w:rPr>
              <w:t>۳۱٫۳۵</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مرد</w:t>
            </w:r>
          </w:p>
        </w:tc>
        <w:tc>
          <w:tcPr>
            <w:tcW w:type="dxa" w:w="2055"/>
          </w:tcPr>
          <w:p>
            <w:pPr>
              <w:bidi w:val="1"/>
              <w:jc w:val="center"/>
            </w:pPr>
            <w:r/>
            <w:r>
              <w:rPr>
                <w:rFonts w:ascii="Cambria" w:hAnsi="Cambria" w:cs="Cambria"/>
                <w:b w:val="0"/>
                <w:sz w:val="22"/>
              </w:rPr>
              <w:t>۱۲۳</w:t>
            </w:r>
          </w:p>
        </w:tc>
        <w:tc>
          <w:tcPr>
            <w:tcW w:type="dxa" w:w="2055"/>
          </w:tcPr>
          <w:p>
            <w:pPr>
              <w:bidi w:val="1"/>
              <w:jc w:val="center"/>
            </w:pPr>
            <w:r/>
            <w:r>
              <w:rPr>
                <w:rFonts w:ascii="Cambria" w:hAnsi="Cambria" w:cs="Cambria"/>
                <w:b w:val="0"/>
                <w:sz w:val="22"/>
              </w:rPr>
              <w:t>۶۶٫۴۹</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ترجیح می‌دهم پاسخ ندهم</w:t>
            </w:r>
          </w:p>
        </w:tc>
        <w:tc>
          <w:tcPr>
            <w:tcW w:type="dxa" w:w="2055"/>
          </w:tcPr>
          <w:p>
            <w:pPr>
              <w:bidi w:val="1"/>
              <w:jc w:val="center"/>
            </w:pPr>
            <w:r/>
            <w:r>
              <w:rPr>
                <w:rFonts w:ascii="Cambria" w:hAnsi="Cambria" w:cs="Cambria"/>
                <w:b w:val="0"/>
                <w:sz w:val="22"/>
              </w:rPr>
              <w:t>۴</w:t>
            </w:r>
          </w:p>
        </w:tc>
        <w:tc>
          <w:tcPr>
            <w:tcW w:type="dxa" w:w="2055"/>
          </w:tcPr>
          <w:p>
            <w:pPr>
              <w:bidi w:val="1"/>
              <w:jc w:val="center"/>
            </w:pPr>
            <w:r/>
            <w:r>
              <w:rPr>
                <w:rFonts w:ascii="Cambria" w:hAnsi="Cambria" w:cs="Cambria"/>
                <w:b w:val="0"/>
                <w:sz w:val="22"/>
              </w:rPr>
              <w:t>۲٫۱۶</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مجرد</w:t>
            </w:r>
          </w:p>
        </w:tc>
        <w:tc>
          <w:tcPr>
            <w:tcW w:type="dxa" w:w="2055"/>
          </w:tcPr>
          <w:p>
            <w:pPr>
              <w:bidi w:val="1"/>
              <w:jc w:val="center"/>
            </w:pPr>
            <w:r/>
            <w:r>
              <w:rPr>
                <w:rFonts w:ascii="Cambria" w:hAnsi="Cambria" w:cs="Cambria"/>
                <w:b w:val="0"/>
                <w:sz w:val="22"/>
              </w:rPr>
              <w:t>۸۳</w:t>
            </w:r>
          </w:p>
        </w:tc>
        <w:tc>
          <w:tcPr>
            <w:tcW w:type="dxa" w:w="2055"/>
          </w:tcPr>
          <w:p>
            <w:pPr>
              <w:bidi w:val="1"/>
              <w:jc w:val="center"/>
            </w:pPr>
            <w:r/>
            <w:r>
              <w:rPr>
                <w:rFonts w:ascii="Cambria" w:hAnsi="Cambria" w:cs="Cambria"/>
                <w:b w:val="0"/>
                <w:sz w:val="22"/>
              </w:rPr>
              <w:t>۴۴٫۸۶</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متاهل</w:t>
            </w:r>
          </w:p>
        </w:tc>
        <w:tc>
          <w:tcPr>
            <w:tcW w:type="dxa" w:w="2055"/>
          </w:tcPr>
          <w:p>
            <w:pPr>
              <w:bidi w:val="1"/>
              <w:jc w:val="center"/>
            </w:pPr>
            <w:r/>
            <w:r>
              <w:rPr>
                <w:rFonts w:ascii="Cambria" w:hAnsi="Cambria" w:cs="Cambria"/>
                <w:b w:val="0"/>
                <w:sz w:val="22"/>
              </w:rPr>
              <w:t>۸۲</w:t>
            </w:r>
          </w:p>
        </w:tc>
        <w:tc>
          <w:tcPr>
            <w:tcW w:type="dxa" w:w="2055"/>
          </w:tcPr>
          <w:p>
            <w:pPr>
              <w:bidi w:val="1"/>
              <w:jc w:val="center"/>
            </w:pPr>
            <w:r/>
            <w:r>
              <w:rPr>
                <w:rFonts w:ascii="Cambria" w:hAnsi="Cambria" w:cs="Cambria"/>
                <w:b w:val="0"/>
                <w:sz w:val="22"/>
              </w:rPr>
              <w:t>۴۴٫۳۲</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مطلقه/سایر</w:t>
            </w:r>
          </w:p>
        </w:tc>
        <w:tc>
          <w:tcPr>
            <w:tcW w:type="dxa" w:w="2055"/>
          </w:tcPr>
          <w:p>
            <w:pPr>
              <w:bidi w:val="1"/>
              <w:jc w:val="center"/>
            </w:pPr>
            <w:r/>
            <w:r>
              <w:rPr>
                <w:rFonts w:ascii="Cambria" w:hAnsi="Cambria" w:cs="Cambria"/>
                <w:b w:val="0"/>
                <w:sz w:val="22"/>
              </w:rPr>
              <w:t>۲۰</w:t>
            </w:r>
          </w:p>
        </w:tc>
        <w:tc>
          <w:tcPr>
            <w:tcW w:type="dxa" w:w="2055"/>
          </w:tcPr>
          <w:p>
            <w:pPr>
              <w:bidi w:val="1"/>
              <w:jc w:val="center"/>
            </w:pPr>
            <w:r/>
            <w:r>
              <w:rPr>
                <w:rFonts w:ascii="Cambria" w:hAnsi="Cambria" w:cs="Cambria"/>
                <w:b w:val="0"/>
                <w:sz w:val="22"/>
              </w:rPr>
              <w:t>۱۰٫۸۱</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زیر دیپلم</w:t>
            </w:r>
          </w:p>
        </w:tc>
        <w:tc>
          <w:tcPr>
            <w:tcW w:type="dxa" w:w="2055"/>
          </w:tcPr>
          <w:p>
            <w:pPr>
              <w:bidi w:val="1"/>
              <w:jc w:val="center"/>
            </w:pPr>
            <w:r/>
            <w:r>
              <w:rPr>
                <w:rFonts w:ascii="Cambria" w:hAnsi="Cambria" w:cs="Cambria"/>
                <w:b w:val="0"/>
                <w:sz w:val="22"/>
              </w:rPr>
              <w:t>۳</w:t>
            </w:r>
          </w:p>
        </w:tc>
        <w:tc>
          <w:tcPr>
            <w:tcW w:type="dxa" w:w="2055"/>
          </w:tcPr>
          <w:p>
            <w:pPr>
              <w:bidi w:val="1"/>
              <w:jc w:val="center"/>
            </w:pPr>
            <w:r/>
            <w:r>
              <w:rPr>
                <w:rFonts w:ascii="Cambria" w:hAnsi="Cambria" w:cs="Cambria"/>
                <w:b w:val="0"/>
                <w:sz w:val="22"/>
              </w:rPr>
              <w:t>۱٫۶۲</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دیپلم</w:t>
            </w:r>
          </w:p>
        </w:tc>
        <w:tc>
          <w:tcPr>
            <w:tcW w:type="dxa" w:w="2055"/>
          </w:tcPr>
          <w:p>
            <w:pPr>
              <w:bidi w:val="1"/>
              <w:jc w:val="center"/>
            </w:pPr>
            <w:r/>
            <w:r>
              <w:rPr>
                <w:rFonts w:ascii="Cambria" w:hAnsi="Cambria" w:cs="Cambria"/>
                <w:b w:val="0"/>
                <w:sz w:val="22"/>
              </w:rPr>
              <w:t>۳۷</w:t>
            </w:r>
          </w:p>
        </w:tc>
        <w:tc>
          <w:tcPr>
            <w:tcW w:type="dxa" w:w="2055"/>
          </w:tcPr>
          <w:p>
            <w:pPr>
              <w:bidi w:val="1"/>
              <w:jc w:val="center"/>
            </w:pPr>
            <w:r/>
            <w:r>
              <w:rPr>
                <w:rFonts w:ascii="Cambria" w:hAnsi="Cambria" w:cs="Cambria"/>
                <w:b w:val="0"/>
                <w:sz w:val="22"/>
              </w:rPr>
              <w:t>۲۰٫۰۰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فوق دیپلم</w:t>
            </w:r>
          </w:p>
        </w:tc>
        <w:tc>
          <w:tcPr>
            <w:tcW w:type="dxa" w:w="2055"/>
          </w:tcPr>
          <w:p>
            <w:pPr>
              <w:bidi w:val="1"/>
              <w:jc w:val="center"/>
            </w:pPr>
            <w:r/>
            <w:r>
              <w:rPr>
                <w:rFonts w:ascii="Cambria" w:hAnsi="Cambria" w:cs="Cambria"/>
                <w:b w:val="0"/>
                <w:sz w:val="22"/>
              </w:rPr>
              <w:t>۱۹</w:t>
            </w:r>
          </w:p>
        </w:tc>
        <w:tc>
          <w:tcPr>
            <w:tcW w:type="dxa" w:w="2055"/>
          </w:tcPr>
          <w:p>
            <w:pPr>
              <w:bidi w:val="1"/>
              <w:jc w:val="center"/>
            </w:pPr>
            <w:r/>
            <w:r>
              <w:rPr>
                <w:rFonts w:ascii="Cambria" w:hAnsi="Cambria" w:cs="Cambria"/>
                <w:b w:val="0"/>
                <w:sz w:val="22"/>
              </w:rPr>
              <w:t>۱۰٫۲۷</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لیسانس</w:t>
            </w:r>
          </w:p>
        </w:tc>
        <w:tc>
          <w:tcPr>
            <w:tcW w:type="dxa" w:w="2055"/>
          </w:tcPr>
          <w:p>
            <w:pPr>
              <w:bidi w:val="1"/>
              <w:jc w:val="center"/>
            </w:pPr>
            <w:r/>
            <w:r>
              <w:rPr>
                <w:rFonts w:ascii="Cambria" w:hAnsi="Cambria" w:cs="Cambria"/>
                <w:b w:val="0"/>
                <w:sz w:val="22"/>
              </w:rPr>
              <w:t>۷۴</w:t>
            </w:r>
          </w:p>
        </w:tc>
        <w:tc>
          <w:tcPr>
            <w:tcW w:type="dxa" w:w="2055"/>
          </w:tcPr>
          <w:p>
            <w:pPr>
              <w:bidi w:val="1"/>
              <w:jc w:val="center"/>
            </w:pPr>
            <w:r/>
            <w:r>
              <w:rPr>
                <w:rFonts w:ascii="Cambria" w:hAnsi="Cambria" w:cs="Cambria"/>
                <w:b w:val="0"/>
                <w:sz w:val="22"/>
              </w:rPr>
              <w:t>۴۰٫۰۰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فوق لیسانس</w:t>
            </w:r>
          </w:p>
        </w:tc>
        <w:tc>
          <w:tcPr>
            <w:tcW w:type="dxa" w:w="2055"/>
          </w:tcPr>
          <w:p>
            <w:pPr>
              <w:bidi w:val="1"/>
              <w:jc w:val="center"/>
            </w:pPr>
            <w:r/>
            <w:r>
              <w:rPr>
                <w:rFonts w:ascii="Cambria" w:hAnsi="Cambria" w:cs="Cambria"/>
                <w:b w:val="0"/>
                <w:sz w:val="22"/>
              </w:rPr>
              <w:t>۴۲</w:t>
            </w:r>
          </w:p>
        </w:tc>
        <w:tc>
          <w:tcPr>
            <w:tcW w:type="dxa" w:w="2055"/>
          </w:tcPr>
          <w:p>
            <w:pPr>
              <w:bidi w:val="1"/>
              <w:jc w:val="center"/>
            </w:pPr>
            <w:r/>
            <w:r>
              <w:rPr>
                <w:rFonts w:ascii="Cambria" w:hAnsi="Cambria" w:cs="Cambria"/>
                <w:b w:val="0"/>
                <w:sz w:val="22"/>
              </w:rPr>
              <w:t>۲۲٫۷۰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دکتری</w:t>
            </w:r>
          </w:p>
        </w:tc>
        <w:tc>
          <w:tcPr>
            <w:tcW w:type="dxa" w:w="2055"/>
          </w:tcPr>
          <w:p>
            <w:pPr>
              <w:bidi w:val="1"/>
              <w:jc w:val="center"/>
            </w:pPr>
            <w:r/>
            <w:r>
              <w:rPr>
                <w:rFonts w:ascii="Cambria" w:hAnsi="Cambria" w:cs="Cambria"/>
                <w:b w:val="0"/>
                <w:sz w:val="22"/>
              </w:rPr>
              <w:t>۱۰</w:t>
            </w:r>
          </w:p>
        </w:tc>
        <w:tc>
          <w:tcPr>
            <w:tcW w:type="dxa" w:w="2055"/>
          </w:tcPr>
          <w:p>
            <w:pPr>
              <w:bidi w:val="1"/>
              <w:jc w:val="center"/>
            </w:pPr>
            <w:r/>
            <w:r>
              <w:rPr>
                <w:rFonts w:ascii="Cambria" w:hAnsi="Cambria" w:cs="Cambria"/>
                <w:b w:val="0"/>
                <w:sz w:val="22"/>
              </w:rPr>
              <w:t>۵٫۴۱</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خانه‌دار</w:t>
            </w:r>
          </w:p>
        </w:tc>
        <w:tc>
          <w:tcPr>
            <w:tcW w:type="dxa" w:w="2055"/>
          </w:tcPr>
          <w:p>
            <w:pPr>
              <w:bidi w:val="1"/>
              <w:jc w:val="center"/>
            </w:pPr>
            <w:r/>
            <w:r>
              <w:rPr>
                <w:rFonts w:ascii="Cambria" w:hAnsi="Cambria" w:cs="Cambria"/>
                <w:b w:val="0"/>
                <w:sz w:val="22"/>
              </w:rPr>
              <w:t>۹</w:t>
            </w:r>
          </w:p>
        </w:tc>
        <w:tc>
          <w:tcPr>
            <w:tcW w:type="dxa" w:w="2055"/>
          </w:tcPr>
          <w:p>
            <w:pPr>
              <w:bidi w:val="1"/>
              <w:jc w:val="center"/>
            </w:pPr>
            <w:r/>
            <w:r>
              <w:rPr>
                <w:rFonts w:ascii="Cambria" w:hAnsi="Cambria" w:cs="Cambria"/>
                <w:b w:val="0"/>
                <w:sz w:val="22"/>
              </w:rPr>
              <w:t>۴٫۸۶</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کارمند</w:t>
            </w:r>
          </w:p>
        </w:tc>
        <w:tc>
          <w:tcPr>
            <w:tcW w:type="dxa" w:w="2055"/>
          </w:tcPr>
          <w:p>
            <w:pPr>
              <w:bidi w:val="1"/>
              <w:jc w:val="center"/>
            </w:pPr>
            <w:r/>
            <w:r>
              <w:rPr>
                <w:rFonts w:ascii="Cambria" w:hAnsi="Cambria" w:cs="Cambria"/>
                <w:b w:val="0"/>
                <w:sz w:val="22"/>
              </w:rPr>
              <w:t>۹۴</w:t>
            </w:r>
          </w:p>
        </w:tc>
        <w:tc>
          <w:tcPr>
            <w:tcW w:type="dxa" w:w="2055"/>
          </w:tcPr>
          <w:p>
            <w:pPr>
              <w:bidi w:val="1"/>
              <w:jc w:val="center"/>
            </w:pPr>
            <w:r/>
            <w:r>
              <w:rPr>
                <w:rFonts w:ascii="Cambria" w:hAnsi="Cambria" w:cs="Cambria"/>
                <w:b w:val="0"/>
                <w:sz w:val="22"/>
              </w:rPr>
              <w:t>۵۰٫۸۱</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مشاغل آزاد</w:t>
            </w:r>
          </w:p>
        </w:tc>
        <w:tc>
          <w:tcPr>
            <w:tcW w:type="dxa" w:w="2055"/>
          </w:tcPr>
          <w:p>
            <w:pPr>
              <w:bidi w:val="1"/>
              <w:jc w:val="center"/>
            </w:pPr>
            <w:r/>
            <w:r>
              <w:rPr>
                <w:rFonts w:ascii="Cambria" w:hAnsi="Cambria" w:cs="Cambria"/>
                <w:b w:val="0"/>
                <w:sz w:val="22"/>
              </w:rPr>
              <w:t>۶۷</w:t>
            </w:r>
          </w:p>
        </w:tc>
        <w:tc>
          <w:tcPr>
            <w:tcW w:type="dxa" w:w="2055"/>
          </w:tcPr>
          <w:p>
            <w:pPr>
              <w:bidi w:val="1"/>
              <w:jc w:val="center"/>
            </w:pPr>
            <w:r/>
            <w:r>
              <w:rPr>
                <w:rFonts w:ascii="Cambria" w:hAnsi="Cambria" w:cs="Cambria"/>
                <w:b w:val="0"/>
                <w:sz w:val="22"/>
              </w:rPr>
              <w:t>۳۶٫۲۲</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سایر</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bl>
    <w:p>
      <w:pPr>
        <w:bidi w:val="1"/>
        <w:spacing w:lineRule="exact" w:line="580" w:after="0"/>
        <w:jc w:val="both"/>
      </w:pPr>
      <w:r>
        <w:rPr>
          <w:rFonts w:ascii="B Nazanin" w:hAnsi="B Nazanin" w:cs="B Nazanin" w:hint="cs"/>
          <w:sz w:val="24"/>
          <w:szCs w:val="24"/>
          <w:rtl/>
          <w:lang w:bidi="fa-IR"/>
        </w:rPr>
        <w:t xml:space="preserve">از نظر ویژگی‌های معاملاتی، بازار اصلی فعالیت ۷۹ نفر (۴۲٫۷ درصد) بورس، ۴۸ نفر (۲۶٫۰ درصد) رمزارز و ۳۱ نفر (۱۶٫۸ درصد) فارکس بود و بقیه در بازارهای طلا و ارز، کالا و سایر بازارها فعالیت می‌کردند. میانگین سابقه معامله‌گری ۴۲٫۸ ماه (حدود ۳٫۶ سال) با انحراف معیار ۲۵٫۹ ماه بود (دامنه ۹ تا ۱۷۳ ماه) و بیشترین تراکم در بازه ۱۲ تا ۳۵ ماه دیده شد. تعداد معاملات واقعی ۶ ماهه اخیر در ۶۵ نفر (۳۵٫۱ درصد) بین ۱ تا ۱۰ معامله، در ۷۹ نفر (۴۲٫۷ درصد) بین ۱۰ تا ۵۰ معامله و در ۴۱ نفر (۲۲٫۲ درصد) ۵۰ معامله به بالا بود. سرمایه تقریبی نیز پراکندگی متوازنی داشت: کمتر از ۵۰ میلیون تومان (۲۶٫۵ درصد)، ۵۰ تا ۲۰۰ میلیون تومان (۲۷٫۰ درصد)، ۲۰۰ تا ۵۰۰ میلیون تومان (۲۰٫۰ درصد)، ۵۰۰ میلیون تا ۱ میلیارد تومان (۱۵٫۷ درصد) و بیش از ۱ میلیارد تومان (۸٫۱ درصد). جدول ۴-۳ توزیع ویژگی‌های معاملاتی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توزیع ویژگی‌های معاملاتی نمونه نهایی</w:t>
      </w:r>
    </w:p>
    <w:p>
      <w:pPr>
        <w:bidi/>
      </w:pPr>
      <w:r>
        <w:rPr>
          <w:vanish/>
          <w:rFonts w:ascii="B Nazanin" w:hAnsi="B Nazanin"/>
        </w:rPr>
        <w:fldChar w:fldCharType="begin"/>
      </w:r>
      <w:r>
        <w:rPr>
          <w:vanish/>
          <w:rFonts w:ascii="B Nazanin" w:hAnsi="B Nazanin"/>
        </w:rPr>
        <w:instrText>TC "جدول ۴-۳. توزیع ویژگی‌های معاملاتی نمونه نهایی"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Cambria" w:hAnsi="Cambria" w:cs="Cambria"/>
                <w:b/>
                <w:sz w:val="22"/>
              </w:rPr>
              <w:t>متغیر</w:t>
            </w:r>
          </w:p>
        </w:tc>
        <w:tc>
          <w:tcPr>
            <w:tcW w:type="dxa" w:w="2055"/>
            <w:tcBorders>
              <w:bottom w:val="single" w:sz="12" w:space="0" w:color="000000"/>
            </w:tcBorders>
          </w:tcPr>
          <w:p>
            <w:pPr>
              <w:bidi w:val="1"/>
              <w:jc w:val="center"/>
            </w:pPr>
            <w:r/>
            <w:r>
              <w:rPr>
                <w:rFonts w:ascii="Cambria" w:hAnsi="Cambria" w:cs="Cambria"/>
                <w:b/>
                <w:sz w:val="22"/>
              </w:rPr>
              <w:t>سطح</w:t>
            </w:r>
          </w:p>
        </w:tc>
        <w:tc>
          <w:tcPr>
            <w:tcW w:type="dxa" w:w="2055"/>
            <w:tcBorders>
              <w:bottom w:val="single" w:sz="12" w:space="0" w:color="000000"/>
            </w:tcBorders>
          </w:tcPr>
          <w:p>
            <w:pPr>
              <w:bidi w:val="1"/>
              <w:jc w:val="center"/>
            </w:pPr>
            <w:r/>
            <w:r>
              <w:rPr>
                <w:rFonts w:ascii="Cambria" w:hAnsi="Cambria" w:cs="Cambria"/>
                <w:b/>
                <w:sz w:val="22"/>
              </w:rPr>
              <w:t>تعداد</w:t>
            </w:r>
          </w:p>
        </w:tc>
        <w:tc>
          <w:tcPr>
            <w:tcW w:type="dxa" w:w="2055"/>
            <w:tcBorders>
              <w:bottom w:val="single" w:sz="12" w:space="0" w:color="000000"/>
            </w:tcBorders>
          </w:tcPr>
          <w:p>
            <w:pPr>
              <w:bidi w:val="1"/>
              <w:jc w:val="center"/>
            </w:pPr>
            <w:r/>
            <w:r>
              <w:rPr>
                <w:rFonts w:ascii="Cambria" w:hAnsi="Cambria" w:cs="Cambria"/>
                <w:b/>
                <w:sz w:val="22"/>
              </w:rPr>
              <w:t>درصد</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بورس</w:t>
            </w:r>
          </w:p>
        </w:tc>
        <w:tc>
          <w:tcPr>
            <w:tcW w:type="dxa" w:w="2055"/>
          </w:tcPr>
          <w:p>
            <w:pPr>
              <w:bidi w:val="1"/>
              <w:jc w:val="center"/>
            </w:pPr>
            <w:r/>
            <w:r>
              <w:rPr>
                <w:rFonts w:ascii="Cambria" w:hAnsi="Cambria" w:cs="Cambria"/>
                <w:b w:val="0"/>
                <w:sz w:val="22"/>
              </w:rPr>
              <w:t>۷۹</w:t>
            </w:r>
          </w:p>
        </w:tc>
        <w:tc>
          <w:tcPr>
            <w:tcW w:type="dxa" w:w="2055"/>
          </w:tcPr>
          <w:p>
            <w:pPr>
              <w:bidi w:val="1"/>
              <w:jc w:val="center"/>
            </w:pPr>
            <w:r/>
            <w:r>
              <w:rPr>
                <w:rFonts w:ascii="Cambria" w:hAnsi="Cambria" w:cs="Cambria"/>
                <w:b w:val="0"/>
                <w:sz w:val="22"/>
              </w:rPr>
              <w:t>۴۲٫۷۰</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رمزارز</w:t>
            </w:r>
          </w:p>
        </w:tc>
        <w:tc>
          <w:tcPr>
            <w:tcW w:type="dxa" w:w="2055"/>
          </w:tcPr>
          <w:p>
            <w:pPr>
              <w:bidi w:val="1"/>
              <w:jc w:val="center"/>
            </w:pPr>
            <w:r/>
            <w:r>
              <w:rPr>
                <w:rFonts w:ascii="Cambria" w:hAnsi="Cambria" w:cs="Cambria"/>
                <w:b w:val="0"/>
                <w:sz w:val="22"/>
              </w:rPr>
              <w:t>۴۸</w:t>
            </w:r>
          </w:p>
        </w:tc>
        <w:tc>
          <w:tcPr>
            <w:tcW w:type="dxa" w:w="2055"/>
          </w:tcPr>
          <w:p>
            <w:pPr>
              <w:bidi w:val="1"/>
              <w:jc w:val="center"/>
            </w:pPr>
            <w:r/>
            <w:r>
              <w:rPr>
                <w:rFonts w:ascii="Cambria" w:hAnsi="Cambria" w:cs="Cambria"/>
                <w:b w:val="0"/>
                <w:sz w:val="22"/>
              </w:rPr>
              <w:t>۲۵٫۹۵</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فارکس</w:t>
            </w:r>
          </w:p>
        </w:tc>
        <w:tc>
          <w:tcPr>
            <w:tcW w:type="dxa" w:w="2055"/>
          </w:tcPr>
          <w:p>
            <w:pPr>
              <w:bidi w:val="1"/>
              <w:jc w:val="center"/>
            </w:pPr>
            <w:r/>
            <w:r>
              <w:rPr>
                <w:rFonts w:ascii="Cambria" w:hAnsi="Cambria" w:cs="Cambria"/>
                <w:b w:val="0"/>
                <w:sz w:val="22"/>
              </w:rPr>
              <w:t>۳۱</w:t>
            </w:r>
          </w:p>
        </w:tc>
        <w:tc>
          <w:tcPr>
            <w:tcW w:type="dxa" w:w="2055"/>
          </w:tcPr>
          <w:p>
            <w:pPr>
              <w:bidi w:val="1"/>
              <w:jc w:val="center"/>
            </w:pPr>
            <w:r/>
            <w:r>
              <w:rPr>
                <w:rFonts w:ascii="Cambria" w:hAnsi="Cambria" w:cs="Cambria"/>
                <w:b w:val="0"/>
                <w:sz w:val="22"/>
              </w:rPr>
              <w:t>۱۶٫۷۶</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طلا و ارز</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کالا</w:t>
            </w:r>
          </w:p>
        </w:tc>
        <w:tc>
          <w:tcPr>
            <w:tcW w:type="dxa" w:w="2055"/>
          </w:tcPr>
          <w:p>
            <w:pPr>
              <w:bidi w:val="1"/>
              <w:jc w:val="center"/>
            </w:pPr>
            <w:r/>
            <w:r>
              <w:rPr>
                <w:rFonts w:ascii="Cambria" w:hAnsi="Cambria" w:cs="Cambria"/>
                <w:b w:val="0"/>
                <w:sz w:val="22"/>
              </w:rPr>
              <w:t>۴</w:t>
            </w:r>
          </w:p>
        </w:tc>
        <w:tc>
          <w:tcPr>
            <w:tcW w:type="dxa" w:w="2055"/>
          </w:tcPr>
          <w:p>
            <w:pPr>
              <w:bidi w:val="1"/>
              <w:jc w:val="center"/>
            </w:pPr>
            <w:r/>
            <w:r>
              <w:rPr>
                <w:rFonts w:ascii="Cambria" w:hAnsi="Cambria" w:cs="Cambria"/>
                <w:b w:val="0"/>
                <w:sz w:val="22"/>
              </w:rPr>
              <w:t>۲٫۱۶</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سایر</w:t>
            </w:r>
          </w:p>
        </w:tc>
        <w:tc>
          <w:tcPr>
            <w:tcW w:type="dxa" w:w="2055"/>
          </w:tcPr>
          <w:p>
            <w:pPr>
              <w:bidi w:val="1"/>
              <w:jc w:val="center"/>
            </w:pPr>
            <w:r/>
            <w:r>
              <w:rPr>
                <w:rFonts w:ascii="Cambria" w:hAnsi="Cambria" w:cs="Cambria"/>
                <w:b w:val="0"/>
                <w:sz w:val="22"/>
              </w:rPr>
              <w:t>۸</w:t>
            </w:r>
          </w:p>
        </w:tc>
        <w:tc>
          <w:tcPr>
            <w:tcW w:type="dxa" w:w="2055"/>
          </w:tcPr>
          <w:p>
            <w:pPr>
              <w:bidi w:val="1"/>
              <w:jc w:val="center"/>
            </w:pPr>
            <w:r/>
            <w:r>
              <w:rPr>
                <w:rFonts w:ascii="Cambria" w:hAnsi="Cambria" w:cs="Cambria"/>
                <w:b w:val="0"/>
                <w:sz w:val="22"/>
              </w:rPr>
              <w:t>۴٫۳۲</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۶ تا ۱۱</w:t>
            </w:r>
          </w:p>
        </w:tc>
        <w:tc>
          <w:tcPr>
            <w:tcW w:type="dxa" w:w="2055"/>
          </w:tcPr>
          <w:p>
            <w:pPr>
              <w:bidi w:val="1"/>
              <w:jc w:val="center"/>
            </w:pPr>
            <w:r/>
            <w:r>
              <w:rPr>
                <w:rFonts w:ascii="Cambria" w:hAnsi="Cambria" w:cs="Cambria"/>
                <w:b w:val="0"/>
                <w:sz w:val="22"/>
              </w:rPr>
              <w:t>۵</w:t>
            </w:r>
          </w:p>
        </w:tc>
        <w:tc>
          <w:tcPr>
            <w:tcW w:type="dxa" w:w="2055"/>
          </w:tcPr>
          <w:p>
            <w:pPr>
              <w:bidi w:val="1"/>
              <w:jc w:val="center"/>
            </w:pPr>
            <w:r/>
            <w:r>
              <w:rPr>
                <w:rFonts w:ascii="Cambria" w:hAnsi="Cambria" w:cs="Cambria"/>
                <w:b w:val="0"/>
                <w:sz w:val="22"/>
              </w:rPr>
              <w:t>۲٫۷۰</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۱۲ تا ۳۵</w:t>
            </w:r>
          </w:p>
        </w:tc>
        <w:tc>
          <w:tcPr>
            <w:tcW w:type="dxa" w:w="2055"/>
          </w:tcPr>
          <w:p>
            <w:pPr>
              <w:bidi w:val="1"/>
              <w:jc w:val="center"/>
            </w:pPr>
            <w:r/>
            <w:r>
              <w:rPr>
                <w:rFonts w:ascii="Cambria" w:hAnsi="Cambria" w:cs="Cambria"/>
                <w:b w:val="0"/>
                <w:sz w:val="22"/>
              </w:rPr>
              <w:t>۸۴</w:t>
            </w:r>
          </w:p>
        </w:tc>
        <w:tc>
          <w:tcPr>
            <w:tcW w:type="dxa" w:w="2055"/>
          </w:tcPr>
          <w:p>
            <w:pPr>
              <w:bidi w:val="1"/>
              <w:jc w:val="center"/>
            </w:pPr>
            <w:r/>
            <w:r>
              <w:rPr>
                <w:rFonts w:ascii="Cambria" w:hAnsi="Cambria" w:cs="Cambria"/>
                <w:b w:val="0"/>
                <w:sz w:val="22"/>
              </w:rPr>
              <w:t>۴۵٫۴۱</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۳۶ تا ۷۱</w:t>
            </w:r>
          </w:p>
        </w:tc>
        <w:tc>
          <w:tcPr>
            <w:tcW w:type="dxa" w:w="2055"/>
          </w:tcPr>
          <w:p>
            <w:pPr>
              <w:bidi w:val="1"/>
              <w:jc w:val="center"/>
            </w:pPr>
            <w:r/>
            <w:r>
              <w:rPr>
                <w:rFonts w:ascii="Cambria" w:hAnsi="Cambria" w:cs="Cambria"/>
                <w:b w:val="0"/>
                <w:sz w:val="22"/>
              </w:rPr>
              <w:t>۷۲</w:t>
            </w:r>
          </w:p>
        </w:tc>
        <w:tc>
          <w:tcPr>
            <w:tcW w:type="dxa" w:w="2055"/>
          </w:tcPr>
          <w:p>
            <w:pPr>
              <w:bidi w:val="1"/>
              <w:jc w:val="center"/>
            </w:pPr>
            <w:r/>
            <w:r>
              <w:rPr>
                <w:rFonts w:ascii="Cambria" w:hAnsi="Cambria" w:cs="Cambria"/>
                <w:b w:val="0"/>
                <w:sz w:val="22"/>
              </w:rPr>
              <w:t>۳۸٫۹۲</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۷۲ به بالا</w:t>
            </w:r>
          </w:p>
        </w:tc>
        <w:tc>
          <w:tcPr>
            <w:tcW w:type="dxa" w:w="2055"/>
          </w:tcPr>
          <w:p>
            <w:pPr>
              <w:bidi w:val="1"/>
              <w:jc w:val="center"/>
            </w:pPr>
            <w:r/>
            <w:r>
              <w:rPr>
                <w:rFonts w:ascii="Cambria" w:hAnsi="Cambria" w:cs="Cambria"/>
                <w:b w:val="0"/>
                <w:sz w:val="22"/>
              </w:rPr>
              <w:t>۲۴</w:t>
            </w:r>
          </w:p>
        </w:tc>
        <w:tc>
          <w:tcPr>
            <w:tcW w:type="dxa" w:w="2055"/>
          </w:tcPr>
          <w:p>
            <w:pPr>
              <w:bidi w:val="1"/>
              <w:jc w:val="center"/>
            </w:pPr>
            <w:r/>
            <w:r>
              <w:rPr>
                <w:rFonts w:ascii="Cambria" w:hAnsi="Cambria" w:cs="Cambria"/>
                <w:b w:val="0"/>
                <w:sz w:val="22"/>
              </w:rPr>
              <w:t>۱۲٫۹۷</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۱ الی ۱۰ معامله</w:t>
            </w:r>
          </w:p>
        </w:tc>
        <w:tc>
          <w:tcPr>
            <w:tcW w:type="dxa" w:w="2055"/>
          </w:tcPr>
          <w:p>
            <w:pPr>
              <w:bidi w:val="1"/>
              <w:jc w:val="center"/>
            </w:pPr>
            <w:r/>
            <w:r>
              <w:rPr>
                <w:rFonts w:ascii="Cambria" w:hAnsi="Cambria" w:cs="Cambria"/>
                <w:b w:val="0"/>
                <w:sz w:val="22"/>
              </w:rPr>
              <w:t>۶۵</w:t>
            </w:r>
          </w:p>
        </w:tc>
        <w:tc>
          <w:tcPr>
            <w:tcW w:type="dxa" w:w="2055"/>
          </w:tcPr>
          <w:p>
            <w:pPr>
              <w:bidi w:val="1"/>
              <w:jc w:val="center"/>
            </w:pPr>
            <w:r/>
            <w:r>
              <w:rPr>
                <w:rFonts w:ascii="Cambria" w:hAnsi="Cambria" w:cs="Cambria"/>
                <w:b w:val="0"/>
                <w:sz w:val="22"/>
              </w:rPr>
              <w:t>۳۵٫۱۴</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۱۰ الی ۵۰</w:t>
            </w:r>
          </w:p>
        </w:tc>
        <w:tc>
          <w:tcPr>
            <w:tcW w:type="dxa" w:w="2055"/>
          </w:tcPr>
          <w:p>
            <w:pPr>
              <w:bidi w:val="1"/>
              <w:jc w:val="center"/>
            </w:pPr>
            <w:r/>
            <w:r>
              <w:rPr>
                <w:rFonts w:ascii="Cambria" w:hAnsi="Cambria" w:cs="Cambria"/>
                <w:b w:val="0"/>
                <w:sz w:val="22"/>
              </w:rPr>
              <w:t>۷۹</w:t>
            </w:r>
          </w:p>
        </w:tc>
        <w:tc>
          <w:tcPr>
            <w:tcW w:type="dxa" w:w="2055"/>
          </w:tcPr>
          <w:p>
            <w:pPr>
              <w:bidi w:val="1"/>
              <w:jc w:val="center"/>
            </w:pPr>
            <w:r/>
            <w:r>
              <w:rPr>
                <w:rFonts w:ascii="Cambria" w:hAnsi="Cambria" w:cs="Cambria"/>
                <w:b w:val="0"/>
                <w:sz w:val="22"/>
              </w:rPr>
              <w:t>۴۲٫۷۰</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۵۰ به بالا</w:t>
            </w:r>
          </w:p>
        </w:tc>
        <w:tc>
          <w:tcPr>
            <w:tcW w:type="dxa" w:w="2055"/>
          </w:tcPr>
          <w:p>
            <w:pPr>
              <w:bidi w:val="1"/>
              <w:jc w:val="center"/>
            </w:pPr>
            <w:r/>
            <w:r>
              <w:rPr>
                <w:rFonts w:ascii="Cambria" w:hAnsi="Cambria" w:cs="Cambria"/>
                <w:b w:val="0"/>
                <w:sz w:val="22"/>
              </w:rPr>
              <w:t>۴۱</w:t>
            </w:r>
          </w:p>
        </w:tc>
        <w:tc>
          <w:tcPr>
            <w:tcW w:type="dxa" w:w="2055"/>
          </w:tcPr>
          <w:p>
            <w:pPr>
              <w:bidi w:val="1"/>
              <w:jc w:val="center"/>
            </w:pPr>
            <w:r/>
            <w:r>
              <w:rPr>
                <w:rFonts w:ascii="Cambria" w:hAnsi="Cambria" w:cs="Cambria"/>
                <w:b w:val="0"/>
                <w:sz w:val="22"/>
              </w:rPr>
              <w:t>۲۲٫۱۶</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کمتر از ۵۰ میلیون تومان</w:t>
            </w:r>
          </w:p>
        </w:tc>
        <w:tc>
          <w:tcPr>
            <w:tcW w:type="dxa" w:w="2055"/>
          </w:tcPr>
          <w:p>
            <w:pPr>
              <w:bidi w:val="1"/>
              <w:jc w:val="center"/>
            </w:pPr>
            <w:r/>
            <w:r>
              <w:rPr>
                <w:rFonts w:ascii="Cambria" w:hAnsi="Cambria" w:cs="Cambria"/>
                <w:b w:val="0"/>
                <w:sz w:val="22"/>
              </w:rPr>
              <w:t>۴۹</w:t>
            </w:r>
          </w:p>
        </w:tc>
        <w:tc>
          <w:tcPr>
            <w:tcW w:type="dxa" w:w="2055"/>
          </w:tcPr>
          <w:p>
            <w:pPr>
              <w:bidi w:val="1"/>
              <w:jc w:val="center"/>
            </w:pPr>
            <w:r/>
            <w:r>
              <w:rPr>
                <w:rFonts w:ascii="Cambria" w:hAnsi="Cambria" w:cs="Cambria"/>
                <w:b w:val="0"/>
                <w:sz w:val="22"/>
              </w:rPr>
              <w:t>۲۶٫۴۹</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۵۰ تا ۲۰۰ میلیون تومان</w:t>
            </w:r>
          </w:p>
        </w:tc>
        <w:tc>
          <w:tcPr>
            <w:tcW w:type="dxa" w:w="2055"/>
          </w:tcPr>
          <w:p>
            <w:pPr>
              <w:bidi w:val="1"/>
              <w:jc w:val="center"/>
            </w:pPr>
            <w:r/>
            <w:r>
              <w:rPr>
                <w:rFonts w:ascii="Cambria" w:hAnsi="Cambria" w:cs="Cambria"/>
                <w:b w:val="0"/>
                <w:sz w:val="22"/>
              </w:rPr>
              <w:t>۵۰</w:t>
            </w:r>
          </w:p>
        </w:tc>
        <w:tc>
          <w:tcPr>
            <w:tcW w:type="dxa" w:w="2055"/>
          </w:tcPr>
          <w:p>
            <w:pPr>
              <w:bidi w:val="1"/>
              <w:jc w:val="center"/>
            </w:pPr>
            <w:r/>
            <w:r>
              <w:rPr>
                <w:rFonts w:ascii="Cambria" w:hAnsi="Cambria" w:cs="Cambria"/>
                <w:b w:val="0"/>
                <w:sz w:val="22"/>
              </w:rPr>
              <w:t>۲۷٫۰۳</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۲۰۰ تا ۵۰۰ میلیون تومان</w:t>
            </w:r>
          </w:p>
        </w:tc>
        <w:tc>
          <w:tcPr>
            <w:tcW w:type="dxa" w:w="2055"/>
          </w:tcPr>
          <w:p>
            <w:pPr>
              <w:bidi w:val="1"/>
              <w:jc w:val="center"/>
            </w:pPr>
            <w:r/>
            <w:r>
              <w:rPr>
                <w:rFonts w:ascii="Cambria" w:hAnsi="Cambria" w:cs="Cambria"/>
                <w:b w:val="0"/>
                <w:sz w:val="22"/>
              </w:rPr>
              <w:t>۳۷</w:t>
            </w:r>
          </w:p>
        </w:tc>
        <w:tc>
          <w:tcPr>
            <w:tcW w:type="dxa" w:w="2055"/>
          </w:tcPr>
          <w:p>
            <w:pPr>
              <w:bidi w:val="1"/>
              <w:jc w:val="center"/>
            </w:pPr>
            <w:r/>
            <w:r>
              <w:rPr>
                <w:rFonts w:ascii="Cambria" w:hAnsi="Cambria" w:cs="Cambria"/>
                <w:b w:val="0"/>
                <w:sz w:val="22"/>
              </w:rPr>
              <w:t>۲۰٫۰۰</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۵۰۰ میلیون تا ۱ میلیارد تومان</w:t>
            </w:r>
          </w:p>
        </w:tc>
        <w:tc>
          <w:tcPr>
            <w:tcW w:type="dxa" w:w="2055"/>
          </w:tcPr>
          <w:p>
            <w:pPr>
              <w:bidi w:val="1"/>
              <w:jc w:val="center"/>
            </w:pPr>
            <w:r/>
            <w:r>
              <w:rPr>
                <w:rFonts w:ascii="Cambria" w:hAnsi="Cambria" w:cs="Cambria"/>
                <w:b w:val="0"/>
                <w:sz w:val="22"/>
              </w:rPr>
              <w:t>۲۹</w:t>
            </w:r>
          </w:p>
        </w:tc>
        <w:tc>
          <w:tcPr>
            <w:tcW w:type="dxa" w:w="2055"/>
          </w:tcPr>
          <w:p>
            <w:pPr>
              <w:bidi w:val="1"/>
              <w:jc w:val="center"/>
            </w:pPr>
            <w:r/>
            <w:r>
              <w:rPr>
                <w:rFonts w:ascii="Cambria" w:hAnsi="Cambria" w:cs="Cambria"/>
                <w:b w:val="0"/>
                <w:sz w:val="22"/>
              </w:rPr>
              <w:t>۱۵٫۶۸</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بیش از ۱ میلیارد تومان</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ترجیح می‌دهم پاسخ ندهم</w:t>
            </w:r>
          </w:p>
        </w:tc>
        <w:tc>
          <w:tcPr>
            <w:tcW w:type="dxa" w:w="2055"/>
          </w:tcPr>
          <w:p>
            <w:pPr>
              <w:bidi w:val="1"/>
              <w:jc w:val="center"/>
            </w:pPr>
            <w:r/>
            <w:r>
              <w:rPr>
                <w:rFonts w:ascii="Cambria" w:hAnsi="Cambria" w:cs="Cambria"/>
                <w:b w:val="0"/>
                <w:sz w:val="22"/>
              </w:rPr>
              <w:t>۵</w:t>
            </w:r>
          </w:p>
        </w:tc>
        <w:tc>
          <w:tcPr>
            <w:tcW w:type="dxa" w:w="2055"/>
          </w:tcPr>
          <w:p>
            <w:pPr>
              <w:bidi w:val="1"/>
              <w:jc w:val="center"/>
            </w:pPr>
            <w:r/>
            <w:r>
              <w:rPr>
                <w:rFonts w:ascii="Cambria" w:hAnsi="Cambria" w:cs="Cambria"/>
                <w:b w:val="0"/>
                <w:sz w:val="22"/>
              </w:rPr>
              <w:t>۲٫۷۰</w:t>
            </w:r>
          </w:p>
        </w:tc>
      </w:tr>
    </w:tbl>
    <w:p>
      <w:pPr>
        <w:pStyle w:val="Heading2"/>
        <w:bidi w:val="1"/>
        <w:jc w:val="right"/>
        <w:outlineLvl w:val="1"/>
      </w:pPr>
      <w:r>
        <w:rPr>
          <w:rFonts w:ascii="B Nazanin" w:hAnsi="B Nazanin" w:cs="B Nazanin" w:hint="cs"/>
          <w:b/>
          <w:bCs/>
          <w:sz w:val="28"/>
          <w:szCs w:val="28"/>
          <w:rtl/>
          <w:lang w:bidi="fa-IR"/>
        </w:rPr>
        <w:t xml:space="preserve">۴-۴. شاخص‌های توصیفی متغیرهای اصلی پژوهش</w:t>
      </w:r>
    </w:p>
    <w:p>
      <w:pPr>
        <w:bidi w:val="1"/>
        <w:spacing w:lineRule="exact" w:line="580" w:after="0"/>
        <w:jc w:val="both"/>
      </w:pPr>
      <w:r>
        <w:rPr>
          <w:rFonts w:ascii="B Nazanin" w:hAnsi="B Nazanin" w:cs="B Nazanin" w:hint="cs"/>
          <w:sz w:val="24"/>
          <w:szCs w:val="24"/>
          <w:rtl/>
          <w:lang w:bidi="fa-IR"/>
        </w:rPr>
        <w:t xml:space="preserve">نمره‌گذاری ابزارها بر اساس کلید نهایی هر مقیاس انجام شد. در فرم اضطراب صفتی اسپیلبرگر، ۸ گویه به‌صورت معکوس نمره‌گذاری شدند (گویه‌های ۱، ۶، ۷، ۱۰، ۱۳، ۱۴، ۱۶ و ۱۹) و نمره کل در دامنه ۲۰ تا ۸۰ محاسبه شد. در فرم کوتاه یانگ، هیچ گویه‌ای معکوس نبود؛ نمره هر یک از ۱۵ طرحواره از مجموع ۵ گویه پیاپی آن در دامنه ۵ تا ۳۰ و نمره کل طرحواره‌ها از مجموع هر ۷۵ گویه در دامنه ۷۵ تا ۴۵۰ به دست آمد. در مقیاس تحمل ریسک گرابل و لایتون، سؤال اول معکوس و سؤال سیزدهم با الگوی اختصاصی خود نمره‌گذاری شد و نمره کل ۱۳ سؤالی در دامنه ۱۳ تا ۵۲ قرار گرفت. متغیر پیامد پژوهش (رفتارهای مالی پرخطر) با همین مقیاس سنجیده شد و نمره بالاتر به معنای تحمل ریسک بیشتر و تمایل بالاتر به رفتار پرخطر است. جدول ۴-۴ شاخص‌های توصیفی نمره‌های کل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شاخص‌های توصیفی نمره‌های کل</w:t>
      </w:r>
    </w:p>
    <w:p>
      <w:pPr>
        <w:bidi/>
      </w:pPr>
      <w:r>
        <w:rPr>
          <w:vanish/>
          <w:rFonts w:ascii="B Nazanin" w:hAnsi="B Nazanin"/>
        </w:rPr>
        <w:fldChar w:fldCharType="begin"/>
      </w:r>
      <w:r>
        <w:rPr>
          <w:vanish/>
          <w:rFonts w:ascii="B Nazanin" w:hAnsi="B Nazanin"/>
        </w:rPr>
        <w:instrText>TC "جدول ۴-۴. شاخص‌های توصیفی نمره‌های کل"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913"/>
        <w:gridCol w:w="913"/>
        <w:gridCol w:w="913"/>
        <w:gridCol w:w="913"/>
        <w:gridCol w:w="913"/>
        <w:gridCol w:w="913"/>
        <w:gridCol w:w="913"/>
        <w:gridCol w:w="913"/>
        <w:gridCol w:w="913"/>
      </w:tblGrid>
      <w:tr>
        <w:tc>
          <w:tcPr>
            <w:tcW w:type="dxa" w:w="913"/>
            <w:tcBorders>
              <w:bottom w:val="single" w:sz="12" w:space="0" w:color="000000"/>
            </w:tcBorders>
          </w:tcPr>
          <w:p>
            <w:pPr>
              <w:bidi w:val="1"/>
              <w:jc w:val="center"/>
            </w:pPr>
            <w:r/>
            <w:r>
              <w:rPr>
                <w:rFonts w:ascii="Cambria" w:hAnsi="Cambria" w:cs="Cambria"/>
                <w:b/>
                <w:sz w:val="22"/>
              </w:rPr>
              <w:t>متغیر</w:t>
            </w:r>
          </w:p>
        </w:tc>
        <w:tc>
          <w:tcPr>
            <w:tcW w:type="dxa" w:w="913"/>
            <w:tcBorders>
              <w:bottom w:val="single" w:sz="12" w:space="0" w:color="000000"/>
            </w:tcBorders>
          </w:tcPr>
          <w:p>
            <w:pPr>
              <w:bidi w:val="1"/>
              <w:jc w:val="center"/>
            </w:pPr>
            <w:r/>
            <w:r>
              <w:rPr>
                <w:rFonts w:ascii="Cambria" w:hAnsi="Cambria" w:cs="Cambria"/>
                <w:b/>
                <w:sz w:val="22"/>
              </w:rPr>
              <w:t>میانگین</w:t>
            </w:r>
          </w:p>
        </w:tc>
        <w:tc>
          <w:tcPr>
            <w:tcW w:type="dxa" w:w="913"/>
            <w:tcBorders>
              <w:bottom w:val="single" w:sz="12" w:space="0" w:color="000000"/>
            </w:tcBorders>
          </w:tcPr>
          <w:p>
            <w:pPr>
              <w:bidi w:val="1"/>
              <w:jc w:val="center"/>
            </w:pPr>
            <w:r/>
            <w:r>
              <w:rPr>
                <w:rFonts w:ascii="Cambria" w:hAnsi="Cambria" w:cs="Cambria"/>
                <w:b/>
                <w:sz w:val="22"/>
              </w:rPr>
              <w:t>انحراف معیار</w:t>
            </w:r>
          </w:p>
        </w:tc>
        <w:tc>
          <w:tcPr>
            <w:tcW w:type="dxa" w:w="913"/>
            <w:tcBorders>
              <w:bottom w:val="single" w:sz="12" w:space="0" w:color="000000"/>
            </w:tcBorders>
          </w:tcPr>
          <w:p>
            <w:pPr>
              <w:bidi w:val="1"/>
              <w:jc w:val="center"/>
            </w:pPr>
            <w:r/>
            <w:r>
              <w:rPr>
                <w:rFonts w:ascii="Cambria" w:hAnsi="Cambria" w:cs="Cambria"/>
                <w:b/>
                <w:sz w:val="22"/>
              </w:rPr>
              <w:t>کمینه</w:t>
            </w:r>
          </w:p>
        </w:tc>
        <w:tc>
          <w:tcPr>
            <w:tcW w:type="dxa" w:w="913"/>
            <w:tcBorders>
              <w:bottom w:val="single" w:sz="12" w:space="0" w:color="000000"/>
            </w:tcBorders>
          </w:tcPr>
          <w:p>
            <w:pPr>
              <w:bidi w:val="1"/>
              <w:jc w:val="center"/>
            </w:pPr>
            <w:r/>
            <w:r>
              <w:rPr>
                <w:rFonts w:ascii="Cambria" w:hAnsi="Cambria" w:cs="Cambria"/>
                <w:b/>
                <w:sz w:val="22"/>
              </w:rPr>
              <w:t>بیشینه</w:t>
            </w:r>
          </w:p>
        </w:tc>
        <w:tc>
          <w:tcPr>
            <w:tcW w:type="dxa" w:w="913"/>
            <w:tcBorders>
              <w:bottom w:val="single" w:sz="12" w:space="0" w:color="000000"/>
            </w:tcBorders>
          </w:tcPr>
          <w:p>
            <w:pPr>
              <w:bidi w:val="1"/>
              <w:jc w:val="center"/>
            </w:pPr>
            <w:r/>
            <w:r>
              <w:rPr>
                <w:rFonts w:ascii="Cambria" w:hAnsi="Cambria" w:cs="Cambria"/>
                <w:b/>
                <w:sz w:val="22"/>
              </w:rPr>
              <w:t>چولگی</w:t>
            </w:r>
          </w:p>
        </w:tc>
        <w:tc>
          <w:tcPr>
            <w:tcW w:type="dxa" w:w="913"/>
            <w:tcBorders>
              <w:bottom w:val="single" w:sz="12" w:space="0" w:color="000000"/>
            </w:tcBorders>
          </w:tcPr>
          <w:p>
            <w:pPr>
              <w:bidi w:val="1"/>
              <w:jc w:val="center"/>
            </w:pPr>
            <w:r/>
            <w:r>
              <w:rPr>
                <w:rFonts w:ascii="Cambria" w:hAnsi="Cambria" w:cs="Cambria"/>
                <w:b/>
                <w:sz w:val="22"/>
              </w:rPr>
              <w:t>کشیدگی</w:t>
            </w:r>
          </w:p>
        </w:tc>
        <w:tc>
          <w:tcPr>
            <w:tcW w:type="dxa" w:w="913"/>
            <w:tcBorders>
              <w:bottom w:val="single" w:sz="12" w:space="0" w:color="000000"/>
            </w:tcBorders>
          </w:tcPr>
          <w:p>
            <w:pPr>
              <w:bidi w:val="1"/>
              <w:jc w:val="center"/>
            </w:pPr>
            <w:r/>
            <w:r>
              <w:rPr>
                <w:rFonts w:ascii="Cambria" w:hAnsi="Cambria" w:cs="Cambria"/>
                <w:b/>
                <w:sz w:val="22"/>
              </w:rPr>
              <w:t>دامنهٔ نظری</w:t>
            </w:r>
          </w:p>
        </w:tc>
        <w:tc>
          <w:tcPr>
            <w:tcW w:type="dxa" w:w="913"/>
            <w:tcBorders>
              <w:bottom w:val="single" w:sz="12" w:space="0" w:color="000000"/>
            </w:tcBorders>
          </w:tcPr>
          <w:p>
            <w:pPr>
              <w:bidi w:val="1"/>
              <w:jc w:val="center"/>
            </w:pPr>
            <w:r/>
            <w:r>
              <w:rPr>
                <w:rFonts w:ascii="Cambria" w:hAnsi="Cambria" w:cs="Cambria"/>
                <w:b/>
                <w:sz w:val="22"/>
              </w:rPr>
              <w:t>دامنهٔ مشاهده‌شده</w:t>
            </w:r>
          </w:p>
        </w:tc>
      </w:tr>
      <w:tr>
        <w:tc>
          <w:tcPr>
            <w:tcW w:type="dxa" w:w="913"/>
          </w:tcPr>
          <w:p>
            <w:pPr>
              <w:bidi w:val="1"/>
              <w:jc w:val="center"/>
            </w:pPr>
            <w:r/>
            <w:r>
              <w:rPr>
                <w:rFonts w:ascii="Cambria" w:hAnsi="Cambria" w:cs="Cambria"/>
                <w:b w:val="0"/>
                <w:sz w:val="22"/>
              </w:rPr>
              <w:t>اضطراب صفتی</w:t>
            </w:r>
          </w:p>
        </w:tc>
        <w:tc>
          <w:tcPr>
            <w:tcW w:type="dxa" w:w="913"/>
          </w:tcPr>
          <w:p>
            <w:pPr>
              <w:bidi w:val="1"/>
              <w:jc w:val="center"/>
            </w:pPr>
            <w:r/>
            <w:r>
              <w:rPr>
                <w:rFonts w:ascii="Cambria" w:hAnsi="Cambria" w:cs="Cambria"/>
                <w:b w:val="0"/>
                <w:sz w:val="22"/>
              </w:rPr>
              <w:t>۴۵٫۳۶</w:t>
            </w:r>
          </w:p>
        </w:tc>
        <w:tc>
          <w:tcPr>
            <w:tcW w:type="dxa" w:w="913"/>
          </w:tcPr>
          <w:p>
            <w:pPr>
              <w:bidi w:val="1"/>
              <w:jc w:val="center"/>
            </w:pPr>
            <w:r/>
            <w:r>
              <w:rPr>
                <w:rFonts w:ascii="Cambria" w:hAnsi="Cambria" w:cs="Cambria"/>
                <w:b w:val="0"/>
                <w:sz w:val="22"/>
              </w:rPr>
              <w:t>۱۱٫۴۲</w:t>
            </w:r>
          </w:p>
        </w:tc>
        <w:tc>
          <w:tcPr>
            <w:tcW w:type="dxa" w:w="913"/>
          </w:tcPr>
          <w:p>
            <w:pPr>
              <w:bidi w:val="1"/>
              <w:jc w:val="center"/>
            </w:pPr>
            <w:r/>
            <w:r>
              <w:rPr>
                <w:rFonts w:ascii="Cambria" w:hAnsi="Cambria" w:cs="Cambria"/>
                <w:b w:val="0"/>
                <w:sz w:val="22"/>
              </w:rPr>
              <w:t>۲۱</w:t>
            </w:r>
          </w:p>
        </w:tc>
        <w:tc>
          <w:tcPr>
            <w:tcW w:type="dxa" w:w="913"/>
          </w:tcPr>
          <w:p>
            <w:pPr>
              <w:bidi w:val="1"/>
              <w:jc w:val="center"/>
            </w:pPr>
            <w:r/>
            <w:r>
              <w:rPr>
                <w:rFonts w:ascii="Cambria" w:hAnsi="Cambria" w:cs="Cambria"/>
                <w:b w:val="0"/>
                <w:sz w:val="22"/>
              </w:rPr>
              <w:t>۷۴</w:t>
            </w:r>
          </w:p>
        </w:tc>
        <w:tc>
          <w:tcPr>
            <w:tcW w:type="dxa" w:w="913"/>
          </w:tcPr>
          <w:p>
            <w:pPr>
              <w:bidi w:val="1"/>
              <w:jc w:val="center"/>
            </w:pPr>
            <w:r/>
            <w:r>
              <w:rPr>
                <w:rFonts w:ascii="Cambria" w:hAnsi="Cambria" w:cs="Cambria"/>
                <w:b w:val="0"/>
                <w:sz w:val="22"/>
              </w:rPr>
              <w:t>۰٫۰۶</w:t>
            </w:r>
          </w:p>
        </w:tc>
        <w:tc>
          <w:tcPr>
            <w:tcW w:type="dxa" w:w="913"/>
          </w:tcPr>
          <w:p>
            <w:pPr>
              <w:bidi w:val="1"/>
              <w:jc w:val="center"/>
            </w:pPr>
            <w:r/>
            <w:r>
              <w:rPr>
                <w:rFonts w:ascii="Cambria" w:hAnsi="Cambria" w:cs="Cambria"/>
                <w:b w:val="0"/>
                <w:sz w:val="22"/>
              </w:rPr>
              <w:t>−۰٫۸۰</w:t>
            </w:r>
          </w:p>
        </w:tc>
        <w:tc>
          <w:tcPr>
            <w:tcW w:type="dxa" w:w="913"/>
          </w:tcPr>
          <w:p>
            <w:pPr>
              <w:bidi w:val="1"/>
              <w:jc w:val="center"/>
            </w:pPr>
            <w:r/>
            <w:r>
              <w:rPr>
                <w:rFonts w:ascii="Cambria" w:hAnsi="Cambria" w:cs="Cambria"/>
                <w:b w:val="0"/>
                <w:sz w:val="22"/>
              </w:rPr>
              <w:t>۲۰ تا ۸۰</w:t>
            </w:r>
          </w:p>
        </w:tc>
        <w:tc>
          <w:tcPr>
            <w:tcW w:type="dxa" w:w="913"/>
          </w:tcPr>
          <w:p>
            <w:pPr>
              <w:bidi w:val="1"/>
              <w:jc w:val="center"/>
            </w:pPr>
            <w:r/>
            <w:r>
              <w:rPr>
                <w:rFonts w:ascii="Cambria" w:hAnsi="Cambria" w:cs="Cambria"/>
                <w:b w:val="0"/>
                <w:sz w:val="22"/>
              </w:rPr>
              <w:t>۲۱ تا ۷۴</w:t>
            </w:r>
          </w:p>
        </w:tc>
      </w:tr>
      <w:tr>
        <w:tc>
          <w:tcPr>
            <w:tcW w:type="dxa" w:w="913"/>
          </w:tcPr>
          <w:p>
            <w:pPr>
              <w:bidi w:val="1"/>
              <w:jc w:val="center"/>
            </w:pPr>
            <w:r/>
            <w:r>
              <w:rPr>
                <w:rFonts w:ascii="Cambria" w:hAnsi="Cambria" w:cs="Cambria"/>
                <w:b w:val="0"/>
                <w:sz w:val="22"/>
              </w:rPr>
              <w:t>طرحواره‌های ناسازگار اولیه (نمرهٔ کل)</w:t>
            </w:r>
          </w:p>
        </w:tc>
        <w:tc>
          <w:tcPr>
            <w:tcW w:type="dxa" w:w="913"/>
          </w:tcPr>
          <w:p>
            <w:pPr>
              <w:bidi w:val="1"/>
              <w:jc w:val="center"/>
            </w:pPr>
            <w:r/>
            <w:r>
              <w:rPr>
                <w:rFonts w:ascii="Cambria" w:hAnsi="Cambria" w:cs="Cambria"/>
                <w:b w:val="0"/>
                <w:sz w:val="22"/>
              </w:rPr>
              <w:t>۲۱۸٫۱۱</w:t>
            </w:r>
          </w:p>
        </w:tc>
        <w:tc>
          <w:tcPr>
            <w:tcW w:type="dxa" w:w="913"/>
          </w:tcPr>
          <w:p>
            <w:pPr>
              <w:bidi w:val="1"/>
              <w:jc w:val="center"/>
            </w:pPr>
            <w:r/>
            <w:r>
              <w:rPr>
                <w:rFonts w:ascii="Cambria" w:hAnsi="Cambria" w:cs="Cambria"/>
                <w:b w:val="0"/>
                <w:sz w:val="22"/>
              </w:rPr>
              <w:t>۴۰٫۷۸</w:t>
            </w:r>
          </w:p>
        </w:tc>
        <w:tc>
          <w:tcPr>
            <w:tcW w:type="dxa" w:w="913"/>
          </w:tcPr>
          <w:p>
            <w:pPr>
              <w:bidi w:val="1"/>
              <w:jc w:val="center"/>
            </w:pPr>
            <w:r/>
            <w:r>
              <w:rPr>
                <w:rFonts w:ascii="Cambria" w:hAnsi="Cambria" w:cs="Cambria"/>
                <w:b w:val="0"/>
                <w:sz w:val="22"/>
              </w:rPr>
              <w:t>۱۲۹</w:t>
            </w:r>
          </w:p>
        </w:tc>
        <w:tc>
          <w:tcPr>
            <w:tcW w:type="dxa" w:w="913"/>
          </w:tcPr>
          <w:p>
            <w:pPr>
              <w:bidi w:val="1"/>
              <w:jc w:val="center"/>
            </w:pPr>
            <w:r/>
            <w:r>
              <w:rPr>
                <w:rFonts w:ascii="Cambria" w:hAnsi="Cambria" w:cs="Cambria"/>
                <w:b w:val="0"/>
                <w:sz w:val="22"/>
              </w:rPr>
              <w:t>۳۲۱</w:t>
            </w:r>
          </w:p>
        </w:tc>
        <w:tc>
          <w:tcPr>
            <w:tcW w:type="dxa" w:w="913"/>
          </w:tcPr>
          <w:p>
            <w:pPr>
              <w:bidi w:val="1"/>
              <w:jc w:val="center"/>
            </w:pPr>
            <w:r/>
            <w:r>
              <w:rPr>
                <w:rFonts w:ascii="Cambria" w:hAnsi="Cambria" w:cs="Cambria"/>
                <w:b w:val="0"/>
                <w:sz w:val="22"/>
              </w:rPr>
              <w:t>۰٫۴۶</w:t>
            </w:r>
          </w:p>
        </w:tc>
        <w:tc>
          <w:tcPr>
            <w:tcW w:type="dxa" w:w="913"/>
          </w:tcPr>
          <w:p>
            <w:pPr>
              <w:bidi w:val="1"/>
              <w:jc w:val="center"/>
            </w:pPr>
            <w:r/>
            <w:r>
              <w:rPr>
                <w:rFonts w:ascii="Cambria" w:hAnsi="Cambria" w:cs="Cambria"/>
                <w:b w:val="0"/>
                <w:sz w:val="22"/>
              </w:rPr>
              <w:t>−۰٫۳۶</w:t>
            </w:r>
          </w:p>
        </w:tc>
        <w:tc>
          <w:tcPr>
            <w:tcW w:type="dxa" w:w="913"/>
          </w:tcPr>
          <w:p>
            <w:pPr>
              <w:bidi w:val="1"/>
              <w:jc w:val="center"/>
            </w:pPr>
            <w:r/>
            <w:r>
              <w:rPr>
                <w:rFonts w:ascii="Cambria" w:hAnsi="Cambria" w:cs="Cambria"/>
                <w:b w:val="0"/>
                <w:sz w:val="22"/>
              </w:rPr>
              <w:t>۷۵ تا ۴۵۰</w:t>
            </w:r>
          </w:p>
        </w:tc>
        <w:tc>
          <w:tcPr>
            <w:tcW w:type="dxa" w:w="913"/>
          </w:tcPr>
          <w:p>
            <w:pPr>
              <w:bidi w:val="1"/>
              <w:jc w:val="center"/>
            </w:pPr>
            <w:r/>
            <w:r>
              <w:rPr>
                <w:rFonts w:ascii="Cambria" w:hAnsi="Cambria" w:cs="Cambria"/>
                <w:b w:val="0"/>
                <w:sz w:val="22"/>
              </w:rPr>
              <w:t>۱۲۹ تا ۳۲۱</w:t>
            </w:r>
          </w:p>
        </w:tc>
      </w:tr>
      <w:tr>
        <w:tc>
          <w:tcPr>
            <w:tcW w:type="dxa" w:w="913"/>
          </w:tcPr>
          <w:p>
            <w:pPr>
              <w:bidi w:val="1"/>
              <w:jc w:val="center"/>
            </w:pPr>
            <w:r/>
            <w:r>
              <w:rPr>
                <w:rFonts w:ascii="Cambria" w:hAnsi="Cambria" w:cs="Cambria"/>
                <w:b w:val="0"/>
                <w:sz w:val="22"/>
              </w:rPr>
              <w:t>تحمل ریسک مالی (۱۳ سؤالی)</w:t>
            </w:r>
          </w:p>
        </w:tc>
        <w:tc>
          <w:tcPr>
            <w:tcW w:type="dxa" w:w="913"/>
          </w:tcPr>
          <w:p>
            <w:pPr>
              <w:bidi w:val="1"/>
              <w:jc w:val="center"/>
            </w:pPr>
            <w:r/>
            <w:r>
              <w:rPr>
                <w:rFonts w:ascii="Cambria" w:hAnsi="Cambria" w:cs="Cambria"/>
                <w:b w:val="0"/>
                <w:sz w:val="22"/>
              </w:rPr>
              <w:t>۳۱٫۸۰</w:t>
            </w:r>
          </w:p>
        </w:tc>
        <w:tc>
          <w:tcPr>
            <w:tcW w:type="dxa" w:w="913"/>
          </w:tcPr>
          <w:p>
            <w:pPr>
              <w:bidi w:val="1"/>
              <w:jc w:val="center"/>
            </w:pPr>
            <w:r/>
            <w:r>
              <w:rPr>
                <w:rFonts w:ascii="Cambria" w:hAnsi="Cambria" w:cs="Cambria"/>
                <w:b w:val="0"/>
                <w:sz w:val="22"/>
              </w:rPr>
              <w:t>۷٫۶۳</w:t>
            </w:r>
          </w:p>
        </w:tc>
        <w:tc>
          <w:tcPr>
            <w:tcW w:type="dxa" w:w="913"/>
          </w:tcPr>
          <w:p>
            <w:pPr>
              <w:bidi w:val="1"/>
              <w:jc w:val="center"/>
            </w:pPr>
            <w:r/>
            <w:r>
              <w:rPr>
                <w:rFonts w:ascii="Cambria" w:hAnsi="Cambria" w:cs="Cambria"/>
                <w:b w:val="0"/>
                <w:sz w:val="22"/>
              </w:rPr>
              <w:t>۱۴</w:t>
            </w:r>
          </w:p>
        </w:tc>
        <w:tc>
          <w:tcPr>
            <w:tcW w:type="dxa" w:w="913"/>
          </w:tcPr>
          <w:p>
            <w:pPr>
              <w:bidi w:val="1"/>
              <w:jc w:val="center"/>
            </w:pPr>
            <w:r/>
            <w:r>
              <w:rPr>
                <w:rFonts w:ascii="Cambria" w:hAnsi="Cambria" w:cs="Cambria"/>
                <w:b w:val="0"/>
                <w:sz w:val="22"/>
              </w:rPr>
              <w:t>۴۸</w:t>
            </w:r>
          </w:p>
        </w:tc>
        <w:tc>
          <w:tcPr>
            <w:tcW w:type="dxa" w:w="913"/>
          </w:tcPr>
          <w:p>
            <w:pPr>
              <w:bidi w:val="1"/>
              <w:jc w:val="center"/>
            </w:pPr>
            <w:r/>
            <w:r>
              <w:rPr>
                <w:rFonts w:ascii="Cambria" w:hAnsi="Cambria" w:cs="Cambria"/>
                <w:b w:val="0"/>
                <w:sz w:val="22"/>
              </w:rPr>
              <w:t>−۰٫۰۹</w:t>
            </w:r>
          </w:p>
        </w:tc>
        <w:tc>
          <w:tcPr>
            <w:tcW w:type="dxa" w:w="913"/>
          </w:tcPr>
          <w:p>
            <w:pPr>
              <w:bidi w:val="1"/>
              <w:jc w:val="center"/>
            </w:pPr>
            <w:r/>
            <w:r>
              <w:rPr>
                <w:rFonts w:ascii="Cambria" w:hAnsi="Cambria" w:cs="Cambria"/>
                <w:b w:val="0"/>
                <w:sz w:val="22"/>
              </w:rPr>
              <w:t>−۰٫۵۴</w:t>
            </w:r>
          </w:p>
        </w:tc>
        <w:tc>
          <w:tcPr>
            <w:tcW w:type="dxa" w:w="913"/>
          </w:tcPr>
          <w:p>
            <w:pPr>
              <w:bidi w:val="1"/>
              <w:jc w:val="center"/>
            </w:pPr>
            <w:r/>
            <w:r>
              <w:rPr>
                <w:rFonts w:ascii="Cambria" w:hAnsi="Cambria" w:cs="Cambria"/>
                <w:b w:val="0"/>
                <w:sz w:val="22"/>
              </w:rPr>
              <w:t>۱۳ تا ۵۲</w:t>
            </w:r>
          </w:p>
        </w:tc>
        <w:tc>
          <w:tcPr>
            <w:tcW w:type="dxa" w:w="913"/>
          </w:tcPr>
          <w:p>
            <w:pPr>
              <w:bidi w:val="1"/>
              <w:jc w:val="center"/>
            </w:pPr>
            <w:r/>
            <w:r>
              <w:rPr>
                <w:rFonts w:ascii="Cambria" w:hAnsi="Cambria" w:cs="Cambria"/>
                <w:b w:val="0"/>
                <w:sz w:val="22"/>
              </w:rPr>
              <w:t>۱۴ تا ۴۸</w:t>
            </w:r>
          </w:p>
        </w:tc>
      </w:tr>
    </w:tbl>
    <w:p>
      <w:pPr>
        <w:bidi w:val="1"/>
        <w:spacing w:lineRule="exact" w:line="580" w:after="0"/>
        <w:jc w:val="both"/>
      </w:pPr>
      <w:r>
        <w:rPr>
          <w:rFonts w:ascii="B Nazanin" w:hAnsi="B Nazanin" w:cs="B Nazanin" w:hint="cs"/>
          <w:sz w:val="24"/>
          <w:szCs w:val="24"/>
          <w:rtl/>
          <w:lang w:bidi="fa-IR"/>
        </w:rPr>
        <w:t xml:space="preserve">چنان‌که جدول ۴-۴ نشان می‌دهد، هر سه دامنه مشاهده‌شده به‌طور کامل درون دامنه نظری ابزار مربوطه قرار گرفتند و هیچ نمره‌ای خارج از بازه مجاز دیده نشد. میانگین اضطراب صفتی ۴۵٫۳۶ (انحراف معیار ۱۱٫۴۲)، میانگین نمره کل طرحواره‌ها ۲۱۸٫۱۱ (انحراف معیار ۴۰٫۷۸) و میانگین تحمل ریسک مالی ۳۱٫۸۰ (انحراف معیار ۷٫۶۳) بود. قدرمطلق چولگی هر سه متغیر کمتر از ۰٫۵ و قدرمطلق کشیدگی آن‌ها کمتر از ۱ بود که از نبود انحراف شدید از تقارن در توزیع نمره‌ها حکایت دارد.</w:t>
      </w:r>
    </w:p>
    <w:p>
      <w:pPr>
        <w:pStyle w:val="Heading2"/>
        <w:bidi w:val="1"/>
        <w:jc w:val="right"/>
        <w:outlineLvl w:val="1"/>
      </w:pPr>
      <w:r>
        <w:rPr>
          <w:rFonts w:ascii="B Nazanin" w:hAnsi="B Nazanin" w:cs="B Nazanin" w:hint="cs"/>
          <w:b/>
          <w:bCs/>
          <w:sz w:val="28"/>
          <w:szCs w:val="28"/>
          <w:rtl/>
          <w:lang w:bidi="fa-IR"/>
        </w:rPr>
        <w:t xml:space="preserve">۴-۵. پایایی ابزارهای اندازه‌گیری</w:t>
      </w:r>
    </w:p>
    <w:p>
      <w:pPr>
        <w:bidi w:val="1"/>
        <w:spacing w:lineRule="exact" w:line="580" w:after="0"/>
        <w:jc w:val="both"/>
      </w:pPr>
      <w:r>
        <w:rPr>
          <w:rFonts w:ascii="B Nazanin" w:hAnsi="B Nazanin" w:cs="B Nazanin" w:hint="cs"/>
          <w:sz w:val="24"/>
          <w:szCs w:val="24"/>
          <w:rtl/>
          <w:lang w:bidi="fa-IR"/>
        </w:rPr>
        <w:t xml:space="preserve">پایایی هر سه ابزار با ضریب آلفای کرونباخ روی نمونه نهایی ۱۸۵ نفری برآورد شد. آلفای فرم اضطراب صفتی ۰٫۸۸، آلفای نمره کل فرم کوتاه یانگ ۰٫۹۲ و آلفای مقیاس ۱۳ سؤالی تحمل ریسک ۰٫۸۲ به دست آمد که همگی در سطح مطلوب قرار دارند. پایایی هر یک از ۱۵ خرده‌مقیاس طرحواره نیز جداگانه محاسبه شد و بین ۰٫۶۱ (شکست) تا ۰٫۷۸ (رهاشدگی/بی‌ثباتی) قرار گرفت که برای خرده‌مقیاس‌های ۵ گویه‌ای قابل قبول است. نمره حوزه‌های طرحواره محاسبه نشد، زیرا کلید رسمی حوزه‌بندی در این مرحله نهایی نبود. برای اطمینان از پایداری نتایج نسبت به شیوه نمره‌گذاری سؤال سیزدهم مقیاس گرابل، نسخه ۱۲ سؤالی (بدون سؤال سیزدهم) نیز بررسی شد: آلفای این نسخه ۰٫۸۱ و همبستگی آن با نسخه ۱۳ سؤالی ۰٫۹۹ بود. جدول ۴-۵ ضرایب پایایی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پایایی ابزارها و خرده‌مقیاس‌ها (آلفای کرونباخ)</w:t>
      </w:r>
    </w:p>
    <w:p>
      <w:pPr>
        <w:bidi/>
      </w:pPr>
      <w:r>
        <w:rPr>
          <w:vanish/>
          <w:rFonts w:ascii="B Nazanin" w:hAnsi="B Nazanin"/>
        </w:rPr>
        <w:fldChar w:fldCharType="begin"/>
      </w:r>
      <w:r>
        <w:rPr>
          <w:vanish/>
          <w:rFonts w:ascii="B Nazanin" w:hAnsi="B Nazanin"/>
        </w:rPr>
        <w:instrText>TC "جدول ۴-۵. پایایی ابزارها و خرده‌مقیاس‌ها (آلفای کرونباخ)"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مقیاس</w:t>
            </w:r>
          </w:p>
        </w:tc>
        <w:tc>
          <w:tcPr>
            <w:tcW w:type="dxa" w:w="2740"/>
            <w:tcBorders>
              <w:bottom w:val="single" w:sz="12" w:space="0" w:color="000000"/>
            </w:tcBorders>
          </w:tcPr>
          <w:p>
            <w:pPr>
              <w:bidi w:val="1"/>
              <w:jc w:val="center"/>
            </w:pPr>
            <w:r/>
            <w:r>
              <w:rPr>
                <w:rFonts w:ascii="Cambria" w:hAnsi="Cambria" w:cs="Cambria"/>
                <w:b/>
                <w:sz w:val="22"/>
              </w:rPr>
              <w:t>تعداد گویه</w:t>
            </w:r>
          </w:p>
        </w:tc>
        <w:tc>
          <w:tcPr>
            <w:tcW w:type="dxa" w:w="2740"/>
            <w:tcBorders>
              <w:bottom w:val="single" w:sz="12" w:space="0" w:color="000000"/>
            </w:tcBorders>
          </w:tcPr>
          <w:p>
            <w:pPr>
              <w:bidi w:val="1"/>
              <w:jc w:val="center"/>
            </w:pPr>
            <w:r/>
            <w:r>
              <w:rPr>
                <w:rFonts w:ascii="Cambria" w:hAnsi="Cambria" w:cs="Cambria"/>
                <w:b/>
                <w:sz w:val="22"/>
              </w:rPr>
              <w:t>آلفا</w:t>
            </w:r>
          </w:p>
        </w:tc>
      </w:tr>
      <w:tr>
        <w:tc>
          <w:tcPr>
            <w:tcW w:type="dxa" w:w="2740"/>
          </w:tcPr>
          <w:p>
            <w:pPr>
              <w:bidi w:val="1"/>
              <w:jc w:val="center"/>
            </w:pPr>
            <w:r/>
            <w:r>
              <w:rPr>
                <w:rFonts w:ascii="Cambria" w:hAnsi="Cambria" w:cs="Cambria"/>
                <w:b w:val="0"/>
                <w:sz w:val="22"/>
              </w:rPr>
              <w:t>اضطراب صفتی اسپیلبرگر</w:t>
            </w:r>
          </w:p>
        </w:tc>
        <w:tc>
          <w:tcPr>
            <w:tcW w:type="dxa" w:w="2740"/>
          </w:tcPr>
          <w:p>
            <w:pPr>
              <w:bidi w:val="1"/>
              <w:jc w:val="center"/>
            </w:pPr>
            <w:r/>
            <w:r>
              <w:rPr>
                <w:rFonts w:ascii="Cambria" w:hAnsi="Cambria" w:cs="Cambria"/>
                <w:b w:val="0"/>
                <w:sz w:val="22"/>
              </w:rPr>
              <w:t>۲۰</w:t>
            </w:r>
          </w:p>
        </w:tc>
        <w:tc>
          <w:tcPr>
            <w:tcW w:type="dxa" w:w="2740"/>
          </w:tcPr>
          <w:p>
            <w:pPr>
              <w:bidi w:val="1"/>
              <w:jc w:val="center"/>
            </w:pPr>
            <w:r/>
            <w:r>
              <w:rPr>
                <w:rFonts w:ascii="Cambria" w:hAnsi="Cambria" w:cs="Cambria"/>
                <w:b w:val="0"/>
                <w:sz w:val="22"/>
              </w:rPr>
              <w:t>۰٫۸۸</w:t>
            </w:r>
          </w:p>
        </w:tc>
      </w:tr>
      <w:tr>
        <w:tc>
          <w:tcPr>
            <w:tcW w:type="dxa" w:w="2740"/>
          </w:tcPr>
          <w:p>
            <w:pPr>
              <w:bidi w:val="1"/>
              <w:jc w:val="center"/>
            </w:pPr>
            <w:r/>
            <w:r>
              <w:rPr>
                <w:rFonts w:ascii="Cambria" w:hAnsi="Cambria" w:cs="Cambria"/>
                <w:b w:val="0"/>
                <w:sz w:val="22"/>
              </w:rPr>
              <w:t>فرم کوتاه یانگ (نمرهٔ کل)</w:t>
            </w:r>
          </w:p>
        </w:tc>
        <w:tc>
          <w:tcPr>
            <w:tcW w:type="dxa" w:w="2740"/>
          </w:tcPr>
          <w:p>
            <w:pPr>
              <w:bidi w:val="1"/>
              <w:jc w:val="center"/>
            </w:pPr>
            <w:r/>
            <w:r>
              <w:rPr>
                <w:rFonts w:ascii="Cambria" w:hAnsi="Cambria" w:cs="Cambria"/>
                <w:b w:val="0"/>
                <w:sz w:val="22"/>
              </w:rPr>
              <w:t>۷۵</w:t>
            </w:r>
          </w:p>
        </w:tc>
        <w:tc>
          <w:tcPr>
            <w:tcW w:type="dxa" w:w="2740"/>
          </w:tcPr>
          <w:p>
            <w:pPr>
              <w:bidi w:val="1"/>
              <w:jc w:val="center"/>
            </w:pPr>
            <w:r/>
            <w:r>
              <w:rPr>
                <w:rFonts w:ascii="Cambria" w:hAnsi="Cambria" w:cs="Cambria"/>
                <w:b w:val="0"/>
                <w:sz w:val="22"/>
              </w:rPr>
              <w:t>۰٫۹۲</w:t>
            </w:r>
          </w:p>
        </w:tc>
      </w:tr>
      <w:tr>
        <w:tc>
          <w:tcPr>
            <w:tcW w:type="dxa" w:w="2740"/>
          </w:tcPr>
          <w:p>
            <w:pPr>
              <w:bidi w:val="1"/>
              <w:jc w:val="center"/>
            </w:pPr>
            <w:r/>
            <w:r>
              <w:rPr>
                <w:rFonts w:ascii="Cambria" w:hAnsi="Cambria" w:cs="Cambria"/>
                <w:b w:val="0"/>
                <w:sz w:val="22"/>
              </w:rPr>
              <w:t>محرومیت هیجانی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رهاشدگی/بی‌ثباتی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۰٫۷۸</w:t>
            </w:r>
          </w:p>
        </w:tc>
      </w:tr>
      <w:tr>
        <w:tc>
          <w:tcPr>
            <w:tcW w:type="dxa" w:w="2740"/>
          </w:tcPr>
          <w:p>
            <w:pPr>
              <w:bidi w:val="1"/>
              <w:jc w:val="center"/>
            </w:pPr>
            <w:r/>
            <w:r>
              <w:rPr>
                <w:rFonts w:ascii="Cambria" w:hAnsi="Cambria" w:cs="Cambria"/>
                <w:b w:val="0"/>
                <w:sz w:val="22"/>
              </w:rPr>
              <w:t>بی‌اعتمادی/بدرفتاری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۰٫۶۸</w:t>
            </w:r>
          </w:p>
        </w:tc>
      </w:tr>
      <w:tr>
        <w:tc>
          <w:tcPr>
            <w:tcW w:type="dxa" w:w="2740"/>
          </w:tcPr>
          <w:p>
            <w:pPr>
              <w:bidi w:val="1"/>
              <w:jc w:val="center"/>
            </w:pPr>
            <w:r/>
            <w:r>
              <w:rPr>
                <w:rFonts w:ascii="Cambria" w:hAnsi="Cambria" w:cs="Cambria"/>
                <w:b w:val="0"/>
                <w:sz w:val="22"/>
              </w:rPr>
              <w:t>انزوای اجتماعی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نقص/شرم</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۰٫۶۶</w:t>
            </w:r>
          </w:p>
        </w:tc>
      </w:tr>
      <w:tr>
        <w:tc>
          <w:tcPr>
            <w:tcW w:type="dxa" w:w="2740"/>
          </w:tcPr>
          <w:p>
            <w:pPr>
              <w:bidi w:val="1"/>
              <w:jc w:val="center"/>
            </w:pPr>
            <w:r/>
            <w:r>
              <w:rPr>
                <w:rFonts w:ascii="Cambria" w:hAnsi="Cambria" w:cs="Cambria"/>
                <w:b w:val="0"/>
                <w:sz w:val="22"/>
              </w:rPr>
              <w:t>شکست</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۰٫۶۱</w:t>
            </w:r>
          </w:p>
        </w:tc>
      </w:tr>
      <w:tr>
        <w:tc>
          <w:tcPr>
            <w:tcW w:type="dxa" w:w="2740"/>
          </w:tcPr>
          <w:p>
            <w:pPr>
              <w:bidi w:val="1"/>
              <w:jc w:val="center"/>
            </w:pPr>
            <w:r/>
            <w:r>
              <w:rPr>
                <w:rFonts w:ascii="Cambria" w:hAnsi="Cambria" w:cs="Cambria"/>
                <w:b w:val="0"/>
                <w:sz w:val="22"/>
              </w:rPr>
              <w:t>وابستگی/بی‌کفایتی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۰٫۷۵</w:t>
            </w:r>
          </w:p>
        </w:tc>
      </w:tr>
      <w:tr>
        <w:tc>
          <w:tcPr>
            <w:tcW w:type="dxa" w:w="2740"/>
          </w:tcPr>
          <w:p>
            <w:pPr>
              <w:bidi w:val="1"/>
              <w:jc w:val="center"/>
            </w:pPr>
            <w:r/>
            <w:r>
              <w:rPr>
                <w:rFonts w:ascii="Cambria" w:hAnsi="Cambria" w:cs="Cambria"/>
                <w:b w:val="0"/>
                <w:sz w:val="22"/>
              </w:rPr>
              <w:t>آسیب‌پذیری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۰٫۶۹</w:t>
            </w:r>
          </w:p>
        </w:tc>
      </w:tr>
      <w:tr>
        <w:tc>
          <w:tcPr>
            <w:tcW w:type="dxa" w:w="2740"/>
          </w:tcPr>
          <w:p>
            <w:pPr>
              <w:bidi w:val="1"/>
              <w:jc w:val="center"/>
            </w:pPr>
            <w:r/>
            <w:r>
              <w:rPr>
                <w:rFonts w:ascii="Cambria" w:hAnsi="Cambria" w:cs="Cambria"/>
                <w:b w:val="0"/>
                <w:sz w:val="22"/>
              </w:rPr>
              <w:t>درهم‌تنیدگی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۰٫۷۳</w:t>
            </w:r>
          </w:p>
        </w:tc>
      </w:tr>
      <w:tr>
        <w:tc>
          <w:tcPr>
            <w:tcW w:type="dxa" w:w="2740"/>
          </w:tcPr>
          <w:p>
            <w:pPr>
              <w:bidi w:val="1"/>
              <w:jc w:val="center"/>
            </w:pPr>
            <w:r/>
            <w:r>
              <w:rPr>
                <w:rFonts w:ascii="Cambria" w:hAnsi="Cambria" w:cs="Cambria"/>
                <w:b w:val="0"/>
                <w:sz w:val="22"/>
              </w:rPr>
              <w:t>اطاعت</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۰٫۷۲</w:t>
            </w:r>
          </w:p>
        </w:tc>
      </w:tr>
      <w:tr>
        <w:tc>
          <w:tcPr>
            <w:tcW w:type="dxa" w:w="2740"/>
          </w:tcPr>
          <w:p>
            <w:pPr>
              <w:bidi w:val="1"/>
              <w:jc w:val="center"/>
            </w:pPr>
            <w:r/>
            <w:r>
              <w:rPr>
                <w:rFonts w:ascii="Cambria" w:hAnsi="Cambria" w:cs="Cambria"/>
                <w:b w:val="0"/>
                <w:sz w:val="22"/>
              </w:rPr>
              <w:t>ایثار</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بازداری هیجانی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۰٫۶۳</w:t>
            </w:r>
          </w:p>
        </w:tc>
      </w:tr>
      <w:tr>
        <w:tc>
          <w:tcPr>
            <w:tcW w:type="dxa" w:w="2740"/>
          </w:tcPr>
          <w:p>
            <w:pPr>
              <w:bidi w:val="1"/>
              <w:jc w:val="center"/>
            </w:pPr>
            <w:r/>
            <w:r>
              <w:rPr>
                <w:rFonts w:ascii="Cambria" w:hAnsi="Cambria" w:cs="Cambria"/>
                <w:b w:val="0"/>
                <w:sz w:val="22"/>
              </w:rPr>
              <w:t>معیارهای سرسختانه</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۰٫۷۱</w:t>
            </w:r>
          </w:p>
        </w:tc>
      </w:tr>
      <w:tr>
        <w:tc>
          <w:tcPr>
            <w:tcW w:type="dxa" w:w="2740"/>
          </w:tcPr>
          <w:p>
            <w:pPr>
              <w:bidi w:val="1"/>
              <w:jc w:val="center"/>
            </w:pPr>
            <w:r/>
            <w:r>
              <w:rPr>
                <w:rFonts w:ascii="Cambria" w:hAnsi="Cambria" w:cs="Cambria"/>
                <w:b w:val="0"/>
                <w:sz w:val="22"/>
              </w:rPr>
              <w:t>استحقاق/بزرگ‌منشی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۰٫۷۰</w:t>
            </w:r>
          </w:p>
        </w:tc>
      </w:tr>
      <w:tr>
        <w:tc>
          <w:tcPr>
            <w:tcW w:type="dxa" w:w="2740"/>
          </w:tcPr>
          <w:p>
            <w:pPr>
              <w:bidi w:val="1"/>
              <w:jc w:val="center"/>
            </w:pPr>
            <w:r/>
            <w:r>
              <w:rPr>
                <w:rFonts w:ascii="Cambria" w:hAnsi="Cambria" w:cs="Cambria"/>
                <w:b w:val="0"/>
                <w:sz w:val="22"/>
              </w:rPr>
              <w:t>خویشتن‌داری ناکافی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۰٫۷۷</w:t>
            </w:r>
          </w:p>
        </w:tc>
      </w:tr>
      <w:tr>
        <w:tc>
          <w:tcPr>
            <w:tcW w:type="dxa" w:w="2740"/>
          </w:tcPr>
          <w:p>
            <w:pPr>
              <w:bidi w:val="1"/>
              <w:jc w:val="center"/>
            </w:pPr>
            <w:r/>
            <w:r>
              <w:rPr>
                <w:rFonts w:ascii="Cambria" w:hAnsi="Cambria" w:cs="Cambria"/>
                <w:b w:val="0"/>
                <w:sz w:val="22"/>
              </w:rPr>
              <w:t>تحمل ریسک گرابل و لایتون (۱۳ سؤالی)</w:t>
            </w:r>
          </w:p>
        </w:tc>
        <w:tc>
          <w:tcPr>
            <w:tcW w:type="dxa" w:w="2740"/>
          </w:tcPr>
          <w:p>
            <w:pPr>
              <w:bidi w:val="1"/>
              <w:jc w:val="center"/>
            </w:pPr>
            <w:r/>
            <w:r>
              <w:rPr>
                <w:rFonts w:ascii="Cambria" w:hAnsi="Cambria" w:cs="Cambria"/>
                <w:b w:val="0"/>
                <w:sz w:val="22"/>
              </w:rPr>
              <w:t>۱۳</w:t>
            </w:r>
          </w:p>
        </w:tc>
        <w:tc>
          <w:tcPr>
            <w:tcW w:type="dxa" w:w="2740"/>
          </w:tcPr>
          <w:p>
            <w:pPr>
              <w:bidi w:val="1"/>
              <w:jc w:val="center"/>
            </w:pPr>
            <w:r/>
            <w:r>
              <w:rPr>
                <w:rFonts w:ascii="Cambria" w:hAnsi="Cambria" w:cs="Cambria"/>
                <w:b w:val="0"/>
                <w:sz w:val="22"/>
              </w:rPr>
              <w:t>۰٫۸۲</w:t>
            </w:r>
          </w:p>
        </w:tc>
      </w:tr>
      <w:tr>
        <w:tc>
          <w:tcPr>
            <w:tcW w:type="dxa" w:w="2740"/>
          </w:tcPr>
          <w:p>
            <w:pPr>
              <w:bidi w:val="1"/>
              <w:jc w:val="center"/>
            </w:pPr>
            <w:r/>
            <w:r>
              <w:rPr>
                <w:rFonts w:ascii="Cambria" w:hAnsi="Cambria" w:cs="Cambria"/>
                <w:b w:val="0"/>
                <w:sz w:val="22"/>
              </w:rPr>
              <w:t>تحمل ریسک (۱۲ سؤالی، بدون سؤال سیزدهم)</w:t>
            </w:r>
          </w:p>
        </w:tc>
        <w:tc>
          <w:tcPr>
            <w:tcW w:type="dxa" w:w="2740"/>
          </w:tcPr>
          <w:p>
            <w:pPr>
              <w:bidi w:val="1"/>
              <w:jc w:val="center"/>
            </w:pPr>
            <w:r/>
            <w:r>
              <w:rPr>
                <w:rFonts w:ascii="Cambria" w:hAnsi="Cambria" w:cs="Cambria"/>
                <w:b w:val="0"/>
                <w:sz w:val="22"/>
              </w:rPr>
              <w:t>۱۲</w:t>
            </w:r>
          </w:p>
        </w:tc>
        <w:tc>
          <w:tcPr>
            <w:tcW w:type="dxa" w:w="2740"/>
          </w:tcPr>
          <w:p>
            <w:pPr>
              <w:bidi w:val="1"/>
              <w:jc w:val="center"/>
            </w:pPr>
            <w:r/>
            <w:r>
              <w:rPr>
                <w:rFonts w:ascii="Cambria" w:hAnsi="Cambria" w:cs="Cambria"/>
                <w:b w:val="0"/>
                <w:sz w:val="22"/>
              </w:rPr>
              <w:t>۰٫۸۱</w:t>
            </w:r>
          </w:p>
        </w:tc>
      </w:tr>
    </w:tbl>
    <w:p>
      <w:pPr>
        <w:bidi w:val="1"/>
        <w:spacing w:lineRule="exact" w:line="580" w:after="0"/>
        <w:jc w:val="both"/>
      </w:pPr>
      <w:r>
        <w:rPr>
          <w:rFonts w:ascii="B Nazanin" w:hAnsi="B Nazanin" w:cs="B Nazanin" w:hint="cs"/>
          <w:sz w:val="24"/>
          <w:szCs w:val="24"/>
          <w:rtl/>
          <w:lang w:bidi="fa-IR"/>
        </w:rPr>
        <w:t xml:space="preserve">یادداشت: همبستگی نسخه ۱۳ و ۱۲ سؤالی تحمل ریسک برابر ۰٫۹۹ است.</w:t>
      </w:r>
    </w:p>
    <w:p>
      <w:pPr>
        <w:pStyle w:val="Heading2"/>
        <w:bidi w:val="1"/>
        <w:jc w:val="right"/>
        <w:outlineLvl w:val="1"/>
      </w:pPr>
      <w:r>
        <w:rPr>
          <w:rFonts w:ascii="B Nazanin" w:hAnsi="B Nazanin" w:cs="B Nazanin" w:hint="cs"/>
          <w:b/>
          <w:bCs/>
          <w:sz w:val="28"/>
          <w:szCs w:val="28"/>
          <w:rtl/>
          <w:lang w:bidi="fa-IR"/>
        </w:rPr>
        <w:t xml:space="preserve">۴-۶. ارزیابی پیش‌فرض‌های آماری</w:t>
      </w:r>
    </w:p>
    <w:p>
      <w:pPr>
        <w:bidi w:val="1"/>
        <w:spacing w:lineRule="exact" w:line="580" w:after="0"/>
        <w:jc w:val="both"/>
      </w:pPr>
      <w:r>
        <w:rPr>
          <w:rFonts w:ascii="B Nazanin" w:hAnsi="B Nazanin" w:cs="B Nazanin" w:hint="cs"/>
          <w:sz w:val="24"/>
          <w:szCs w:val="24"/>
          <w:rtl/>
          <w:lang w:bidi="fa-IR"/>
        </w:rPr>
        <w:t xml:space="preserve">پیش از آزمون فرضیه‌ها، چهار پیش‌فرض تحلیل‌های استنباطی ارزیابی شد. نخست، چولگی و کشیدگی هر سه متغیر (جدول ۴-۴) در بازه قابل قبول قرار داشت و انحراف شدیدی از تقارن دیده نشد. دوم، فاصله ماهالانوبیس هر پاسخ‌دهنده روی هر سه متغیر محاسبه شد؛ بیشینه مشاهده‌شده ۱۴٫۸۸ بود که از مقدار بحرانی خی‌دو با ۳ درجه آزادی در سطح ۰٫۰۰۱ (۱۶٫۲۷) کمتر است، پس هیچ مورد پرت چندمتغیره‌ای در داده‌ها وجود نداشت و همه ۱۸۵ پاسخ در تحلیل‌ها حفظ شدند. سوم، هم‌خطی میان اضطراب صفتی و طرحواره‌ها با عامل تورم واریانس بررسی شد: مقدار آن ۱٫۳۴ با تولرانس ۰٫۷۵ بود که بسیار پایین‌تر از آستانه هشدار قرار دارد. چهارم، استقلال پسماندها در مدل رگرسیون پیامد با آماره دوربین–واتسون برابر ۱٫۸۱ تأیید شد که به مقدار ایده‌آل ۲ نزدیک است. در مجموع، پیش‌فرض‌های لازم برای ادامه تحلیل‌ها برقرار بودند.</w:t>
      </w:r>
    </w:p>
    <w:p>
      <w:pPr>
        <w:pStyle w:val="Heading2"/>
        <w:bidi w:val="1"/>
        <w:jc w:val="right"/>
        <w:outlineLvl w:val="1"/>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رابطه‌های دوتایی متغیرها با ضریب همبستگی پیرسون آزمون شدند. جدول ۴-۶ ماتریس همبستگی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پژوهش</w:t>
      </w:r>
    </w:p>
    <w:p>
      <w:pPr>
        <w:bidi/>
      </w:pPr>
      <w:r>
        <w:rPr>
          <w:vanish/>
          <w:rFonts w:ascii="B Nazanin" w:hAnsi="B Nazanin"/>
        </w:rPr>
        <w:fldChar w:fldCharType="begin"/>
      </w:r>
      <w:r>
        <w:rPr>
          <w:vanish/>
          <w:rFonts w:ascii="B Nazanin" w:hAnsi="B Nazanin"/>
        </w:rPr>
        <w:instrText>TC "جدول ۴-۶. ماتریس همبستگی پیرسون متغیرهای پژوهش"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jc w:val="center"/>
            </w:pPr>
            <w:r/>
            <w:r>
              <w:rPr>
                <w:b/>
                <w:sz w:val="22"/>
              </w:rPr>
            </w:r>
          </w:p>
        </w:tc>
        <w:tc>
          <w:tcPr>
            <w:tcW w:type="dxa" w:w="2055"/>
            <w:tcBorders>
              <w:bottom w:val="single" w:sz="12" w:space="0" w:color="000000"/>
            </w:tcBorders>
          </w:tcPr>
          <w:p>
            <w:pPr>
              <w:bidi w:val="1"/>
              <w:jc w:val="center"/>
            </w:pPr>
            <w:r/>
            <w:r>
              <w:rPr>
                <w:rFonts w:ascii="Cambria" w:hAnsi="Cambria" w:cs="Cambria"/>
                <w:b/>
                <w:sz w:val="22"/>
              </w:rPr>
              <w:t>۱</w:t>
            </w:r>
          </w:p>
        </w:tc>
        <w:tc>
          <w:tcPr>
            <w:tcW w:type="dxa" w:w="2055"/>
            <w:tcBorders>
              <w:bottom w:val="single" w:sz="12" w:space="0" w:color="000000"/>
            </w:tcBorders>
          </w:tcPr>
          <w:p>
            <w:pPr>
              <w:bidi w:val="1"/>
              <w:jc w:val="center"/>
            </w:pPr>
            <w:r/>
            <w:r>
              <w:rPr>
                <w:rFonts w:ascii="Cambria" w:hAnsi="Cambria" w:cs="Cambria"/>
                <w:b/>
                <w:sz w:val="22"/>
              </w:rPr>
              <w:t>۲</w:t>
            </w:r>
          </w:p>
        </w:tc>
        <w:tc>
          <w:tcPr>
            <w:tcW w:type="dxa" w:w="2055"/>
            <w:tcBorders>
              <w:bottom w:val="single" w:sz="12" w:space="0" w:color="000000"/>
            </w:tcBorders>
          </w:tcPr>
          <w:p>
            <w:pPr>
              <w:bidi w:val="1"/>
              <w:jc w:val="center"/>
            </w:pPr>
            <w:r/>
            <w:r>
              <w:rPr>
                <w:rFonts w:ascii="Cambria" w:hAnsi="Cambria" w:cs="Cambria"/>
                <w:b/>
                <w:sz w:val="22"/>
              </w:rPr>
              <w:t>۳</w:t>
            </w:r>
          </w:p>
        </w:tc>
      </w:tr>
      <w:tr>
        <w:tc>
          <w:tcPr>
            <w:tcW w:type="dxa" w:w="2055"/>
          </w:tcPr>
          <w:p>
            <w:pPr>
              <w:bidi w:val="1"/>
              <w:jc w:val="center"/>
            </w:pPr>
            <w:r/>
            <w:r>
              <w:rPr>
                <w:rFonts w:ascii="Cambria" w:hAnsi="Cambria" w:cs="Cambria"/>
                <w:b w:val="0"/>
                <w:sz w:val="22"/>
              </w:rPr>
              <w:t>۱. اضطراب صفتی</w:t>
            </w:r>
          </w:p>
        </w:tc>
        <w:tc>
          <w:tcPr>
            <w:tcW w:type="dxa" w:w="2055"/>
          </w:tcPr>
          <w:p>
            <w:pPr>
              <w:bidi w:val="1"/>
              <w:jc w:val="center"/>
            </w:pPr>
            <w:r/>
            <w:r>
              <w:rPr>
                <w:rFonts w:ascii="Cambria" w:hAnsi="Cambria" w:cs="Cambria"/>
                <w:b w:val="0"/>
                <w:sz w:val="22"/>
              </w:rPr>
              <w:t>۱</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rFonts w:ascii="Cambria" w:hAnsi="Cambria" w:cs="Cambria"/>
                <w:b w:val="0"/>
                <w:sz w:val="22"/>
              </w:rPr>
              <w:t>۲. طرحواره‌های ناسازگار اولیه</w:t>
            </w:r>
          </w:p>
        </w:tc>
        <w:tc>
          <w:tcPr>
            <w:tcW w:type="dxa" w:w="2055"/>
          </w:tcPr>
          <w:p>
            <w:pPr>
              <w:bidi w:val="1"/>
              <w:jc w:val="center"/>
            </w:pPr>
            <w:r/>
            <w:r>
              <w:rPr>
                <w:rFonts w:ascii="Cambria" w:hAnsi="Cambria" w:cs="Cambria"/>
                <w:b w:val="0"/>
                <w:sz w:val="22"/>
              </w:rPr>
              <w:t>۰٫۵۰۱***</w:t>
            </w:r>
          </w:p>
        </w:tc>
        <w:tc>
          <w:tcPr>
            <w:tcW w:type="dxa" w:w="2055"/>
          </w:tcPr>
          <w:p>
            <w:pPr>
              <w:bidi w:val="1"/>
              <w:jc w:val="center"/>
            </w:pPr>
            <w:r/>
            <w:r>
              <w:rPr>
                <w:rFonts w:ascii="Cambria" w:hAnsi="Cambria" w:cs="Cambria"/>
                <w:b w:val="0"/>
                <w:sz w:val="22"/>
              </w:rPr>
              <w:t>۱</w:t>
            </w:r>
          </w:p>
        </w:tc>
        <w:tc>
          <w:tcPr>
            <w:tcW w:type="dxa" w:w="2055"/>
          </w:tcPr>
          <w:p>
            <w:pPr>
              <w:jc w:val="center"/>
            </w:pPr>
            <w:r/>
            <w:r>
              <w:rPr>
                <w:b w:val="0"/>
                <w:sz w:val="22"/>
              </w:rPr>
            </w:r>
          </w:p>
        </w:tc>
      </w:tr>
      <w:tr>
        <w:tc>
          <w:tcPr>
            <w:tcW w:type="dxa" w:w="2055"/>
          </w:tcPr>
          <w:p>
            <w:pPr>
              <w:bidi w:val="1"/>
              <w:jc w:val="center"/>
            </w:pPr>
            <w:r/>
            <w:r>
              <w:rPr>
                <w:rFonts w:ascii="Cambria" w:hAnsi="Cambria" w:cs="Cambria"/>
                <w:b w:val="0"/>
                <w:sz w:val="22"/>
              </w:rPr>
              <w:t>۳. تحمل ریسک مالی</w:t>
            </w:r>
          </w:p>
        </w:tc>
        <w:tc>
          <w:tcPr>
            <w:tcW w:type="dxa" w:w="2055"/>
          </w:tcPr>
          <w:p>
            <w:pPr>
              <w:bidi w:val="1"/>
              <w:jc w:val="center"/>
            </w:pPr>
            <w:r/>
            <w:r>
              <w:rPr>
                <w:rFonts w:ascii="Cambria" w:hAnsi="Cambria" w:cs="Cambria"/>
                <w:b w:val="0"/>
                <w:sz w:val="22"/>
              </w:rPr>
              <w:t>۰٫۳۲۷***</w:t>
            </w:r>
          </w:p>
        </w:tc>
        <w:tc>
          <w:tcPr>
            <w:tcW w:type="dxa" w:w="2055"/>
          </w:tcPr>
          <w:p>
            <w:pPr>
              <w:bidi w:val="1"/>
              <w:jc w:val="center"/>
            </w:pPr>
            <w:r/>
            <w:r>
              <w:rPr>
                <w:rFonts w:ascii="Cambria" w:hAnsi="Cambria" w:cs="Cambria"/>
                <w:b w:val="0"/>
                <w:sz w:val="22"/>
              </w:rPr>
              <w:t>۰٫۳۲۱***</w:t>
            </w:r>
          </w:p>
        </w:tc>
        <w:tc>
          <w:tcPr>
            <w:tcW w:type="dxa" w:w="2055"/>
          </w:tcPr>
          <w:p>
            <w:pPr>
              <w:bidi w:val="1"/>
              <w:jc w:val="center"/>
            </w:pPr>
            <w:r/>
            <w:r>
              <w:rPr>
                <w:rFonts w:ascii="Cambria" w:hAnsi="Cambria" w:cs="Cambria"/>
                <w:b w:val="0"/>
                <w:sz w:val="22"/>
              </w:rPr>
              <w:t>۱</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n = </w:t>
      </w:r>
      <w:r>
        <w:rPr>
          <w:rFonts w:ascii="B Nazanin" w:hAnsi="B Nazanin" w:cs="B Nazanin" w:hint="cs"/>
          <w:sz w:val="24"/>
          <w:szCs w:val="24"/>
          <w:rtl/>
          <w:lang w:bidi="fa-IR"/>
        </w:rPr>
        <w:t xml:space="preserve">۱۸۵</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۰٫۱۰؛</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۰٫۰۵؛ </w:t>
      </w:r>
      <w:r>
        <w:rPr>
          <w:rFonts w:ascii="Times New Roman" w:hAnsi="Times New Roman" w:cs="Times New Roman"/>
          <w:b/>
          <w:bCs/>
          <w:sz w:val="22"/>
          <w:szCs w:val="22"/>
          <w:lang w:val="en-US"/>
        </w:rPr>
        <w:t xml:space="preserve"> p &lt; </w:t>
      </w:r>
      <w:r>
        <w:rPr>
          <w:rFonts w:ascii="B Nazanin" w:hAnsi="B Nazanin" w:cs="B Nazanin" w:hint="cs"/>
          <w:b/>
          <w:bCs/>
          <w:sz w:val="24"/>
          <w:szCs w:val="24"/>
          <w:rtl/>
          <w:lang w:bidi="fa-IR"/>
        </w:rPr>
        <w:t xml:space="preserve">۰٫۰۱؛ </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w:t>
      </w:r>
    </w:p>
    <w:p>
      <w:pPr>
        <w:bidi w:val="1"/>
        <w:spacing w:lineRule="exact" w:line="580" w:after="0"/>
        <w:jc w:val="both"/>
      </w:pPr>
      <w:r>
        <w:rPr>
          <w:rFonts w:ascii="B Nazanin" w:hAnsi="B Nazanin" w:cs="B Nazanin" w:hint="cs"/>
          <w:sz w:val="24"/>
          <w:szCs w:val="24"/>
          <w:rtl/>
          <w:lang w:bidi="fa-IR"/>
        </w:rPr>
        <w:t xml:space="preserve">فرضیه دوم تأیید شد: میان اضطراب صفتی و رفتارهای مالی پرخطر رابطه مثبت معنادار وجود داشت</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سوم نیز تأیید شد: میان اضطراب صفتی و طرحواره‌های ناسازگار اولیه رابطه مثبت معنادار دیده شد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فرضیه چهارم هم تأیید شد: میان طرحواره‌های ناسازگار اولیه و رفتارهای مالی پرخطر رابطه مثبت معنادار به دست آمد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هر سه رابطه در جهت پیش‌بینی‌شده و در سطح اطمینان بالا معنادار بودند.</w:t>
      </w:r>
    </w:p>
    <w:p>
      <w:pPr>
        <w:pStyle w:val="Heading2"/>
        <w:bidi w:val="1"/>
        <w:jc w:val="right"/>
        <w:outlineLvl w:val="1"/>
      </w:pPr>
      <w:r>
        <w:rPr>
          <w:rFonts w:ascii="B Nazanin" w:hAnsi="B Nazanin" w:cs="B Nazanin" w:hint="cs"/>
          <w:b/>
          <w:bCs/>
          <w:sz w:val="28"/>
          <w:szCs w:val="28"/>
          <w:rtl/>
          <w:lang w:bidi="fa-IR"/>
        </w:rPr>
        <w:t xml:space="preserve">۴-۸. آزمون فرضیه اصلی: تحلیل میانجی‌گری</w:t>
      </w:r>
    </w:p>
    <w:p>
      <w:pPr>
        <w:bidi w:val="1"/>
        <w:spacing w:lineRule="exact" w:line="580" w:after="0"/>
        <w:jc w:val="both"/>
      </w:pPr>
      <w:r>
        <w:rPr>
          <w:rFonts w:ascii="B Nazanin" w:hAnsi="B Nazanin" w:cs="B Nazanin" w:hint="cs"/>
          <w:sz w:val="24"/>
          <w:szCs w:val="24"/>
          <w:rtl/>
          <w:lang w:bidi="fa-IR"/>
        </w:rPr>
        <w:t xml:space="preserve">فرضیه اصلی پژوهش (نقش میانجی طرحواره‌های ناسازگار اولیه در رابطه اضطراب صفتی با رفتارهای مالی پرخطر) با تحلیل میانجی‌گری بر اساس الگوی شماره ۴ و خودگردان‌سازی ۵۰۰۰ نمونه‌ای آزمون شد. جدول ۴-۷ نتایج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(الگوی شماره ۴، خودگردان‌سازی ۵۰۰۰ نمونه‌ای)</w:t>
      </w:r>
    </w:p>
    <w:p>
      <w:pPr>
        <w:bidi/>
      </w:pPr>
      <w:r>
        <w:rPr>
          <w:vanish/>
          <w:rFonts w:ascii="B Nazanin" w:hAnsi="B Nazanin"/>
        </w:rPr>
        <w:fldChar w:fldCharType="begin"/>
      </w:r>
      <w:r>
        <w:rPr>
          <w:vanish/>
          <w:rFonts w:ascii="B Nazanin" w:hAnsi="B Nazanin"/>
        </w:rPr>
        <w:instrText>TC "جدول ۴-۷. نتایج تحلیل میانجی‌گری (الگوی شماره ۴، خودگردان‌سازی ۵۰۰۰ نمونه‌ای)"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rFonts w:ascii="Cambria" w:hAnsi="Cambria" w:cs="Cambria"/>
                <w:b/>
                <w:sz w:val="22"/>
              </w:rPr>
              <w:t>اثر</w:t>
            </w:r>
          </w:p>
        </w:tc>
        <w:tc>
          <w:tcPr>
            <w:tcW w:type="dxa" w:w="1370"/>
            <w:tcBorders>
              <w:bottom w:val="single" w:sz="12" w:space="0" w:color="000000"/>
            </w:tcBorders>
          </w:tcPr>
          <w:p>
            <w:pPr>
              <w:bidi w:val="1"/>
              <w:jc w:val="center"/>
            </w:pPr>
            <w:r/>
            <w:r>
              <w:rPr>
                <w:rFonts w:ascii="Cambria" w:hAnsi="Cambria" w:cs="Cambria"/>
                <w:b/>
                <w:sz w:val="22"/>
              </w:rPr>
              <w:t>ضریب</w:t>
            </w:r>
          </w:p>
        </w:tc>
        <w:tc>
          <w:tcPr>
            <w:tcW w:type="dxa" w:w="1370"/>
            <w:tcBorders>
              <w:bottom w:val="single" w:sz="12" w:space="0" w:color="000000"/>
            </w:tcBorders>
          </w:tcPr>
          <w:p>
            <w:pPr>
              <w:bidi w:val="1"/>
              <w:jc w:val="center"/>
            </w:pPr>
            <w:r/>
            <w:r>
              <w:rPr>
                <w:rFonts w:ascii="Cambria" w:hAnsi="Cambria" w:cs="Cambria"/>
                <w:b/>
                <w:sz w:val="22"/>
              </w:rPr>
              <w:t>خطای معیار</w:t>
            </w:r>
          </w:p>
        </w:tc>
        <w:tc>
          <w:tcPr>
            <w:tcW w:type="dxa" w:w="1370"/>
            <w:tcBorders>
              <w:bottom w:val="single" w:sz="12" w:space="0" w:color="000000"/>
            </w:tcBorders>
          </w:tcPr>
          <w:p>
            <w:pPr>
              <w:bidi w:val="1"/>
              <w:jc w:val="center"/>
            </w:pPr>
            <w:r/>
            <w:r>
              <w:rPr>
                <w:rFonts w:ascii="Cambria" w:hAnsi="Cambria" w:cs="Cambria"/>
                <w:b/>
                <w:sz w:val="22"/>
              </w:rPr>
              <w:t>آماره</w:t>
            </w:r>
          </w:p>
        </w:tc>
        <w:tc>
          <w:tcPr>
            <w:tcW w:type="dxa" w:w="1370"/>
            <w:tcBorders>
              <w:bottom w:val="single" w:sz="12" w:space="0" w:color="000000"/>
            </w:tcBorders>
          </w:tcPr>
          <w:p>
            <w:pPr>
              <w:jc w:val="center"/>
            </w:pPr>
            <w:r/>
            <w:r>
              <w:rPr>
                <w:rFonts w:ascii="Cambria" w:hAnsi="Cambria" w:cs="Cambria"/>
                <w:b/>
                <w:sz w:val="22"/>
              </w:rPr>
              <w:t>p</w:t>
            </w:r>
          </w:p>
        </w:tc>
        <w:tc>
          <w:tcPr>
            <w:tcW w:type="dxa" w:w="1370"/>
            <w:tcBorders>
              <w:bottom w:val="single" w:sz="12" w:space="0" w:color="000000"/>
            </w:tcBorders>
          </w:tcPr>
          <w:p>
            <w:pPr>
              <w:bidi w:val="1"/>
              <w:jc w:val="center"/>
            </w:pPr>
            <w:r/>
            <w:r>
              <w:rPr>
                <w:rFonts w:ascii="Cambria" w:hAnsi="Cambria" w:cs="Cambria"/>
                <w:b/>
                <w:sz w:val="22"/>
              </w:rPr>
              <w:t>فاصلهٔ اطمینان ۹۵٪</w:t>
            </w:r>
          </w:p>
        </w:tc>
      </w:tr>
      <w:tr>
        <w:tc>
          <w:tcPr>
            <w:tcW w:type="dxa" w:w="1370"/>
          </w:tcPr>
          <w:p>
            <w:pPr>
              <w:bidi w:val="1"/>
              <w:jc w:val="center"/>
            </w:pPr>
            <w:r/>
            <w:r>
              <w:rPr>
                <w:rFonts w:ascii="Cambria" w:hAnsi="Cambria" w:cs="Cambria"/>
                <w:b w:val="0"/>
                <w:sz w:val="22"/>
              </w:rPr>
              <w:t>مسیر a (اضطراب → طرحواره‌ها)</w:t>
            </w:r>
          </w:p>
        </w:tc>
        <w:tc>
          <w:tcPr>
            <w:tcW w:type="dxa" w:w="1370"/>
          </w:tcPr>
          <w:p>
            <w:pPr>
              <w:bidi w:val="1"/>
              <w:jc w:val="center"/>
            </w:pPr>
            <w:r/>
            <w:r>
              <w:rPr>
                <w:rFonts w:ascii="Cambria" w:hAnsi="Cambria" w:cs="Cambria"/>
                <w:b w:val="0"/>
                <w:sz w:val="22"/>
              </w:rPr>
              <w:t>۱٫۷۸۸</w:t>
            </w:r>
          </w:p>
        </w:tc>
        <w:tc>
          <w:tcPr>
            <w:tcW w:type="dxa" w:w="1370"/>
          </w:tcPr>
          <w:p>
            <w:pPr>
              <w:bidi w:val="1"/>
              <w:jc w:val="center"/>
            </w:pPr>
            <w:r/>
            <w:r>
              <w:rPr>
                <w:rFonts w:ascii="Cambria" w:hAnsi="Cambria" w:cs="Cambria"/>
                <w:b w:val="0"/>
                <w:sz w:val="22"/>
              </w:rPr>
              <w:t>۰٫۲۲۸</w:t>
            </w:r>
          </w:p>
        </w:tc>
        <w:tc>
          <w:tcPr>
            <w:tcW w:type="dxa" w:w="1370"/>
          </w:tcPr>
          <w:p>
            <w:pPr>
              <w:bidi w:val="1"/>
              <w:jc w:val="center"/>
            </w:pPr>
            <w:r/>
            <w:r>
              <w:rPr>
                <w:rFonts w:ascii="Cambria" w:hAnsi="Cambria" w:cs="Cambria"/>
                <w:b w:val="0"/>
                <w:sz w:val="22"/>
              </w:rPr>
              <w:t>۷٫۸۳۰</w:t>
            </w:r>
          </w:p>
        </w:tc>
        <w:tc>
          <w:tcPr>
            <w:tcW w:type="dxa" w:w="1370"/>
          </w:tcPr>
          <w:p>
            <w:pPr>
              <w:bidi w:val="1"/>
              <w:jc w:val="center"/>
            </w:pPr>
            <w:r/>
            <w:r>
              <w:rPr>
                <w:rFonts w:ascii="Cambria" w:hAnsi="Cambria" w:cs="Cambria"/>
                <w:b w:val="0"/>
                <w:sz w:val="22"/>
              </w:rPr>
              <w:t>p &lt; ۰٫۰۰۱</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مسیر b (طرحواره‌ها → ریسک، با کنترل اضطراب)</w:t>
            </w:r>
          </w:p>
        </w:tc>
        <w:tc>
          <w:tcPr>
            <w:tcW w:type="dxa" w:w="1370"/>
          </w:tcPr>
          <w:p>
            <w:pPr>
              <w:bidi w:val="1"/>
              <w:jc w:val="center"/>
            </w:pPr>
            <w:r/>
            <w:r>
              <w:rPr>
                <w:rFonts w:ascii="Cambria" w:hAnsi="Cambria" w:cs="Cambria"/>
                <w:b w:val="0"/>
                <w:sz w:val="22"/>
              </w:rPr>
              <w:t>۰٫۰۳۹</w:t>
            </w:r>
          </w:p>
        </w:tc>
        <w:tc>
          <w:tcPr>
            <w:tcW w:type="dxa" w:w="1370"/>
          </w:tcPr>
          <w:p>
            <w:pPr>
              <w:bidi w:val="1"/>
              <w:jc w:val="center"/>
            </w:pPr>
            <w:r/>
            <w:r>
              <w:rPr>
                <w:rFonts w:ascii="Cambria" w:hAnsi="Cambria" w:cs="Cambria"/>
                <w:b w:val="0"/>
                <w:sz w:val="22"/>
              </w:rPr>
              <w:t>۰٫۰۱۵</w:t>
            </w:r>
          </w:p>
        </w:tc>
        <w:tc>
          <w:tcPr>
            <w:tcW w:type="dxa" w:w="1370"/>
          </w:tcPr>
          <w:p>
            <w:pPr>
              <w:bidi w:val="1"/>
              <w:jc w:val="center"/>
            </w:pPr>
            <w:r/>
            <w:r>
              <w:rPr>
                <w:rFonts w:ascii="Cambria" w:hAnsi="Cambria" w:cs="Cambria"/>
                <w:b w:val="0"/>
                <w:sz w:val="22"/>
              </w:rPr>
              <w:t>۲٫۶۳۶</w:t>
            </w:r>
          </w:p>
        </w:tc>
        <w:tc>
          <w:tcPr>
            <w:tcW w:type="dxa" w:w="1370"/>
          </w:tcPr>
          <w:p>
            <w:pPr>
              <w:bidi w:val="1"/>
              <w:jc w:val="center"/>
            </w:pPr>
            <w:r/>
            <w:r>
              <w:rPr>
                <w:rFonts w:ascii="Cambria" w:hAnsi="Cambria" w:cs="Cambria"/>
                <w:b w:val="0"/>
                <w:sz w:val="22"/>
              </w:rPr>
              <w:t>p = ۰٫۰۰۹</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کل c (اضطراب → ریسک)</w:t>
            </w:r>
          </w:p>
        </w:tc>
        <w:tc>
          <w:tcPr>
            <w:tcW w:type="dxa" w:w="1370"/>
          </w:tcPr>
          <w:p>
            <w:pPr>
              <w:bidi w:val="1"/>
              <w:jc w:val="center"/>
            </w:pPr>
            <w:r/>
            <w:r>
              <w:rPr>
                <w:rFonts w:ascii="Cambria" w:hAnsi="Cambria" w:cs="Cambria"/>
                <w:b w:val="0"/>
                <w:sz w:val="22"/>
              </w:rPr>
              <w:t>۰٫۲۱۹</w:t>
            </w:r>
          </w:p>
        </w:tc>
        <w:tc>
          <w:tcPr>
            <w:tcW w:type="dxa" w:w="1370"/>
          </w:tcPr>
          <w:p>
            <w:pPr>
              <w:bidi w:val="1"/>
              <w:jc w:val="center"/>
            </w:pPr>
            <w:r/>
            <w:r>
              <w:rPr>
                <w:rFonts w:ascii="Cambria" w:hAnsi="Cambria" w:cs="Cambria"/>
                <w:b w:val="0"/>
                <w:sz w:val="22"/>
              </w:rPr>
              <w:t>۰٫۰۴۷</w:t>
            </w:r>
          </w:p>
        </w:tc>
        <w:tc>
          <w:tcPr>
            <w:tcW w:type="dxa" w:w="1370"/>
          </w:tcPr>
          <w:p>
            <w:pPr>
              <w:bidi w:val="1"/>
              <w:jc w:val="center"/>
            </w:pPr>
            <w:r/>
            <w:r>
              <w:rPr>
                <w:rFonts w:ascii="Cambria" w:hAnsi="Cambria" w:cs="Cambria"/>
                <w:b w:val="0"/>
                <w:sz w:val="22"/>
              </w:rPr>
              <w:t>۴٫۶۸۴</w:t>
            </w:r>
          </w:p>
        </w:tc>
        <w:tc>
          <w:tcPr>
            <w:tcW w:type="dxa" w:w="1370"/>
          </w:tcPr>
          <w:p>
            <w:pPr>
              <w:bidi w:val="1"/>
              <w:jc w:val="center"/>
            </w:pPr>
            <w:r/>
            <w:r>
              <w:rPr>
                <w:rFonts w:ascii="Cambria" w:hAnsi="Cambria" w:cs="Cambria"/>
                <w:b w:val="0"/>
                <w:sz w:val="22"/>
              </w:rPr>
              <w:t>p &lt; ۰٫۰۰۱</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مستقیم c′ (با کنترل میانجی)</w:t>
            </w:r>
          </w:p>
        </w:tc>
        <w:tc>
          <w:tcPr>
            <w:tcW w:type="dxa" w:w="1370"/>
          </w:tcPr>
          <w:p>
            <w:pPr>
              <w:bidi w:val="1"/>
              <w:jc w:val="center"/>
            </w:pPr>
            <w:r/>
            <w:r>
              <w:rPr>
                <w:rFonts w:ascii="Cambria" w:hAnsi="Cambria" w:cs="Cambria"/>
                <w:b w:val="0"/>
                <w:sz w:val="22"/>
              </w:rPr>
              <w:t>۰٫۱۴۹</w:t>
            </w:r>
          </w:p>
        </w:tc>
        <w:tc>
          <w:tcPr>
            <w:tcW w:type="dxa" w:w="1370"/>
          </w:tcPr>
          <w:p>
            <w:pPr>
              <w:bidi w:val="1"/>
              <w:jc w:val="center"/>
            </w:pPr>
            <w:r/>
            <w:r>
              <w:rPr>
                <w:rFonts w:ascii="Cambria" w:hAnsi="Cambria" w:cs="Cambria"/>
                <w:b w:val="0"/>
                <w:sz w:val="22"/>
              </w:rPr>
              <w:t>۰٫۰۵۳</w:t>
            </w:r>
          </w:p>
        </w:tc>
        <w:tc>
          <w:tcPr>
            <w:tcW w:type="dxa" w:w="1370"/>
          </w:tcPr>
          <w:p>
            <w:pPr>
              <w:bidi w:val="1"/>
              <w:jc w:val="center"/>
            </w:pPr>
            <w:r/>
            <w:r>
              <w:rPr>
                <w:rFonts w:ascii="Cambria" w:hAnsi="Cambria" w:cs="Cambria"/>
                <w:b w:val="0"/>
                <w:sz w:val="22"/>
              </w:rPr>
              <w:t>۲٫۷۹۸</w:t>
            </w:r>
          </w:p>
        </w:tc>
        <w:tc>
          <w:tcPr>
            <w:tcW w:type="dxa" w:w="1370"/>
          </w:tcPr>
          <w:p>
            <w:pPr>
              <w:bidi w:val="1"/>
              <w:jc w:val="center"/>
            </w:pPr>
            <w:r/>
            <w:r>
              <w:rPr>
                <w:rFonts w:ascii="Cambria" w:hAnsi="Cambria" w:cs="Cambria"/>
                <w:b w:val="0"/>
                <w:sz w:val="22"/>
              </w:rPr>
              <w:t>p = ۰٫۰۰۶</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غیرمستقیم (a×b)</w:t>
            </w:r>
          </w:p>
        </w:tc>
        <w:tc>
          <w:tcPr>
            <w:tcW w:type="dxa" w:w="1370"/>
          </w:tcPr>
          <w:p>
            <w:pPr>
              <w:bidi w:val="1"/>
              <w:jc w:val="center"/>
            </w:pPr>
            <w:r/>
            <w:r>
              <w:rPr>
                <w:rFonts w:ascii="Cambria" w:hAnsi="Cambria" w:cs="Cambria"/>
                <w:b w:val="0"/>
                <w:sz w:val="22"/>
              </w:rPr>
              <w:t>۰٫۰۷۰</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bidi w:val="1"/>
              <w:jc w:val="center"/>
            </w:pPr>
            <w:r/>
            <w:r>
              <w:rPr>
                <w:rFonts w:ascii="Cambria" w:hAnsi="Cambria" w:cs="Cambria"/>
                <w:b w:val="0"/>
                <w:sz w:val="22"/>
              </w:rPr>
              <w:t>[۰٫۰۱۱، ۰٫۱۳۳]</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میانجی = ۰٫۲۵۱؛</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پیامد = ۰٫۱۴۰؛</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اثر کل = ۰٫۱۰۷. فاصله اطمینان اثر غیرمستقیم از نوع صدکی است.</w:t>
      </w:r>
    </w:p>
    <w:p>
      <w:pPr>
        <w:bidi w:val="1"/>
        <w:spacing w:lineRule="exact" w:line="580" w:after="0"/>
        <w:jc w:val="both"/>
      </w:pPr>
      <w:r>
        <w:rPr>
          <w:rFonts w:ascii="B Nazanin" w:hAnsi="B Nazanin" w:cs="B Nazanin" w:hint="cs"/>
          <w:sz w:val="24"/>
          <w:szCs w:val="24"/>
          <w:rtl/>
          <w:lang w:bidi="fa-IR"/>
        </w:rPr>
        <w:t xml:space="preserve">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اثر اضطراب بر طرحواره‌ها)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۱٫۷۸۸؛</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۲۵٫۱ درصد واریانس طرحواره‌ها را تبیین کرد.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اثر طرحواره‌ها بر رفتار پرخطر با کنترل اضطراب) نیز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۰٫۰۳۹؛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۰٫۰۰۹). اثر کل اضطراب بر رفتار پرخطر مثبت و معنادار به دست آمد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۰٫۲۱۹؛</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پس از ورود میانجی به مدل، اثر مستقیم همچنان مثبت و معنادار باقی ماند، هرچند کوچک‌تر شد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اثر غیرمستقیم برابر ۰٫۰۷۰ بود و فاصله اطمینان ۹۵ درصد صدکی آن (۰٫۰۱۱ تا ۰٫۱۳۳) صفر را در بر نداشت؛ فاصله اطمینان تصحیح‌شده سوگیری نیز همین نتیجه را تأیید کرد (۰٫۰۱۴ تا ۰٫۱۳۴). از آنجا که هم اثر غیرمستقیم معنادار بود و هم اثر مستقیم پس از کنترل میانجی معنادار ماند، فرضیه اصلی تأیید شد و الگوی به‌دست‌آمده از نوع میانجی‌گری جزئی است: حدود یک‌سوم اثر کل اضطراب بر رفتار پرخطر از مسیر طرحواره‌های ناسازگار اولیه می‌گذرد و دوسوم دیگر، مستقیم یا از مسیرهای دیگری است که در این مدل لحاظ نشده‌اند.</w:t>
      </w:r>
    </w:p>
    <w:p>
      <w:pPr>
        <w:bidi w:val="1"/>
        <w:spacing w:lineRule="exact" w:line="580" w:after="0"/>
        <w:jc w:val="both"/>
      </w:pPr>
      <w:r>
        <w:rPr>
          <w:rFonts w:ascii="B Nazanin" w:hAnsi="B Nazanin" w:cs="B Nazanin" w:hint="cs"/>
          <w:sz w:val="24"/>
          <w:szCs w:val="24"/>
          <w:rtl/>
          <w:lang w:bidi="fa-IR"/>
        </w:rPr>
        <w:t xml:space="preserve">برای اطمینان از پایداری این نتیجه، تحلیل میانجی‌گری با نمره ۱۲ سؤالی تحمل ریسک (بدون سؤال سیزدهم) نیز تکرار شد و نتایج کاملاً هم‌جهت بود: اثر مستقیم ۰٫۱۳۸</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و اثر غیرمستقیم ۰٫۰۶۶ با فاصله اطمینان ۰٫۰۱۲ تا ۰٫۱۲۲ که صفر را در بر نداشت. بنابراین مبنای گزارش، نسخه ۱۳ سؤالی باقی ماند. شکل ۴-۱ الگوی میانجی‌گری را با ضرایب برآوردشده نشان می‌دهد.</w:t>
      </w:r>
    </w:p>
    <w:p>
      <w:pPr>
        <w:jc w:val="center"/>
      </w:pPr>
      <w:r>
        <w:drawing>
          <ns3:inline>
            <ns3:extent cx="5040000" cy="2940000"/>
            <ns3:docPr id="1" name="Picture 1"/>
            <ns3:cNvGraphicFramePr>
              <ns4:graphicFrameLocks noChangeAspect="1"/>
            </ns3:cNvGraphicFramePr>
            <ns4:graphic>
              <ns4:graphicData uri="http://schemas.openxmlformats.org/drawingml/2006/picture">
                <ns5:pic>
                  <ns5:nvPicPr>
                    <ns5:cNvPr id="0" name="chapter4_real_pipeline_fig1.png"/>
                    <ns5:cNvPicPr/>
                  </ns5:nvPicPr>
                  <ns5:blipFill>
                    <ns4:blip r:embed="rId20"/>
                    <ns4:stretch>
                      <ns4:fillRect/>
                    </ns4:stretch>
                  </ns5:blipFill>
                  <ns5:spPr>
                    <ns4:xfrm>
                      <ns4:off x="0" y="0"/>
                      <ns4:ext cx="5040000" cy="2940000"/>
                    </ns4:xfrm>
                    <ns4:prstGeom prst="rect"/>
                  </ns5:spPr>
                </ns5:pic>
              </ns4:graphicData>
            </ns4:graphic>
          </ns3: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pPr>
      <w:r>
        <w:rPr>
          <w:vanish/>
          <w:rFonts w:ascii="B Nazanin" w:hAnsi="B Nazanin"/>
        </w:rPr>
        <w:fldChar w:fldCharType="begin"/>
      </w:r>
      <w:r>
        <w:rPr>
          <w:vanish/>
          <w:rFonts w:ascii="B Nazanin" w:hAnsi="B Nazanin"/>
        </w:rPr>
        <w:instrText>TC "شکل ۴-۱. نمودار مسیر الگوی میانجی‌گری با ضرایب برآوردشده در نمونه نهایی" \f F \l 1</w:instrText>
      </w:r>
      <w:r>
        <w:rPr>
          <w:vanish/>
          <w:rFonts w:ascii="B Nazanin" w:hAnsi="B Nazanin"/>
        </w:rPr>
        <w:fldChar w:fldCharType="end"/>
      </w:r>
    </w:p>
    <w:p>
      <w:pPr>
        <w:pStyle w:val="Heading2"/>
        <w:bidi w:val="1"/>
        <w:jc w:val="right"/>
        <w:outlineLvl w:val="1"/>
      </w:pPr>
      <w:r>
        <w:rPr>
          <w:rFonts w:ascii="B Nazanin" w:hAnsi="B Nazanin" w:cs="B Nazanin" w:hint="cs"/>
          <w:b/>
          <w:bCs/>
          <w:sz w:val="28"/>
          <w:szCs w:val="28"/>
          <w:rtl/>
          <w:lang w:bidi="fa-IR"/>
        </w:rPr>
        <w:t xml:space="preserve">۴-۹. تحلیل مسیر با متغیرهای مشاهده‌شده</w:t>
      </w:r>
    </w:p>
    <w:p>
      <w:pPr>
        <w:bidi w:val="1"/>
        <w:spacing w:lineRule="exact" w:line="580" w:after="0"/>
        <w:jc w:val="both"/>
      </w:pPr>
      <w:r>
        <w:rPr>
          <w:rFonts w:ascii="B Nazanin" w:hAnsi="B Nazanin" w:cs="B Nazanin" w:hint="cs"/>
          <w:sz w:val="24"/>
          <w:szCs w:val="24"/>
          <w:rtl/>
          <w:lang w:bidi="fa-IR"/>
        </w:rPr>
        <w:t xml:space="preserve">به‌منظور بررسی همگرایی یافته‌ها، الگوی میانجی‌گری به‌صورت تحلیل مسیر با متغیرهای مشاهده‌شده و برآورد درست‌نمایی بیشینه نیز برازش داده شد. در مدل اشباع که هر سه مسیر را در بر می‌گیرد، ضرایب استانداردشده برابر</w:t>
      </w:r>
      <w:r>
        <w:rPr>
          <w:rFonts w:ascii="Times New Roman" w:hAnsi="Times New Roman" w:cs="Times New Roman"/>
          <w:sz w:val="22"/>
          <w:szCs w:val="22"/>
          <w:lang w:val="en-US"/>
        </w:rPr>
        <w:t xml:space="preserve"> a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۰٫۲۰۹ و</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۰٫۲۲۲ به دست آمد که با نتایج تحلیل میانجی‌گری سازگار است. از آنجا که مدل اشباع درجه آزادی صفر دارد، شاخص برازشی برای آن قابل آزمون نیست و نمی‌توان برازش مدل را شاهدی بر درستی الگو دانست؛ از این رو، مدل مقید میانجی‌گری کامل (با اثر مستقیم صفر و ۱ درجه آزادی) نیز به‌عنوان تحلیل تکمیلی برازش شد. جدول ۴-۸ شاخص‌های این مدل مقید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مدل مقید میانجی‌گری کامل (مکمل،</w:t>
      </w:r>
      <w:r>
        <w:rPr>
          <w:rFonts w:ascii="Times New Roman" w:hAnsi="Times New Roman" w:cs="Times New Roman"/>
          <w:sz w:val="20"/>
          <w:szCs w:val="20"/>
          <w:lang w:val="en-US"/>
        </w:rPr>
        <w:t xml:space="preserve"> df=</w:t>
      </w:r>
      <w:r>
        <w:rPr>
          <w:rFonts w:ascii="B Nazanin" w:hAnsi="B Nazanin" w:cs="B Nazanin" w:hint="cs"/>
          <w:sz w:val="22"/>
          <w:szCs w:val="22"/>
          <w:rtl/>
          <w:lang w:bidi="fa-IR"/>
        </w:rPr>
        <w:t xml:space="preserve">۱)</w:t>
      </w:r>
    </w:p>
    <w:p>
      <w:pPr>
        <w:bidi/>
      </w:pPr>
      <w:r>
        <w:rPr>
          <w:vanish/>
          <w:rFonts w:ascii="B Nazanin" w:hAnsi="B Nazanin"/>
        </w:rPr>
        <w:fldChar w:fldCharType="begin"/>
      </w:r>
      <w:r>
        <w:rPr>
          <w:vanish/>
          <w:rFonts w:ascii="B Nazanin" w:hAnsi="B Nazanin"/>
        </w:rPr>
        <w:instrText>TC "جدول ۴-۸. شاخص‌های مدل مقید میانجی‌گری کامل (مکمل، df=۱)"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4110"/>
        <w:gridCol w:w="4110"/>
      </w:tblGrid>
      <w:tr>
        <w:tc>
          <w:tcPr>
            <w:tcW w:type="dxa" w:w="4110"/>
            <w:tcBorders>
              <w:bottom w:val="single" w:sz="12" w:space="0" w:color="000000"/>
            </w:tcBorders>
          </w:tcPr>
          <w:p>
            <w:pPr>
              <w:bidi w:val="1"/>
              <w:jc w:val="center"/>
            </w:pPr>
            <w:r/>
            <w:r>
              <w:rPr>
                <w:rFonts w:ascii="Cambria" w:hAnsi="Cambria" w:cs="Cambria"/>
                <w:b/>
                <w:sz w:val="22"/>
              </w:rPr>
              <w:t>شاخص</w:t>
            </w:r>
          </w:p>
        </w:tc>
        <w:tc>
          <w:tcPr>
            <w:tcW w:type="dxa" w:w="4110"/>
            <w:tcBorders>
              <w:bottom w:val="single" w:sz="12" w:space="0" w:color="000000"/>
            </w:tcBorders>
          </w:tcPr>
          <w:p>
            <w:pPr>
              <w:bidi w:val="1"/>
              <w:jc w:val="center"/>
            </w:pPr>
            <w:r/>
            <w:r>
              <w:rPr>
                <w:rFonts w:ascii="Cambria" w:hAnsi="Cambria" w:cs="Cambria"/>
                <w:b/>
                <w:sz w:val="22"/>
              </w:rPr>
              <w:t>مقدار</w:t>
            </w:r>
          </w:p>
        </w:tc>
      </w:tr>
      <w:tr>
        <w:tc>
          <w:tcPr>
            <w:tcW w:type="dxa" w:w="4110"/>
          </w:tcPr>
          <w:p>
            <w:pPr>
              <w:bidi w:val="1"/>
              <w:jc w:val="center"/>
            </w:pPr>
            <w:r/>
            <w:r>
              <w:rPr>
                <w:rFonts w:ascii="Cambria" w:hAnsi="Cambria" w:cs="Cambria"/>
                <w:b w:val="0"/>
                <w:sz w:val="22"/>
              </w:rPr>
              <w:t>خی‌دو</w:t>
            </w:r>
          </w:p>
        </w:tc>
        <w:tc>
          <w:tcPr>
            <w:tcW w:type="dxa" w:w="4110"/>
          </w:tcPr>
          <w:p>
            <w:pPr>
              <w:bidi w:val="1"/>
              <w:jc w:val="center"/>
            </w:pPr>
            <w:r/>
            <w:r>
              <w:rPr>
                <w:rFonts w:ascii="Cambria" w:hAnsi="Cambria" w:cs="Cambria"/>
                <w:b w:val="0"/>
                <w:sz w:val="22"/>
              </w:rPr>
              <w:t>۷٫۷۵</w:t>
            </w:r>
          </w:p>
        </w:tc>
      </w:tr>
      <w:tr>
        <w:tc>
          <w:tcPr>
            <w:tcW w:type="dxa" w:w="4110"/>
          </w:tcPr>
          <w:p>
            <w:pPr>
              <w:bidi w:val="1"/>
              <w:jc w:val="center"/>
            </w:pPr>
            <w:r/>
            <w:r>
              <w:rPr>
                <w:rFonts w:ascii="Cambria" w:hAnsi="Cambria" w:cs="Cambria"/>
                <w:b w:val="0"/>
                <w:sz w:val="22"/>
              </w:rPr>
              <w:t>درجهٔ آزادی</w:t>
            </w:r>
          </w:p>
        </w:tc>
        <w:tc>
          <w:tcPr>
            <w:tcW w:type="dxa" w:w="4110"/>
          </w:tcPr>
          <w:p>
            <w:pPr>
              <w:bidi w:val="1"/>
              <w:jc w:val="center"/>
            </w:pPr>
            <w:r/>
            <w:r>
              <w:rPr>
                <w:rFonts w:ascii="Cambria" w:hAnsi="Cambria" w:cs="Cambria"/>
                <w:b w:val="0"/>
                <w:sz w:val="22"/>
              </w:rPr>
              <w:t>۱</w:t>
            </w:r>
          </w:p>
        </w:tc>
      </w:tr>
      <w:tr>
        <w:tc>
          <w:tcPr>
            <w:tcW w:type="dxa" w:w="4110"/>
          </w:tcPr>
          <w:p>
            <w:pPr>
              <w:jc w:val="center"/>
            </w:pPr>
            <w:r/>
            <w:r>
              <w:rPr>
                <w:rFonts w:ascii="Cambria" w:hAnsi="Cambria" w:cs="Cambria"/>
                <w:b w:val="0"/>
                <w:sz w:val="22"/>
              </w:rPr>
              <w:t>p</w:t>
            </w:r>
          </w:p>
        </w:tc>
        <w:tc>
          <w:tcPr>
            <w:tcW w:type="dxa" w:w="4110"/>
          </w:tcPr>
          <w:p>
            <w:pPr>
              <w:bidi w:val="1"/>
              <w:jc w:val="center"/>
            </w:pPr>
            <w:r/>
            <w:r>
              <w:rPr>
                <w:rFonts w:ascii="Cambria" w:hAnsi="Cambria" w:cs="Cambria"/>
                <w:b w:val="0"/>
                <w:sz w:val="22"/>
              </w:rPr>
              <w:t>p = ۰٫۰۰۵</w:t>
            </w:r>
          </w:p>
        </w:tc>
      </w:tr>
      <w:tr>
        <w:tc>
          <w:tcPr>
            <w:tcW w:type="dxa" w:w="4110"/>
          </w:tcPr>
          <w:p>
            <w:pPr>
              <w:jc w:val="center"/>
            </w:pPr>
            <w:r/>
            <w:r>
              <w:rPr>
                <w:rFonts w:ascii="Cambria" w:hAnsi="Cambria" w:cs="Cambria"/>
                <w:b w:val="0"/>
                <w:sz w:val="22"/>
              </w:rPr>
              <w:t>CFI</w:t>
            </w:r>
          </w:p>
        </w:tc>
        <w:tc>
          <w:tcPr>
            <w:tcW w:type="dxa" w:w="4110"/>
          </w:tcPr>
          <w:p>
            <w:pPr>
              <w:bidi w:val="1"/>
              <w:jc w:val="center"/>
            </w:pPr>
            <w:r/>
            <w:r>
              <w:rPr>
                <w:rFonts w:ascii="Cambria" w:hAnsi="Cambria" w:cs="Cambria"/>
                <w:b w:val="0"/>
                <w:sz w:val="22"/>
              </w:rPr>
              <w:t>۰٫۹۱۳</w:t>
            </w:r>
          </w:p>
        </w:tc>
      </w:tr>
      <w:tr>
        <w:tc>
          <w:tcPr>
            <w:tcW w:type="dxa" w:w="4110"/>
          </w:tcPr>
          <w:p>
            <w:pPr>
              <w:jc w:val="center"/>
            </w:pPr>
            <w:r/>
            <w:r>
              <w:rPr>
                <w:rFonts w:ascii="Cambria" w:hAnsi="Cambria" w:cs="Cambria"/>
                <w:b w:val="0"/>
                <w:sz w:val="22"/>
              </w:rPr>
              <w:t>TLI</w:t>
            </w:r>
          </w:p>
        </w:tc>
        <w:tc>
          <w:tcPr>
            <w:tcW w:type="dxa" w:w="4110"/>
          </w:tcPr>
          <w:p>
            <w:pPr>
              <w:bidi w:val="1"/>
              <w:jc w:val="center"/>
            </w:pPr>
            <w:r/>
            <w:r>
              <w:rPr>
                <w:rFonts w:ascii="Cambria" w:hAnsi="Cambria" w:cs="Cambria"/>
                <w:b w:val="0"/>
                <w:sz w:val="22"/>
              </w:rPr>
              <w:t>۰٫۷۴۰</w:t>
            </w:r>
          </w:p>
        </w:tc>
      </w:tr>
      <w:tr>
        <w:tc>
          <w:tcPr>
            <w:tcW w:type="dxa" w:w="4110"/>
          </w:tcPr>
          <w:p>
            <w:pPr>
              <w:jc w:val="center"/>
            </w:pPr>
            <w:r/>
            <w:r>
              <w:rPr>
                <w:rFonts w:ascii="Cambria" w:hAnsi="Cambria" w:cs="Cambria"/>
                <w:b w:val="0"/>
                <w:sz w:val="22"/>
              </w:rPr>
              <w:t>RMSEA</w:t>
            </w:r>
          </w:p>
        </w:tc>
        <w:tc>
          <w:tcPr>
            <w:tcW w:type="dxa" w:w="4110"/>
          </w:tcPr>
          <w:p>
            <w:pPr>
              <w:bidi w:val="1"/>
              <w:jc w:val="center"/>
            </w:pPr>
            <w:r/>
            <w:r>
              <w:rPr>
                <w:rFonts w:ascii="Cambria" w:hAnsi="Cambria" w:cs="Cambria"/>
                <w:b w:val="0"/>
                <w:sz w:val="22"/>
              </w:rPr>
              <w:t>۰٫۱۹۲</w:t>
            </w:r>
          </w:p>
        </w:tc>
      </w:tr>
      <w:tr>
        <w:tc>
          <w:tcPr>
            <w:tcW w:type="dxa" w:w="4110"/>
          </w:tcPr>
          <w:p>
            <w:pPr>
              <w:jc w:val="center"/>
            </w:pPr>
            <w:r/>
            <w:r>
              <w:rPr>
                <w:rFonts w:ascii="Cambria" w:hAnsi="Cambria" w:cs="Cambria"/>
                <w:b w:val="0"/>
                <w:sz w:val="22"/>
              </w:rPr>
              <w:t>SRMR</w:t>
            </w:r>
          </w:p>
        </w:tc>
        <w:tc>
          <w:tcPr>
            <w:tcW w:type="dxa" w:w="4110"/>
          </w:tcPr>
          <w:p>
            <w:pPr>
              <w:bidi w:val="1"/>
              <w:jc w:val="center"/>
            </w:pPr>
            <w:r/>
            <w:r>
              <w:rPr>
                <w:rFonts w:ascii="Cambria" w:hAnsi="Cambria" w:cs="Cambria"/>
                <w:b w:val="0"/>
                <w:sz w:val="22"/>
              </w:rPr>
              <w:t>۰٫۰۶۸</w:t>
            </w:r>
          </w:p>
        </w:tc>
      </w:tr>
    </w:tbl>
    <w:p>
      <w:pPr>
        <w:bidi w:val="1"/>
        <w:spacing w:lineRule="exact" w:line="580" w:after="0"/>
        <w:jc w:val="both"/>
      </w:pPr>
      <w:r>
        <w:rPr>
          <w:rFonts w:ascii="B Nazanin" w:hAnsi="B Nazanin" w:cs="B Nazanin" w:hint="cs"/>
          <w:sz w:val="24"/>
          <w:szCs w:val="24"/>
          <w:rtl/>
          <w:lang w:bidi="fa-IR"/>
        </w:rPr>
        <w:t xml:space="preserve">یادداشت: مدل مقید است و تفسیر آن تکمیلی است؛ آزمون فرضیه اول بر مبنای فاصله اطمینان خودگردان‌سازی انجام شده است.</w:t>
      </w:r>
    </w:p>
    <w:p>
      <w:pPr>
        <w:bidi w:val="1"/>
        <w:spacing w:lineRule="exact" w:line="580" w:after="0"/>
        <w:jc w:val="both"/>
      </w:pPr>
      <w:r>
        <w:rPr>
          <w:rFonts w:ascii="B Nazanin" w:hAnsi="B Nazanin" w:cs="B Nazanin" w:hint="cs"/>
          <w:sz w:val="24"/>
          <w:szCs w:val="24"/>
          <w:rtl/>
          <w:lang w:bidi="fa-IR"/>
        </w:rPr>
        <w:t xml:space="preserve">خی‌دوی مدل مقید معنادار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یعنی قید «صفر بودن اثر مستقیم» با داده‌ها سازگار نیست و مدل میانجی‌گری کامل رد می‌شود. این یافته با نتیجه بخش ۴-۸ همسوست، جایی که اثر مستقیم پس از کنترل میانجی همچنان معنادار بود. سایر شاخص‌ها</w:t>
      </w:r>
      <w:r>
        <w:rPr>
          <w:rFonts w:ascii="Times New Roman" w:hAnsi="Times New Roman" w:cs="Times New Roman"/>
          <w:sz w:val="22"/>
          <w:szCs w:val="22"/>
          <w:lang w:val="en-US"/>
        </w:rPr>
        <w:t xml:space="preserve"> (CFI = </w:t>
      </w:r>
      <w:r>
        <w:rPr>
          <w:rFonts w:ascii="B Nazanin" w:hAnsi="B Nazanin" w:cs="B Nazanin" w:hint="cs"/>
          <w:sz w:val="24"/>
          <w:szCs w:val="24"/>
          <w:rtl/>
          <w:lang w:bidi="fa-IR"/>
        </w:rPr>
        <w:t xml:space="preserve">۰٫۹۱۳؛</w:t>
      </w:r>
      <w:r>
        <w:rPr>
          <w:rFonts w:ascii="Times New Roman" w:hAnsi="Times New Roman" w:cs="Times New Roman"/>
          <w:sz w:val="22"/>
          <w:szCs w:val="22"/>
          <w:lang w:val="en-US"/>
        </w:rPr>
        <w:t xml:space="preserve"> TLI = </w:t>
      </w:r>
      <w:r>
        <w:rPr>
          <w:rFonts w:ascii="B Nazanin" w:hAnsi="B Nazanin" w:cs="B Nazanin" w:hint="cs"/>
          <w:sz w:val="24"/>
          <w:szCs w:val="24"/>
          <w:rtl/>
          <w:lang w:bidi="fa-IR"/>
        </w:rPr>
        <w:t xml:space="preserve">۰٫۷۴۰؛</w:t>
      </w:r>
      <w:r>
        <w:rPr>
          <w:rFonts w:ascii="Times New Roman" w:hAnsi="Times New Roman" w:cs="Times New Roman"/>
          <w:sz w:val="22"/>
          <w:szCs w:val="22"/>
          <w:lang w:val="en-US"/>
        </w:rPr>
        <w:t xml:space="preserve"> RMSEA = </w:t>
      </w:r>
      <w:r>
        <w:rPr>
          <w:rFonts w:ascii="B Nazanin" w:hAnsi="B Nazanin" w:cs="B Nazanin" w:hint="cs"/>
          <w:sz w:val="24"/>
          <w:szCs w:val="24"/>
          <w:rtl/>
          <w:lang w:bidi="fa-IR"/>
        </w:rPr>
        <w:t xml:space="preserve">۰٫۱۹۲؛</w:t>
      </w:r>
      <w:r>
        <w:rPr>
          <w:rFonts w:ascii="Times New Roman" w:hAnsi="Times New Roman" w:cs="Times New Roman"/>
          <w:sz w:val="22"/>
          <w:szCs w:val="22"/>
          <w:lang w:val="en-US"/>
        </w:rPr>
        <w:t xml:space="preserve"> SRMR = </w:t>
      </w:r>
      <w:r>
        <w:rPr>
          <w:rFonts w:ascii="B Nazanin" w:hAnsi="B Nazanin" w:cs="B Nazanin" w:hint="cs"/>
          <w:sz w:val="24"/>
          <w:szCs w:val="24"/>
          <w:rtl/>
          <w:lang w:bidi="fa-IR"/>
        </w:rPr>
        <w:t xml:space="preserve">۰٫۰۶۸) نیز نشان می‌دهند که حذف اثر مستقیم، برازش را تضعیف می‌کند. تأکید می‌شود که این تحلیل صرفاً تکمیلی است و مبنای داوری درباره فرضیه اصلی، فاصله اطمینان خودگردان‌سازی در بخش ۴-۸ است.</w:t>
      </w:r>
    </w:p>
    <w:p>
      <w:pPr>
        <w:pStyle w:val="Heading2"/>
        <w:bidi w:val="1"/>
        <w:jc w:val="right"/>
        <w:outlineLvl w:val="1"/>
      </w:pPr>
      <w:r>
        <w:rPr>
          <w:rFonts w:ascii="B Nazanin" w:hAnsi="B Nazanin" w:cs="B Nazanin" w:hint="cs"/>
          <w:b/>
          <w:bCs/>
          <w:sz w:val="28"/>
          <w:szCs w:val="28"/>
          <w:rtl/>
          <w:lang w:bidi="fa-IR"/>
        </w:rPr>
        <w:t xml:space="preserve">۴-۱۰. جمع‌بندی یافته‌ها</w:t>
      </w:r>
    </w:p>
    <w:p>
      <w:pPr>
        <w:bidi w:val="1"/>
        <w:spacing w:lineRule="exact" w:line="580" w:after="0"/>
        <w:jc w:val="both"/>
      </w:pPr>
      <w:r>
        <w:rPr>
          <w:rFonts w:ascii="B Nazanin" w:hAnsi="B Nazanin" w:cs="B Nazanin" w:hint="cs"/>
          <w:sz w:val="24"/>
          <w:szCs w:val="24"/>
          <w:rtl/>
          <w:lang w:bidi="fa-IR"/>
        </w:rPr>
        <w:t xml:space="preserve">جدول ۴-۹ نتایج آزمون هر چهار فرضیه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p>
      <w:pPr>
        <w:bidi/>
      </w:pPr>
      <w:r>
        <w:rPr>
          <w:vanish/>
          <w:rFonts w:ascii="B Nazanin" w:hAnsi="B Nazanin"/>
        </w:rPr>
        <w:fldChar w:fldCharType="begin"/>
      </w:r>
      <w:r>
        <w:rPr>
          <w:vanish/>
          <w:rFonts w:ascii="B Nazanin" w:hAnsi="B Nazanin"/>
        </w:rPr>
        <w:instrText>TC "جدول ۴-۹. خلاصه نتایج آزمون فرضیه‌ها"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فرضیه</w:t>
            </w:r>
          </w:p>
        </w:tc>
        <w:tc>
          <w:tcPr>
            <w:tcW w:type="dxa" w:w="2740"/>
            <w:tcBorders>
              <w:bottom w:val="single" w:sz="12" w:space="0" w:color="000000"/>
            </w:tcBorders>
          </w:tcPr>
          <w:p>
            <w:pPr>
              <w:bidi w:val="1"/>
              <w:jc w:val="center"/>
            </w:pPr>
            <w:r/>
            <w:r>
              <w:rPr>
                <w:rFonts w:ascii="Cambria" w:hAnsi="Cambria" w:cs="Cambria"/>
                <w:b/>
                <w:sz w:val="22"/>
              </w:rPr>
              <w:t>آزمون</w:t>
            </w:r>
          </w:p>
        </w:tc>
        <w:tc>
          <w:tcPr>
            <w:tcW w:type="dxa" w:w="2740"/>
            <w:tcBorders>
              <w:bottom w:val="single" w:sz="12" w:space="0" w:color="000000"/>
            </w:tcBorders>
          </w:tcPr>
          <w:p>
            <w:pPr>
              <w:bidi w:val="1"/>
              <w:jc w:val="center"/>
            </w:pPr>
            <w:r/>
            <w:r>
              <w:rPr>
                <w:rFonts w:ascii="Cambria" w:hAnsi="Cambria" w:cs="Cambria"/>
                <w:b/>
                <w:sz w:val="22"/>
              </w:rPr>
              <w:t>نتیجه</w:t>
            </w:r>
          </w:p>
        </w:tc>
      </w:tr>
      <w:tr>
        <w:tc>
          <w:tcPr>
            <w:tcW w:type="dxa" w:w="2740"/>
          </w:tcPr>
          <w:p>
            <w:pPr>
              <w:bidi w:val="1"/>
              <w:jc w:val="center"/>
            </w:pPr>
            <w:r/>
            <w:r>
              <w:rPr>
                <w:rFonts w:ascii="Cambria" w:hAnsi="Cambria" w:cs="Cambria"/>
                <w:b w:val="0"/>
                <w:sz w:val="22"/>
              </w:rPr>
              <w:t>فرضیهٔ اول (اصلی): میانجی‌گری طرحواره‌ها</w:t>
            </w:r>
          </w:p>
        </w:tc>
        <w:tc>
          <w:tcPr>
            <w:tcW w:type="dxa" w:w="2740"/>
          </w:tcPr>
          <w:p>
            <w:pPr>
              <w:bidi w:val="1"/>
              <w:jc w:val="center"/>
            </w:pPr>
            <w:r/>
            <w:r>
              <w:rPr>
                <w:rFonts w:ascii="Cambria" w:hAnsi="Cambria" w:cs="Cambria"/>
                <w:b w:val="0"/>
                <w:sz w:val="22"/>
              </w:rPr>
              <w:t>تحلیل میانجی‌گری</w:t>
            </w:r>
          </w:p>
        </w:tc>
        <w:tc>
          <w:tcPr>
            <w:tcW w:type="dxa" w:w="2740"/>
          </w:tcPr>
          <w:p>
            <w:pPr>
              <w:bidi w:val="1"/>
              <w:jc w:val="center"/>
            </w:pPr>
            <w:r/>
            <w:r>
              <w:rPr>
                <w:rFonts w:ascii="Cambria" w:hAnsi="Cambria" w:cs="Cambria"/>
                <w:b w:val="0"/>
                <w:sz w:val="22"/>
              </w:rPr>
              <w:t>تأیید شد (میانجی‌گری جزئی)</w:t>
            </w:r>
          </w:p>
        </w:tc>
      </w:tr>
      <w:tr>
        <w:tc>
          <w:tcPr>
            <w:tcW w:type="dxa" w:w="2740"/>
          </w:tcPr>
          <w:p>
            <w:pPr>
              <w:bidi w:val="1"/>
              <w:jc w:val="center"/>
            </w:pPr>
            <w:r/>
            <w:r>
              <w:rPr>
                <w:rFonts w:ascii="Cambria" w:hAnsi="Cambria" w:cs="Cambria"/>
                <w:b w:val="0"/>
                <w:sz w:val="22"/>
              </w:rPr>
              <w:t>فرضیهٔ دوم: رابطهٔ اضطراب با رفتار پرخطر</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r>
        <w:tc>
          <w:tcPr>
            <w:tcW w:type="dxa" w:w="2740"/>
          </w:tcPr>
          <w:p>
            <w:pPr>
              <w:bidi w:val="1"/>
              <w:jc w:val="center"/>
            </w:pPr>
            <w:r/>
            <w:r>
              <w:rPr>
                <w:rFonts w:ascii="Cambria" w:hAnsi="Cambria" w:cs="Cambria"/>
                <w:b w:val="0"/>
                <w:sz w:val="22"/>
              </w:rPr>
              <w:t>فرضیهٔ سوم: رابطهٔ اضطراب با طرحواره‌ها</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r>
        <w:tc>
          <w:tcPr>
            <w:tcW w:type="dxa" w:w="2740"/>
          </w:tcPr>
          <w:p>
            <w:pPr>
              <w:bidi w:val="1"/>
              <w:jc w:val="center"/>
            </w:pPr>
            <w:r/>
            <w:r>
              <w:rPr>
                <w:rFonts w:ascii="Cambria" w:hAnsi="Cambria" w:cs="Cambria"/>
                <w:b w:val="0"/>
                <w:sz w:val="22"/>
              </w:rPr>
              <w:t>فرضیهٔ چهارم: رابطهٔ طرحواره‌ها با رفتار پرخطر</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bl>
    <w:p>
      <w:pPr>
        <w:bidi w:val="1"/>
        <w:spacing w:lineRule="exact" w:line="580" w:after="0"/>
        <w:jc w:val="both"/>
      </w:pPr>
      <w:r>
        <w:rPr>
          <w:rFonts w:ascii="B Nazanin" w:hAnsi="B Nazanin" w:cs="B Nazanin" w:hint="cs"/>
          <w:sz w:val="24"/>
          <w:szCs w:val="24"/>
          <w:rtl/>
          <w:lang w:bidi="fa-IR"/>
        </w:rPr>
        <w:t xml:space="preserve">در مجموع، هر چهار فرضیه پژوهش تأیید شدند. یافته‌ها نشان می‌دهند که اضطراب صفتی هم به‌طور مستقیم و هم به‌طور غیرمستقیم (از مسیر طرحواره‌های ناسازگار اولیه) با رفتارهای مالی پرخطر پیوند دارد و بخش معناداری از این پیوند از مسیر میانجی می‌گذرد. در تفسیر این یافته‌ها دو احتیاط لازم است: نخست، طرح پژوهش مقطعی است و هیچ‌یک از این روابط، رابطه علّی را اثبات نمی‌کنند؛ دوم، حجم نمونه نهایی (۱۸۵ نفر) از حداقل ۲۰۰ نفرِ مورد نیاز برای مدل‌سازی معادلات ساختاری کمتر است، از این رو نتایج بخش ۴-۹ جنبه تکمیلی و مقدماتی دارند و تعمیم آن‌ها نیازمند نمونه بزرگ‌تر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p>
      <w:pPr>
        <w:sectPr>
          <w:footerReference w:type="default" r:id="rId18"/>
          <w:pgNumType w:fmt="hindi"/>
          <w:titlePg/>
        </w:sectPr>
      </w:pPr>
    </w:p>
    <w:p>
      <w:pPr>
        <w:bidi w:val="1"/>
        <w:spacing w:lineRule="exact" w:line="580" w:before="120" w:after="240"/>
        <w:jc w:val="center"/>
        <w:outlineLvl w:val="0"/>
      </w:pPr>
      <w:r>
        <w:rPr>
          <w:rFonts w:ascii="B Nazanin" w:hAnsi="B Nazanin" w:cs="B Nazanin" w:hint="cs"/>
          <w:b/>
          <w:bCs/>
          <w:sz w:val="56"/>
          <w:szCs w:val="56"/>
          <w:rtl/>
          <w:lang w:bidi="fa-IR"/>
        </w:rPr>
        <w:t xml:space="preserve">فصل پنجم: بحث و نتیجه‌گیری</w:t>
      </w:r>
    </w:p>
    <w:p>
      <w:pPr>
        <w:bidi/>
        <w:jc w:val="center"/>
        <w:spacing w:line="580" w:lineRule="exact"/>
      </w:pPr>
      <w:r>
        <w:rPr>
          <w:rFonts w:ascii="B Nazanin" w:hAnsi="B Nazanin" w:cs="B Nazanin"/>
          <w:i/>
          <w:iCs/>
          <w:sz w:val="22"/>
          <w:szCs w:val="22"/>
        </w:rPr>
        <w:t>این فصل نمونه آموزشی مبتنی بر داده شبیه‌سازی‌شده است و صرفاً برای نمایش روش تحلیل آماری تهیه شده است. متن نهایی فصل پس از تحلیل داده‌های واقعی پژوهش بازنویسی خواهد شد.</w:t>
      </w:r>
    </w:p>
    <w:p>
      <w:pPr>
        <w:pStyle w:val="Heading2"/>
        <w:bidi w:val="1"/>
        <w:jc w:val="right"/>
        <w:outlineLvl w:val="1"/>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هر چهار فرضیه تأیید گردیدند.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در این چارچوب، اضطراب صفتی (اسپیلبرگر، ۱۹۸۳) زمینه هیجانی پایداری فراهم می‌کند که در آن الگوهای شناختی ناسازگار شکل می‌گیرند و تداوم می‌یابند (بک، ۱۹۷۶؛ یانگ و همکاران، ۲۰۰۳) و این الگوها خود تصمیم‌گیری در موقعیت‌های نامطمئن را تحت تأثیر قرار می‌دهند (کانمن و تورسکی، ۱۹۷۹).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بخش ۵-۴ نتیجه‌گیری کلی، بخش ۵-۵ کاربردهای عملی، بخش ۵-۶ محدودیت‌ها و بخش ۵-۷ پیشنهادهای پژوهشی را ارائه می‌دهند. بخش ۵-۸ نیز با جمع‌بندی نهایی فصل را می‌بندد.</w:t>
      </w:r>
    </w:p>
    <w:p>
      <w:pPr>
        <w:pStyle w:val="Heading2"/>
        <w:bidi w:val="1"/>
        <w:jc w:val="right"/>
        <w:outlineLvl w:val="1"/>
      </w:pPr>
      <w:r>
        <w:rPr>
          <w:rFonts w:ascii="B Nazanin" w:hAnsi="B Nazanin" w:cs="B Nazanin" w:hint="cs"/>
          <w:b/>
          <w:bCs/>
          <w:sz w:val="28"/>
          <w:szCs w:val="28"/>
          <w:rtl/>
          <w:lang w:bidi="fa-IR"/>
        </w:rPr>
        <w:t xml:space="preserve">۵-۲. خلاصه یافته‌ها</w:t>
      </w:r>
    </w:p>
    <w:p>
      <w:pPr>
        <w:bidi w:val="1"/>
        <w:spacing w:lineRule="exact" w:line="580" w:after="0"/>
        <w:jc w:val="both"/>
      </w:pPr>
      <w:r>
        <w:rPr>
          <w:rFonts w:ascii="B Nazanin" w:hAnsi="B Nazanin" w:cs="B Nazanin" w:hint="cs"/>
          <w:sz w:val="24"/>
          <w:szCs w:val="24"/>
          <w:rtl/>
          <w:lang w:bidi="fa-IR"/>
        </w:rPr>
        <w:t xml:space="preserve">مسئله پژوهش، تبیین سازوکار پیوند میان اضطراب صفتی و رفتارهای مالی پرخطر در معامله‌گران بازارهای مالی بود و نقش میانجی طرحواره‌های ناسازگار اولیه در این رابطه آزمون شد. داده‌ها از ۱۸۵ معامله‌گر معتبر (از ۲۴۳ پاسخ خام، پس از حذف ۵۸ پاسخ در شش مرحله غربالگری) گردآوری شد. میانگین سنی نمونه ۳۶٫۳ سال بود، دوسوم آن را مردان تشکیل می‌دادند و بازار اصلی فعالیت ۴۲٫۷ درصد بورس بود. ابزارهای پژوهش عبارت بودند از فرم اضطراب صفتی اسپیلبرگر (۲۰ گویه با ۸ گویه معکوس، دامنه ۲۰ تا ۸۰)، فرم کوتاه طرحواره یانگ (۷۵ گویه در ۱۵ طرحواره ۵ گویه‌ای بدون گویه معکوس، دامنه ۷۵ تا ۴۵۰) و مقیاس ۱۳ سؤالی تحمل ریسک گرابل و لایتون (دامنه ۱۳ تا ۵۲) که نمره بالاتر در آن نشان‌دهنده تحمل ریسک بیشتر و تمایل بالاتر به رفتار پرخطر است.</w:t>
      </w:r>
    </w:p>
    <w:p>
      <w:pPr>
        <w:bidi w:val="1"/>
        <w:spacing w:lineRule="exact" w:line="580" w:after="0"/>
        <w:jc w:val="both"/>
      </w:pPr>
      <w:r>
        <w:rPr>
          <w:rFonts w:ascii="B Nazanin" w:hAnsi="B Nazanin" w:cs="B Nazanin" w:hint="cs"/>
          <w:sz w:val="24"/>
          <w:szCs w:val="24"/>
          <w:rtl/>
          <w:lang w:bidi="fa-IR"/>
        </w:rPr>
        <w:t xml:space="preserve">میانگین اضطراب صفتی ۴۵٫۳۶ (انحراف معیار ۱۱٫۴۲)، میانگین طرحواره‌ها ۲۱۸٫۱۱ (انحراف معیار ۴۰٫۷۸) و میانگین رفتارهای مالی پرخطر ۳۱٫۸۰ (انحراف معیار ۷٫۶۳) بود و هر سه دامنه مشاهده‌شده درون دامنه نظری ابزار مربوطه قرار گرفت. پایایی هر سه ابزار مطلوب بود (آلفای ۰٫۸۸، ۰٫۹۲ و ۰٫۸۲) و پایایی ۱۵ خرده‌مقیاس طرحواره بین ۰٫۶۱ تا ۰٫۷۸ قرار گرفت. پیش‌فرض‌های تحلیل نیز برقرار بودند: هیچ مورد پرت چندمتغیره‌ای دیده نشد (بیشینه ماهالانوبیس ۱۴٫۸۸ در برابر مقدار بحرانی ۱۶٫۲۷)، هم‌خطی نگران‌کننده نبود (عامل تورم واریانس ۱٫۳۴) و پسماندها مستقل بودند (دوربین–واتسون ۱٫۸۱).</w:t>
      </w:r>
    </w:p>
    <w:p>
      <w:pPr>
        <w:bidi w:val="1"/>
        <w:spacing w:lineRule="exact" w:line="580" w:after="0"/>
        <w:jc w:val="both"/>
      </w:pPr>
      <w:r>
        <w:rPr>
          <w:rFonts w:ascii="B Nazanin" w:hAnsi="B Nazanin" w:cs="B Nazanin" w:hint="cs"/>
          <w:sz w:val="24"/>
          <w:szCs w:val="24"/>
          <w:rtl/>
          <w:lang w:bidi="fa-IR"/>
        </w:rPr>
        <w:t xml:space="preserve">هر سه فرضیه فرعی تأیید شدند: رابطه اضطراب صفتی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رابطه اضطراب صفتی با طرحواره‌های ناسازگار اولیه</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و رابطه طرحواره‌ها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اصلی نیز تأیید شد: اثر غیرمستقیم اضطراب بر رفتار پرخطر از مسیر طرحواره‌ها برابر ۰٫۰۷۰ بود و فاصله اطمینان ۹۵ درصد آن (۰٫۰۱۱ تا ۰٫۱۳۳) صفر را در بر نداشت؛ چون اثر مستقیم نیز پس از کنترل میانجی معنادار ماند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الگوی به‌دست‌آمده از نوع میانجی‌گری جزئی است و حدود یک‌سوم اثر کل از مسیر میانجی می‌گذرد. تحلیل مسیر تکمیلی با متغیرهای مشاهده‌شده نیز همسو بود: مدل اشباع ضرایب استانداردشده ۰٫۵۰۱، ۰٫۲۰۹ و ۰٫۲۲۲ را نشان داد و مدل مقید میانجی‌گری کامل رد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w:t>
      </w:r>
    </w:p>
    <w:p>
      <w:pPr>
        <w:pStyle w:val="Heading2"/>
        <w:bidi w:val="1"/>
        <w:jc w:val="right"/>
        <w:outlineLvl w:val="1"/>
      </w:pPr>
      <w:r>
        <w:rPr>
          <w:rFonts w:ascii="B Nazanin" w:hAnsi="B Nazanin" w:cs="B Nazanin" w:hint="cs"/>
          <w:b/>
          <w:bCs/>
          <w:sz w:val="28"/>
          <w:szCs w:val="28"/>
          <w:rtl/>
          <w:lang w:bidi="fa-IR"/>
        </w:rPr>
        <w:t xml:space="preserve">۵-۳. بحث درباره یافته‌ها</w:t>
      </w:r>
    </w:p>
    <w:p>
      <w:pPr>
        <w:pStyle w:val="Heading3"/>
        <w:bidi w:val="1"/>
        <w:jc w:val="right"/>
        <w:outlineLvl w:val="1"/>
      </w:pPr>
      <w:r>
        <w:rPr>
          <w:rFonts w:ascii="B Nazanin" w:hAnsi="B Nazanin" w:cs="B Nazanin" w:hint="cs"/>
          <w:b/>
          <w:bCs/>
          <w:sz w:val="26"/>
          <w:szCs w:val="26"/>
          <w:rtl/>
          <w:lang w:bidi="fa-IR"/>
        </w:rPr>
        <w:t xml:space="preserve">۵-۳-۱. فرضیه اصلی: میانجی‌گری جزئی طرحواره‌های ناسازگار اولیه</w:t>
      </w:r>
    </w:p>
    <w:p>
      <w:pPr>
        <w:bidi w:val="1"/>
        <w:spacing w:lineRule="exact" w:line="580" w:after="0"/>
        <w:jc w:val="both"/>
      </w:pPr>
      <w:r>
        <w:rPr>
          <w:rFonts w:ascii="B Nazanin" w:hAnsi="B Nazanin" w:cs="B Nazanin" w:hint="cs"/>
          <w:sz w:val="24"/>
          <w:szCs w:val="24"/>
          <w:rtl/>
          <w:lang w:bidi="fa-IR"/>
        </w:rPr>
        <w:t xml:space="preserve">مهم‌ترین یافته پژوهش، تأیید نقش میانجی طرحواره‌های ناسازگار اولیه در رابطه اضطراب صفتی با رفتارهای مالی پرخطر است. اثر غیرمستقیم معنادار (۰٫۰۷۰ با فاصله اطمینان ۰٫۰۱۱ تا ۰٫۱۳۳) در کنار معنادار ماندن اثر مستقیم (۰٫۱۴۹؛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نشان می‌دهد که طرحواره‌ها بخشی از سازوکار این پیوند را حمل می‌کنند، اما همه آن را توضیح نمی‌دهند. این الگوی میانجی‌گری جزئی دقیقاً همان چیزی است که مدل آسیب‌پذیری-استرس پیش‌بینی می‌کند: ویژگی زمینه‌ای اضطراب از مسیر الگوهای شناختی ناسازگار به پیامد رفتاری می‌رسد، بی‌آنکه این مسیر یگانه باشد (زاکرمن، ۱۹۹۹؛ بک، ۱۹۷۶).</w:t>
      </w:r>
    </w:p>
    <w:p>
      <w:pPr>
        <w:bidi w:val="1"/>
        <w:spacing w:lineRule="exact" w:line="580" w:after="0"/>
        <w:jc w:val="both"/>
      </w:pPr>
      <w:r>
        <w:rPr>
          <w:rFonts w:ascii="B Nazanin" w:hAnsi="B Nazanin" w:cs="B Nazanin" w:hint="cs"/>
          <w:sz w:val="24"/>
          <w:szCs w:val="24"/>
          <w:rtl/>
          <w:lang w:bidi="fa-IR"/>
        </w:rPr>
        <w:t xml:space="preserve">سازوکار این میانجی‌گری را می‌توان در دو گام خواند. در گام نخست، اضطراب صفتی بالا با فعال‌سازی و تداوم طرحواره‌ها پیوند می‌خورد؛ یافته‌ای که با دیدگاه بک و کلارک (۱۹۹۷) درباره سوگیری پردازش اطلاعات در اضطراب و نظریه کنترل توجه آیزنک و همکاران (۲۰۰۷) سازگار است و در پژوهش‌های هالورسن و همکاران (۲۰۰۹) و ریم و همکاران (۲۰۱۵) درباره پیوند روان‌رنجوری با طرحواره‌های ناسازگار نیز دیده شده است. در گام دوم، طرحواره‌های فعال، تصمیم‌گیری در موقعیت‌های مالی نامطمئن را به سمت رفتارهای پرخطر سوق می‌دهند؛ همسو با شواهد شوری و همکاران (۲۰۱۲) و مرور نظام‌مند ویرا و همکاران (۲۰۲۳) درباره پیوند طرحواره‌ها با رفتارهای اعتیادی و پرخطر. سابقه پژوهشی میانجی‌گری نیز از این الگو پشتیبانی می‌کند: سافیتری و همکاران (۲۰۲۵) نشان دادند که اثر عوامل روانی-اجتماعی بر تصمیم سرمایه‌گذاری از مسیر تحمل ریسک می‌گذرد و اولولو و همکاران (۲۰۲۴) با مداخله آموزشی-شناختی، نگرش به ریسک مالی را بهبود دادند که بر شکل‌پذیری این مسیر دلالت دارد.</w:t>
      </w:r>
    </w:p>
    <w:p>
      <w:pPr>
        <w:bidi w:val="1"/>
        <w:spacing w:lineRule="exact" w:line="580" w:after="0"/>
        <w:jc w:val="both"/>
      </w:pPr>
      <w:r>
        <w:rPr>
          <w:rFonts w:ascii="B Nazanin" w:hAnsi="B Nazanin" w:cs="B Nazanin" w:hint="cs"/>
          <w:sz w:val="24"/>
          <w:szCs w:val="24"/>
          <w:rtl/>
          <w:lang w:bidi="fa-IR"/>
        </w:rPr>
        <w:t xml:space="preserve">جزئی بودن میانجی‌گری نیز به‌اندازه خود آن معنادار است: حدود یک‌سوم اثر کل از مسیر طرحواره‌ها می‌گذرد و دوسوم دیگر مستقیم یا از مسیرهای دیگر است. این سهم باقیمانده می‌تواند بازتاب سازوکارهای هیجانی مستقیم (مانند واکنش‌پذیری هیجانی معامله‌گران که لو و رپین (۲۰۰۲) گزارش کردند)، سوگیری‌های رفتاری مستقل از طرحواره (مانند رفتار توده‌وار در شرایط استرس بازار؛ هوانگ و سالمون، ۲۰۰۴) یا تفاوت‌های فردی دیگر باشد. رد مدل مقید میانجی‌گری کامل در تحلیل تکمیلی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نیز مؤید همین نکته است: حذف اثر مستقیم، برازش مدل را به‌طور معنادار تضعیف می‌کند.</w:t>
      </w:r>
    </w:p>
    <w:p>
      <w:pPr>
        <w:pStyle w:val="Heading3"/>
        <w:bidi w:val="1"/>
        <w:jc w:val="right"/>
        <w:outlineLvl w:val="1"/>
      </w:pPr>
      <w:r>
        <w:rPr>
          <w:rFonts w:ascii="B Nazanin" w:hAnsi="B Nazanin" w:cs="B Nazanin" w:hint="cs"/>
          <w:b/>
          <w:bCs/>
          <w:sz w:val="26"/>
          <w:szCs w:val="26"/>
          <w:rtl/>
          <w:lang w:bidi="fa-IR"/>
        </w:rPr>
        <w:t xml:space="preserve">۵-۳-۲. فرضیه دوم: رابطه اضطراب صفتی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اضطراب صفتی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 با اندازه‌اثر کوچک تا متوسط، فرضیه دوم را تأیید کرد. این یافته با شواهدی همسوست که اضطراب را با تصمیم‌گیری مختل در موقعیت‌های مالی پیوند می‌دهند: هارتلی و فلپس (۲۰۱۲) نقش اضطراب در تصمیم‌گیری را مستند کردند، لو و همکاران (۲۰۰۵) نشان دادند که واکنش‌پذیری هیجانی شدید با عملکرد ضعیف‌تر معامله‌گران روزانه همراه است، گامبتی و جوسبرتی (۲۰۱۲) اثر اضطراب بر تصمیم‌های سرمایه‌گذاری را گزارش کردند و فنتون-اوکریوی و همکاران (۲۰۱۱) تأثیر هیجان‌ها بر تصمیم و عملکرد معامله‌گران را نشان دادند. در پیشینه داخلی نیز ستایش و همکاران (۱۳۹۹) پیوند ویژگی‌های شخصیتی با رفتار معاملاتی سرمایه‌گذاران حقیقی و فلاح و خدایی (۱۳۹۸) پیوند سبک‌های تصمیم‌گیری با عملکرد سرمایه‌گذاری را گزارش کرده‌اند.</w:t>
      </w:r>
    </w:p>
    <w:p>
      <w:pPr>
        <w:bidi w:val="1"/>
        <w:spacing w:lineRule="exact" w:line="580" w:after="0"/>
        <w:jc w:val="both"/>
      </w:pPr>
      <w:r>
        <w:rPr>
          <w:rFonts w:ascii="B Nazanin" w:hAnsi="B Nazanin" w:cs="B Nazanin" w:hint="cs"/>
          <w:sz w:val="24"/>
          <w:szCs w:val="24"/>
          <w:rtl/>
          <w:lang w:bidi="fa-IR"/>
        </w:rPr>
        <w:t xml:space="preserve">با این حال، اندازه‌اثر کوچک تا متوسط و وجود شواهد ناهمسو، تفسیر محتاطانه را ایجاب می‌کند. ماهاتو و همکاران (۲۰۲۵) اثر منفی اضطراب صفتی بر تصمیم‌های سرمایه‌گذاری نسل جوان را گزارش کردند، منر و اشمیت (۲۰۰۶) نشان دادند که اضطراب در برخی شرایط به اجتناب از ریسک می‌انجامد و لاوریولا و لوین (۲۰۰۱) نیز بر مشروط بودن پیوند صفات شخصیتی با تصمیم پرخطر تأکید کردند. این ناهمسویی ظاهری را می‌توان با تفاوت در تعریف پیامد توضیح داد: اضطراب ممکن است همزمان «نگرش به ریسک» را منفی کند و «رفتار پرخطر» (مانند معاملات هیجانی یا جبران‌جویانه) را افزایش دهد. به بیان دیگر، مضطرب بودن با احتیاط در نگرش سازگار است، اما در عملِ معامله‌گریِ پُراسترس می‌تواند به رفتارهای تکانشی و پرخطر بینجامد؛ تفکیکی که پژوهش‌های آتی باید با سنجش جداگانه نگرش و رفتار آن را بیازمایند.</w:t>
      </w:r>
    </w:p>
    <w:p>
      <w:pPr>
        <w:pStyle w:val="Heading3"/>
        <w:bidi w:val="1"/>
        <w:jc w:val="right"/>
        <w:outlineLvl w:val="1"/>
      </w:pPr>
      <w:r>
        <w:rPr>
          <w:rFonts w:ascii="B Nazanin" w:hAnsi="B Nazanin" w:cs="B Nazanin" w:hint="cs"/>
          <w:b/>
          <w:bCs/>
          <w:sz w:val="26"/>
          <w:szCs w:val="26"/>
          <w:rtl/>
          <w:lang w:bidi="fa-IR"/>
        </w:rPr>
        <w:t xml:space="preserve">۵-۳-۳. فرضیه سوم: رابطه اضطراب صفتی با طرحواره‌های ناسازگار اولیه</w:t>
      </w:r>
    </w:p>
    <w:p>
      <w:pPr>
        <w:bidi w:val="1"/>
        <w:spacing w:lineRule="exact" w:line="580" w:after="0"/>
        <w:jc w:val="both"/>
      </w:pPr>
      <w:r>
        <w:rPr>
          <w:rFonts w:ascii="B Nazanin" w:hAnsi="B Nazanin" w:cs="B Nazanin" w:hint="cs"/>
          <w:sz w:val="24"/>
          <w:szCs w:val="24"/>
          <w:rtl/>
          <w:lang w:bidi="fa-IR"/>
        </w:rPr>
        <w:t xml:space="preserve">قوی‌ترین رابطه دوتایی پژوهش، پیوند اضطراب صفتی با طرحواره‌های ناسازگار اولیه بود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 با اندازه‌اثر متوسط رو به بزرگ که ۲۵٫۱ درصد واریانس طرحواره‌ها را تبیین می‌کند. این یافته، ستون فقرات مدل مفهومی پژوهش است و با مبانی نظری کاملاً سازگار است: در مدل شناختی اضطراب، سوگیری توجه و تفسیر، مواد خام تداوم طرحواره‌ها را فراهم می‌کنند (بک و کلارک، ۱۹۹۷) و نقص کنترل توجه در اضطراب، رهایی از چرخه نشخوار طرحواره‌محور را دشوار می‌سازد (آیزنک و همکاران، ۲۰۰۷). مرور میته (۲۰۰۷) نیز بر نقش پردازش شناختی در پیوند اضطراب با تصمیم‌گیری تأکید دارد.</w:t>
      </w:r>
    </w:p>
    <w:p>
      <w:pPr>
        <w:bidi w:val="1"/>
        <w:spacing w:lineRule="exact" w:line="580" w:after="0"/>
        <w:jc w:val="both"/>
      </w:pPr>
      <w:r>
        <w:rPr>
          <w:rFonts w:ascii="B Nazanin" w:hAnsi="B Nazanin" w:cs="B Nazanin" w:hint="cs"/>
          <w:sz w:val="24"/>
          <w:szCs w:val="24"/>
          <w:rtl/>
          <w:lang w:bidi="fa-IR"/>
        </w:rPr>
        <w:t xml:space="preserve">شواهد تجربی نیز هم‌جهت‌اند: هالورسن و همکاران (۲۰۰۹) و ریم و همکاران (۲۰۱۵) پیوند معنادار روان‌رنجوری با طرحواره‌های ناسازگار را نشان دادند و آرنتز و یاکوب (۲۰۱۲) تداوم طرحواره‌ها در بستر برانگیختگی هیجانی را از مفروضات بنیادین طرحواره‌درمانی می‌دانند. در پیشینه داخلی، نوری و هاشمیان (۱۳۹۶) رابطه طرحواره‌های ناسازگار با اضطراب اجتماعی و امیدی و همکاران (۱۳۹۲) پیوند این طرحواره‌ها با گرایش به رفتارهای مسئله‌ساز را گزارش کرده‌اند. بزرگی نسبی این اثر در مقایسه با دو فرضیه دیگر (۰٫۵۰۱ در برابر ۰٫۳۲۷ و ۰٫۳۲۱) نشان می‌دهد که پیوند اضطراب با ساختارهای شناختی، نیرومندتر از پیوند مستقیم آن با رفتار مالی است؛ دقیقاً همان الگویی که ضرورت آزمون میانجی‌گری را موجه می‌ساخت.</w:t>
      </w:r>
    </w:p>
    <w:p>
      <w:pPr>
        <w:pStyle w:val="Heading3"/>
        <w:bidi w:val="1"/>
        <w:jc w:val="right"/>
        <w:outlineLvl w:val="1"/>
      </w:pPr>
      <w:r>
        <w:rPr>
          <w:rFonts w:ascii="B Nazanin" w:hAnsi="B Nazanin" w:cs="B Nazanin" w:hint="cs"/>
          <w:b/>
          <w:bCs/>
          <w:sz w:val="26"/>
          <w:szCs w:val="26"/>
          <w:rtl/>
          <w:lang w:bidi="fa-IR"/>
        </w:rPr>
        <w:t xml:space="preserve">۵-۳-۴. فرضیه چهارم: رابطه طرحواره‌های ناسازگار اولیه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طرحواره‌ها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 با اندازه‌اثر کوچک تا متوسط، فرضیه چهارم را تأیید کرد. این یافته را می‌توان در چارچوب نظریه چشم‌انداز خواند: طرحواره‌هایی مانند آسیب‌پذیری، استحقاق یا خویشتن‌داری ناکافی می‌توانند چارچوب مرجع تصمیم‌گیرنده را جابه‌جا کنند و او را در ناحیه زیان به ریسک‌پذیری بیشتر یا در پی جبران، به معاملات پرخطر سوق دهند (کانمن و تورسکی، ۱۹۷۹). ادبیات مالی-رفتاری نیز سرشار از سازوکارهایی است که با فعال‌سازی طرحواره‌ها هم‌خوان‌اند: تمایل به فروش زودهنگام برندگان و نگه‌داشتن بازندگان (شفرین و استاتمن، ۱۹۸۵)، معامله بیش‌ازحد زیان‌بار (باربر و اودین، ۲۰۰۰) و رفتار توده‌وار در استرس بازار (هوانگ و سالمون، ۲۰۰۴) همگی الگوهایی‌اند که ریشه شناختی-هیجانی دارند (بیکر و نافسینگر، ۲۰۱۰؛ تیلر، ۲۰۱۶).</w:t>
      </w:r>
    </w:p>
    <w:p>
      <w:pPr>
        <w:bidi w:val="1"/>
        <w:spacing w:lineRule="exact" w:line="580" w:after="0"/>
        <w:jc w:val="both"/>
      </w:pPr>
      <w:r>
        <w:rPr>
          <w:rFonts w:ascii="B Nazanin" w:hAnsi="B Nazanin" w:cs="B Nazanin" w:hint="cs"/>
          <w:sz w:val="24"/>
          <w:szCs w:val="24"/>
          <w:rtl/>
          <w:lang w:bidi="fa-IR"/>
        </w:rPr>
        <w:t xml:space="preserve">در سطح رفتاری-اعتیادی نیز شواهد همسوست: شوری و همکاران (۲۰۱۲) پیوند طرحواره‌ها با قمار مسئله‌ساز و ویرا و همکاران (۲۰۲۳) پیوند آن‌ها با اعتیادهای رفتاری را مستند کردند که با توجه به شباهت معامله‌گری پُرریسک با رفتارهای اعتیادی، قابل تعمیم به بستر پژوهش حاضر است. در پیشینه داخلی، بهدیو و همکاران (۱۳۹۸) اثر ریسک‌پذیری و ویژگی‌های فردی بر رفتار توده‌وار سرمایه‌گذاران و فروغی و تهرانی (۱۳۹۷) نقش تعدیل‌گر سواد مالی در رابطه سوگیری‌های رفتاری با عملکرد را نشان دادند که بر اهمیت بستر شناختی تصمیم مالی تأکید دارد. همچنین پدیده ترس از جاماندن و جنبه‌های تاریک معامله‌گری اجتماعی (آور و شوماخر، ۲۰۲۳) نمونه معاصری از همین مسیر طرحواره-به-رفتار است. در مجموع، یافته فرضیه چهارم نشان می‌دهد که طرحواره‌های ناسازگار، صرفاً یک متغیر بالینی نیستند، بلکه در بستر بازارهای مالی نیز با رفتار عینی معامله‌گر پیوند می‌خورند.</w:t>
      </w:r>
    </w:p>
    <w:p>
      <w:pPr>
        <w:pStyle w:val="Heading3"/>
        <w:bidi w:val="1"/>
        <w:jc w:val="right"/>
        <w:outlineLvl w:val="1"/>
      </w:pPr>
      <w:r>
        <w:rPr>
          <w:rFonts w:ascii="B Nazanin" w:hAnsi="B Nazanin" w:cs="B Nazanin" w:hint="cs"/>
          <w:b/>
          <w:bCs/>
          <w:sz w:val="26"/>
          <w:szCs w:val="26"/>
          <w:rtl/>
          <w:lang w:bidi="fa-IR"/>
        </w:rPr>
        <w:t xml:space="preserve">۵-۳-۵. جمع‌بندی نظری بحث</w:t>
      </w:r>
    </w:p>
    <w:p>
      <w:pPr>
        <w:bidi w:val="1"/>
        <w:spacing w:lineRule="exact" w:line="580" w:after="0"/>
        <w:jc w:val="both"/>
      </w:pPr>
      <w:r>
        <w:rPr>
          <w:rFonts w:ascii="B Nazanin" w:hAnsi="B Nazanin" w:cs="B Nazanin" w:hint="cs"/>
          <w:sz w:val="24"/>
          <w:szCs w:val="24"/>
          <w:rtl/>
          <w:lang w:bidi="fa-IR"/>
        </w:rPr>
        <w:t xml:space="preserve">در کنار هم، یافته‌های چهار فرضیه زنجیره نظری پژوهش را پشتیبانی می‌کنند: اضطراب صفتی نیرومندترین پیوند را با طرحواره‌ها دارد (۰٫۵۰۱)، طرحواره‌ها با رفتار پرخطر پیوند معنادار دارند (۰٫۳۲۱) و بخشی از اثر اضطراب بر رفتار (۰٫۳۲۷) از مسیر طرحواره‌ها می‌گذرد (اثر غیرمستقیم ۰٫۰۷۰). این الگو با منطق مدل آسیب‌پذیری-استرس سازگار است که در آن ویژگی زمینه‌ای از مسیر سازوکار شناختی به پیامد می‌رسد (زاکرمن، ۱۹۹۹). در عین حال، میانجی‌گری جزئی و اندازه‌اثرهای کوچک تا متوسط در سطح رفتار، یادآوری می‌کند که رفتار مالی پرخطر پدیده‌ای چندعاملی است و مدل حاضر تنها برشی از شبکه علّی آن را روشن می‌کند.</w:t>
      </w:r>
    </w:p>
    <w:p>
      <w:pPr>
        <w:pStyle w:val="Heading2"/>
        <w:bidi w:val="1"/>
        <w:jc w:val="right"/>
        <w:outlineLvl w:val="1"/>
      </w:pPr>
      <w:r>
        <w:rPr>
          <w:rFonts w:ascii="B Nazanin" w:hAnsi="B Nazanin" w:cs="B Nazanin" w:hint="cs"/>
          <w:b/>
          <w:bCs/>
          <w:sz w:val="28"/>
          <w:szCs w:val="28"/>
          <w:rtl/>
          <w:lang w:bidi="fa-IR"/>
        </w:rPr>
        <w:t xml:space="preserve">۵-۴. همسویی و ناهمسویی یافته‌ها با پیشینه پژوهش</w:t>
      </w:r>
    </w:p>
    <w:p>
      <w:pPr>
        <w:bidi w:val="1"/>
        <w:spacing w:lineRule="exact" w:line="580" w:after="0"/>
        <w:jc w:val="both"/>
      </w:pPr>
      <w:r>
        <w:rPr>
          <w:rFonts w:ascii="B Nazanin" w:hAnsi="B Nazanin" w:cs="B Nazanin" w:hint="cs"/>
          <w:sz w:val="24"/>
          <w:szCs w:val="24"/>
          <w:rtl/>
          <w:lang w:bidi="fa-IR"/>
        </w:rPr>
        <w:t xml:space="preserve">الگوی کلی یافته‌ها با پیشینه نظری و تجربی همسوست. در سطح نظری، زنجیره اضطراب-طرحواره-رفتار با مدل شناختی اضطراب (بک و کلارک، ۱۹۹۷)، نظریه کنترل توجه (آیزنک و همکاران، ۲۰۰۷)، مدل طرحواره (یانگ و همکاران، ۲۰۰۳) و منطق آسیب‌پذیری-استرس (زاکرمن، ۱۹۹۹) سازگار است و قوی‌ترین حلقه آن (رابطه ۰٫۵۰۱ اضطراب با طرحواره‌ها) دقیقاً همان پیوندی است که این نظریه‌ها کانونی می‌دانند. در سطح تجربی خارجی، یافته میانجی‌گری با سابقه اثر غیرمستقیم عوامل روانی از مسیر تحمل ریسک (سافیتری و همکاران، ۲۰۲۵) و شکل‌پذیری نگرش به ریسک در مداخله‌های شناختی (اولولو و همکاران، ۲۰۲۴) هم‌جهت است و پیوند طرحواره‌ها با رفتارهای پرخطر نیز با شواهد شوری و همکاران (۲۰۱۲) و مرور ویرا و همکاران (۲۰۲۳) همسوست. در پیشینه داخلی نیز هر چهار یافته، همتای همسو دارند: پیوند شخصیت با رفتار معاملاتی (ستایش و همکاران، ۱۳۹۹)، اثر ویژگی‌های فردی بر رفتار توده‌وار (بهدیو و همکاران، ۱۳۹۸)، پیوند سبک تصمیم‌گیری با عملکرد (فلاح و خدایی، ۱۳۹۸)، نقش سواد مالی (فروغی و تهرانی، ۱۳۹۷) و پیوند طرحواره‌ها با اضطراب و رفتار مسئله‌ساز (نوری و هاشمیان، ۱۳۹۶؛ امیدی و همکاران، ۱۳۹۲).</w:t>
      </w:r>
    </w:p>
    <w:p>
      <w:pPr>
        <w:bidi w:val="1"/>
        <w:spacing w:lineRule="exact" w:line="580" w:after="0"/>
        <w:jc w:val="both"/>
      </w:pPr>
      <w:r>
        <w:rPr>
          <w:rFonts w:ascii="B Nazanin" w:hAnsi="B Nazanin" w:cs="B Nazanin" w:hint="cs"/>
          <w:sz w:val="24"/>
          <w:szCs w:val="24"/>
          <w:rtl/>
          <w:lang w:bidi="fa-IR"/>
        </w:rPr>
        <w:t xml:space="preserve">ناهمسویی اصلی، در فرضیه دوم و در اندازه‌اثرهای سطح رفتار دیده می‌شود. اثر منفی اضطراب صفتی بر تصمیم سرمایه‌گذاری (ماهاتو و همکاران، ۲۰۲۵)، اجتناب از ریسک در افراد مضطرب (منر و اشمیت، ۲۰۰۶) و مشروط بودن پیوند صفات با تصمیم پرخطر (لاوریولا و لوین، ۲۰۰۱) با رابطه مثبت ۰٫۳۲۷ این پژوهش در تنش‌اند. این تنش، چنان‌که در بخش ۵-۳-۲ بحث شد، با تفکیک «نگرش به ریسک» از «رفتار پرخطر» قابل رفع است: اضطراب می‌تواند همزمان نگرش را محتاط و رفتار معاملاتی را تکانشی کند. همچنین کوچک تا متوسط بودن اثرها در سطح رفتار (۰٫۳۲۷ و ۰٫۳۲۱ در برابر ۰٫۵۰۱ در سطح شناخت) خود یک یافته مرزی است: مدل‌های شناختی-هیجانی، رفتار مالی را تبیین می‌کنند اما به‌تنهایی آن را تعیین نمی‌کنند. در سطح سنجش نیز یافته‌ها با خوانش عملیاتی مقیاس گرابل و لایتون (۱۹۹۹) سازگارند: نمره بالاتر به معنای تحمل ریسک بیشتر و تمایل بالاتر به رفتار پرخطر است و همبستگی‌های مثبت معنادار و الگوی میانجی‌گری به‌دست‌آمده با همین خوانش هم‌جهت‌اند.</w:t>
      </w:r>
    </w:p>
    <w:p>
      <w:pPr>
        <w:pStyle w:val="Heading2"/>
        <w:bidi w:val="1"/>
        <w:jc w:val="right"/>
        <w:outlineLvl w:val="1"/>
      </w:pPr>
      <w:r>
        <w:rPr>
          <w:rFonts w:ascii="B Nazanin" w:hAnsi="B Nazanin" w:cs="B Nazanin" w:hint="cs"/>
          <w:b/>
          <w:bCs/>
          <w:sz w:val="28"/>
          <w:szCs w:val="28"/>
          <w:rtl/>
          <w:lang w:bidi="fa-IR"/>
        </w:rPr>
        <w:t xml:space="preserve">۵-۵. دلالت‌های کاربردی</w:t>
      </w:r>
    </w:p>
    <w:p>
      <w:pPr>
        <w:bidi w:val="1"/>
        <w:spacing w:lineRule="exact" w:line="580" w:after="0"/>
        <w:jc w:val="both"/>
      </w:pPr>
      <w:r>
        <w:rPr>
          <w:rFonts w:ascii="B Nazanin" w:hAnsi="B Nazanin" w:cs="B Nazanin" w:hint="cs"/>
          <w:sz w:val="24"/>
          <w:szCs w:val="24"/>
          <w:rtl/>
          <w:lang w:bidi="fa-IR"/>
        </w:rPr>
        <w:t xml:space="preserve">نخست، یافته‌ها بر ارزش خودارزیابی روان‌شناختی برای معامله‌گران دلالت دارند: آگاهی از سطح اضطراب صفتی و الگوهای طرحواره‌ای می‌تواند به معامله‌گر کمک کند تا موقعیت‌های آسیب‌پذیری خود (مانند معاملات جبران‌جویانه پس از زیان یا تصمیم‌گیری در اوج برانگیختگی) را بشناسد و راهبردهای وقفه و بازبینی را به کار بندد. دوم، اثربخشی مداخله‌های شناختی-رفتاری بر نگرش به ریسک مالی (اولولو و همکاران، ۲۰۲۴) و مبانی طرحواره‌درمانی (آرنتز و یاکوب، ۲۰۱۲) نشان می‌دهند که مسیر میانجی شناسایی‌شده در این پژوهش، هدفی شدنی برای مداخله است؛ کارگاه‌های تنظیم هیجان و بازسازی شناختی ویژه معامله‌گران می‌توانند همین مسیر را هدف بگیرند. این پیشنهاد با یافته‌های فنتون-اوکریوی و همکاران (۲۰۱۲) درباره پیوند تنظیم هیجان با تخصص معامله‌گری همسوست. سوم، نقش تعدیل‌گر سواد مالی در رابطه سوگیری‌های رفتاری با عملکرد (فروغی و تهرانی، ۱۳۹۷) یادآوری می‌کند که آموزش‌های مالی-رفتاریِ توأم با آموزش روان‌شناختی، از آموزش صرفاً فنی اثربخش‌تر است. چهارم، کارگزاری‌ها و نهادهای ناظر می‌توانند با سازوکارهایی مانند هشدار خودکار در الگوهای معاملاتی پرریسک یا دوره‌های انتظار پیش از معاملات بزرگ، لایه‌ای محافظتی برای معامله‌گران آسیب‌پذیر فراهم کنند.</w:t>
      </w:r>
    </w:p>
    <w:p>
      <w:pPr>
        <w:pStyle w:val="Heading2"/>
        <w:bidi w:val="1"/>
        <w:jc w:val="right"/>
        <w:outlineLvl w:val="1"/>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و مهم‌ترین محدودیت، مقطعی بودن طرح پژوهش است: همه متغیرها در یک مقطع زمانی سنجیده شدند و هیچ‌یک از روابط به‌دست‌آمده، رابطه علّی را اثبات نمی‌کنند. این احتیاط درباره تحلیل میانجی‌گری جدی‌تر است، زیرا استنباط میانجی‌گری بر پیش‌فرض‌های علّی و ترتیبی استوار است که با داده مقطعی به‌طور کامل قابل احراز نیستند (هایز، ۲۰۱۸). دوم، همه داده‌ها خودگزارشی و از طریق پرسشنامه آنلاین گردآوری شدند که آن‌ها را در معرض سوگیری مطلوب‌نمایی اجتماعی و خطای حافظه قرار می‌دهد. سوم، نمونه‌گیری در دسترس و آنلاین بود و نمونه نهایی (۱۸۵ نفر) از حداقل ۲۰۰ نفرِ مورد نیاز برای مدل‌سازی معادلات ساختاری کمتر است (کلاین، ۲۰۱۶)؛ از این رو نتایج تحلیل مسیر جنبه تکمیلی و مقدماتی دارند. چهارم، پیامد پژوهش تنها با یک ابزار (مقیاس تحمل ریسک گرابل و لایتون) سنجیده شد؛ هرچند روایی این مقیاس برای رفتار مالی در مرورهای روان‌سنجی پشتیبانی شده است (گرابل، ۲۰۱۷)، سنجش چندروشی پیامد (مانند داده‌های واقعی معاملات در کنار خودگزارشی) اعتبار یافته‌ها را تقویت می‌کرد. پنجم، نقش میانجی در سطح نمره کل طرحواره‌ها آزمون شد و سهم طرحواره‌های خاص (مانند آسیب‌پذیری یا خویشتن‌داری ناکافی) به‌طور جداگانه بررسی نشد.</w:t>
      </w:r>
    </w:p>
    <w:p>
      <w:pPr>
        <w:pStyle w:val="Heading2"/>
        <w:bidi w:val="1"/>
        <w:jc w:val="right"/>
        <w:outlineLvl w:val="1"/>
      </w:pPr>
      <w:r>
        <w:rPr>
          <w:rFonts w:ascii="B Nazanin" w:hAnsi="B Nazanin" w:cs="B Nazanin" w:hint="cs"/>
          <w:b/>
          <w:bCs/>
          <w:sz w:val="28"/>
          <w:szCs w:val="28"/>
          <w:rtl/>
          <w:lang w:bidi="fa-IR"/>
        </w:rPr>
        <w:t xml:space="preserve">۵-۷. پیشنهادها برای پژوهش‌های آینده</w:t>
      </w:r>
    </w:p>
    <w:p>
      <w:pPr>
        <w:bidi w:val="1"/>
        <w:spacing w:lineRule="exact" w:line="580" w:after="0"/>
        <w:jc w:val="both"/>
      </w:pPr>
      <w:r>
        <w:rPr>
          <w:rFonts w:ascii="B Nazanin" w:hAnsi="B Nazanin" w:cs="B Nazanin" w:hint="cs"/>
          <w:sz w:val="24"/>
          <w:szCs w:val="24"/>
          <w:rtl/>
          <w:lang w:bidi="fa-IR"/>
        </w:rPr>
        <w:t xml:space="preserve">پژوهش‌های آینده می‌توانند نخست با طرح‌های طولی یا تجربی، جهت علّی زنجیره اضطراب-طرحواره-رفتار را بیازمایند. دوم، با نمونه‌های بزرگ‌تر (دست‌کم ۲۰۰ نفر) و نمونه‌گیری تصادفی‌تر، پایداری الگوی میانجی‌گری و برازش مدل مسیر را محک بزنند. سوم، نگرش به ریسک و رفتار پرخطر را با ابزارهای جداگانه بسنجند تا تناقض ظاهری میان احتیاط نگرشی و خطرپذیری رفتاری در افراد مضطرب روشن شود. چهارم، پس از نهایی شدن کلید رسمی حوزه‌بندی، مسیرهای اختصاصی هر حوزه یا هر طرحواره را جداگانه آزمون کنند تا مشخص شود کدام الگوهای شناختی، قوی‌ترین حامل اثر اضطراب بر رفتار مالی‌اند. پنجم، اثربخشی مداخله‌های مبتنی بر طرحواره‌درمانی یا آموزش شناختی-رفتاری را بر رفتار واقعی معامله‌گران در کارآزمایی‌های بالینی بیازمایند. ششم، نقش متغیرهای تعدیل‌گر و کنترل مانند سابقه معامله‌گری، حجم سرمایه، سواد مالی و نوع بازار را در الگوی میانجی‌گری وارد کنند.</w:t>
      </w:r>
    </w:p>
    <w:p>
      <w:pPr>
        <w:pStyle w:val="Heading2"/>
        <w:bidi w:val="1"/>
        <w:jc w:val="right"/>
        <w:outlineLvl w:val="1"/>
      </w:pPr>
      <w:r>
        <w:rPr>
          <w:rFonts w:ascii="B Nazanin" w:hAnsi="B Nazanin" w:cs="B Nazanin" w:hint="cs"/>
          <w:b/>
          <w:bCs/>
          <w:sz w:val="28"/>
          <w:szCs w:val="28"/>
          <w:rtl/>
          <w:lang w:bidi="fa-IR"/>
        </w:rPr>
        <w:t xml:space="preserve">۵-۸. جمع‌بندی نهایی</w:t>
      </w:r>
    </w:p>
    <w:p>
      <w:pPr>
        <w:bidi w:val="1"/>
        <w:spacing w:lineRule="exact" w:line="580" w:after="0"/>
        <w:jc w:val="both"/>
      </w:pPr>
      <w:r>
        <w:rPr>
          <w:rFonts w:ascii="B Nazanin" w:hAnsi="B Nazanin" w:cs="B Nazanin" w:hint="cs"/>
          <w:sz w:val="24"/>
          <w:szCs w:val="24"/>
          <w:rtl/>
          <w:lang w:bidi="fa-IR"/>
        </w:rPr>
        <w:t xml:space="preserve">این پژوهش با آزمون الگوی میانجی‌گری طرحواره‌های ناسازگار اولیه در رابطه اضطراب صفتی با رفتارهای مالی پرخطر، گامی در جهت شناخت سازوکارهای روان‌شناختی تصمیم مالی برداشت. یافته‌ها نشان دادند که اضطراب صفتی از دو مسیر به رفتار پرخطر می‌رسد: مسیر مستقیم و مسیر غیرمستقیمِ گذرنده از طرحواره‌ها که حدود یک‌سوم اثر کل را حمل می‌کند. این الگوی میانجی‌گری جزئی، هم بر اهمیت سازوکارهای شناختی در مالی-رفتاری دلالت دارد و هم یادآوری می‌کند که رفتار معامله‌گر، محصول تعامل پیچیده هیجان، شناخت و بستر بازار است. امید است یافته‌های این پژوهش، مبنایی برای پژوهش‌های علّی‌تر، مداخله‌های مؤثرتر و معامله‌گری آگاهانه‌تر فراهم کند.</w:t>
      </w:r>
    </w:p>
    <w:p>
      <w:r>
        <w:br w:type="page"/>
      </w:r>
    </w:p>
    <w:p>
      <w:pPr>
        <w:bidi/>
        <w:jc w:val="center"/>
        <w:outlineLvl w:val="0"/>
        <w:spacing w:line="580" w:lineRule="exact"/>
      </w:pPr>
      <w:r>
        <w:rPr>
          <w:rFonts w:ascii="B Nazanin" w:hAnsi="B Nazanin" w:cs="B Nazanin"/>
          <w:b/>
          <w:bCs/>
          <w:sz w:val="24"/>
          <w:szCs w:val="24"/>
        </w:rPr>
        <w:t>منابع</w:t>
      </w:r>
    </w:p>
    <w:p>
      <w:pPr>
        <w:bidi/>
        <w:spacing w:line="580" w:lineRule="exact"/>
      </w:pPr>
      <w:r>
        <w:rPr>
          <w:rFonts w:ascii="B Nazanin" w:hAnsi="B Nazanin" w:cs="B Nazanin"/>
          <w:b/>
          <w:bCs/>
          <w:sz w:val="24"/>
          <w:szCs w:val="24"/>
        </w:rPr>
        <w:t>منابع فارسی</w:t>
      </w:r>
    </w:p>
    <w:p>
      <w:pPr>
        <w:bidi/>
        <w:jc w:val="right"/>
        <w:spacing w:line="580" w:lineRule="exact"/>
      </w:pPr>
      <w:r>
        <w:rPr>
          <w:rFonts w:ascii="B Nazanin" w:hAnsi="B Nazanin" w:cs="B Nazanin"/>
          <w:sz w:val="24"/>
          <w:szCs w:val="24"/>
        </w:rPr>
        <w:t>امیدی، ع.، کدیور، پ.، و فرزاد، و. (۱۳۹۲). رابطه بین طرحواره‌های ناسازگار اولیه، سبک‌های فرزندپروری و سبک‌های هویت با گرایش به اعتیاد. اعتیادپژوهی، ۷(۲۷)، ۹-۲۶.</w:t>
      </w:r>
    </w:p>
    <w:p>
      <w:pPr>
        <w:bidi/>
        <w:jc w:val="right"/>
        <w:spacing w:line="580" w:lineRule="exact"/>
      </w:pPr>
      <w:r>
        <w:rPr>
          <w:rFonts w:ascii="B Nazanin" w:hAnsi="B Nazanin" w:cs="B Nazanin"/>
          <w:sz w:val="24"/>
          <w:szCs w:val="24"/>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jc w:val="right"/>
        <w:spacing w:line="580" w:lineRule="exact"/>
      </w:pPr>
      <w:r>
        <w:rPr>
          <w:rFonts w:ascii="B Nazanin" w:hAnsi="B Nazanin" w:cs="B Nazanin"/>
          <w:sz w:val="24"/>
          <w:szCs w:val="24"/>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jc w:val="right"/>
        <w:spacing w:line="580" w:lineRule="exact"/>
      </w:pPr>
      <w:r>
        <w:rPr>
          <w:rFonts w:ascii="B Nazanin" w:hAnsi="B Nazanin" w:cs="B Nazanin"/>
          <w:sz w:val="24"/>
          <w:szCs w:val="24"/>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jc w:val="right"/>
        <w:spacing w:line="580" w:lineRule="exact"/>
      </w:pPr>
      <w:r>
        <w:rPr>
          <w:rFonts w:ascii="B Nazanin" w:hAnsi="B Nazanin" w:cs="B Nazanin"/>
          <w:sz w:val="24"/>
          <w:szCs w:val="24"/>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پژوهش‌های حسابداری مالی و حسابرسی، ۱۱(۴۲)، ۱-۲۶.</w:t>
      </w:r>
    </w:p>
    <w:p>
      <w:pPr>
        <w:bidi/>
        <w:jc w:val="right"/>
        <w:spacing w:line="580" w:lineRule="exact"/>
      </w:pPr>
      <w:r>
        <w:rPr>
          <w:rFonts w:ascii="B Nazanin" w:hAnsi="B Nazanin" w:cs="B Nazanin"/>
          <w:sz w:val="24"/>
          <w:szCs w:val="24"/>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jc w:val="right"/>
        <w:spacing w:line="580" w:lineRule="exact"/>
      </w:pPr>
      <w:r>
        <w:rPr>
          <w:rFonts w:ascii="B Nazanin" w:hAnsi="B Nazanin" w:cs="B Nazanin"/>
          <w:sz w:val="24"/>
          <w:szCs w:val="24"/>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jc w:val="right"/>
        <w:spacing w:line="580" w:lineRule="exact"/>
      </w:pPr>
      <w:r>
        <w:rPr>
          <w:rFonts w:ascii="B Nazanin" w:hAnsi="B Nazanin" w:cs="B Nazanin"/>
          <w:sz w:val="24"/>
          <w:szCs w:val="24"/>
        </w:rPr>
        <w:t>فروغی، د.، و تهرانی، ر. (۱۳۹۷). نقش سواد مالی در تعدیل رابطه بین سوگیری های رفتاری و عملکرد سرمایه گذاری در بورس اوراق بهادار تهران. تحقیقات مالی، ۲۰(۲)، ۱۸۹-۲۰۸.</w:t>
      </w:r>
    </w:p>
    <w:p>
      <w:pPr>
        <w:bidi/>
        <w:jc w:val="right"/>
        <w:spacing w:line="580" w:lineRule="exact"/>
      </w:pPr>
      <w:r>
        <w:rPr>
          <w:rFonts w:ascii="B Nazanin" w:hAnsi="B Nazanin" w:cs="B Nazanin"/>
          <w:sz w:val="24"/>
          <w:szCs w:val="24"/>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jc w:val="right"/>
        <w:spacing w:line="580" w:lineRule="exact"/>
      </w:pPr>
      <w:r>
        <w:rPr>
          <w:rFonts w:ascii="B Nazanin" w:hAnsi="B Nazanin" w:cs="B Nazanin"/>
          <w:sz w:val="24"/>
          <w:szCs w:val="24"/>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jc w:val="right"/>
        <w:spacing w:line="580" w:lineRule="exact"/>
      </w:pPr>
      <w:r>
        <w:rPr>
          <w:rFonts w:ascii="B Nazanin" w:hAnsi="B Nazanin" w:cs="B Nazanin"/>
          <w:sz w:val="24"/>
          <w:szCs w:val="24"/>
        </w:rPr>
        <w:t>فلاح، م.، و خدایی، ا. (۱۳۹۸). رابطه هوش هیجانی و سبک های تصمیم گیری با عملکرد سرمایه گذاری در بورس اوراق بهادار تهران. فصلنامه علمی-پژوهشی دانش مالی تحلیل اوراق بهادار، ۱۲(۴۲)، ۱-۱۶.</w:t>
      </w:r>
    </w:p>
    <w:p>
      <w:pPr>
        <w:bidi/>
        <w:jc w:val="right"/>
        <w:spacing w:line="580" w:lineRule="exact"/>
      </w:pPr>
      <w:r>
        <w:rPr>
          <w:rFonts w:ascii="B Nazanin" w:hAnsi="B Nazanin" w:cs="B Nazanin"/>
          <w:sz w:val="24"/>
          <w:szCs w:val="24"/>
        </w:rPr>
        <w:t>نوری، ر.، و هاشمیان، ک. (۱۳۹۶). رابطه بین طرحواره های ناسازگار اولیه و اضطراب اجتماعی در دانشجویان. مطالعات روانشناختی، ۱۳(۲)، ۱۴۱-۱۵۸.</w:t>
      </w:r>
    </w:p>
    <w:p>
      <w:pPr>
        <w:bidi/>
        <w:jc w:val="right"/>
        <w:spacing w:line="580" w:lineRule="exact"/>
      </w:pPr>
      <w:r>
        <w:rPr>
          <w:rFonts w:ascii="B Nazanin" w:hAnsi="B Nazanin" w:cs="B Nazanin"/>
          <w:sz w:val="24"/>
          <w:szCs w:val="24"/>
        </w:rPr>
        <w:t>یوسفی، ناصر. (۱۳۹۶). ویژگی‌های روان‌سنجی نسخه فارسی پرسشنامه طرحواره یانگ (فرم کوتاه) در نمونه غیربالینی. مجله روانشناسی بالینی، ۹(۲)، ۹۱-۱۰۲.</w:t>
      </w:r>
    </w:p>
    <w:p>
      <w:pPr>
        <w:bidi/>
        <w:spacing w:line="580" w:lineRule="exact"/>
      </w:pPr>
      <w:r>
        <w:rPr>
          <w:rFonts w:ascii="B Nazanin" w:hAnsi="B Nazanin" w:cs="B Nazanin"/>
          <w:b/>
          <w:bCs/>
          <w:sz w:val="24"/>
          <w:szCs w:val="24"/>
        </w:rPr>
        <w:t>منابع لاتین</w:t>
      </w:r>
    </w:p>
    <w:p>
      <w:pPr>
        <w:bidi/>
        <w:jc w:val="left"/>
        <w:spacing w:line="580" w:lineRule="exact"/>
      </w:pPr>
      <w:r>
        <w:rPr>
          <w:rFonts w:ascii="Times New Roman" w:hAnsi="Times New Roman" w:cs="Times New Roman"/>
          <w:sz w:val="22"/>
          <w:szCs w:val="22"/>
        </w:rPr>
        <w:t>American Psychiatric Association. (2013). Diagnostic and statistical manual of mental disorders</w:t>
      </w:r>
    </w:p>
    <w:p>
      <w:pPr>
        <w:bidi/>
        <w:jc w:val="left"/>
        <w:spacing w:line="580" w:lineRule="exact"/>
      </w:pPr>
      <w:r>
        <w:rPr>
          <w:rFonts w:ascii="Times New Roman" w:hAnsi="Times New Roman" w:cs="Times New Roman"/>
          <w:sz w:val="22"/>
          <w:szCs w:val="22"/>
        </w:rPr>
        <w:t>An, H., Li, M., &amp; Wu, W. (2021). The impact of financial anxiety on individual investor's risky asset holdings: Evidence from China. Emerging Markets Finance and Trade, 57(11), 3217-3232.</w:t>
      </w:r>
    </w:p>
    <w:p>
      <w:pPr>
        <w:bidi/>
        <w:jc w:val="left"/>
        <w:spacing w:line="580" w:lineRule="exact"/>
      </w:pPr>
      <w:r>
        <w:rPr>
          <w:rFonts w:ascii="Times New Roman" w:hAnsi="Times New Roman" w:cs="Times New Roman"/>
          <w:sz w:val="22"/>
          <w:szCs w:val="22"/>
        </w:rPr>
        <w:t>Arena, M., Sbai, E., &amp; Soriya, S. (2022). Personality traits and behaviour biases: The moderating role of risk-tolerance. Frontiers in Psychology, 13, 949638.</w:t>
      </w:r>
    </w:p>
    <w:p>
      <w:pPr>
        <w:bidi/>
        <w:jc w:val="left"/>
        <w:spacing w:line="580" w:lineRule="exact"/>
      </w:pPr>
      <w:r>
        <w:rPr>
          <w:rFonts w:ascii="Times New Roman" w:hAnsi="Times New Roman" w:cs="Times New Roman"/>
          <w:sz w:val="22"/>
          <w:szCs w:val="22"/>
        </w:rPr>
        <w:t>Arntz, A., &amp; Jacob, G. (2012). Schema therapy in practice: An introductory guide to the schema mode approach. John Wiley &amp; Sons.</w:t>
      </w:r>
    </w:p>
    <w:p>
      <w:pPr>
        <w:bidi/>
        <w:jc w:val="left"/>
        <w:spacing w:line="580" w:lineRule="exact"/>
      </w:pPr>
      <w:r>
        <w:rPr>
          <w:rFonts w:ascii="Times New Roman" w:hAnsi="Times New Roman" w:cs="Times New Roman"/>
          <w:sz w:val="22"/>
          <w:szCs w:val="22"/>
        </w:rPr>
        <w:t>Auer, B. R., &amp; Schuhmacher, F. (2023). FOMO and the dark side of social trading. Finance Research Letters, 54, 103759.</w:t>
      </w:r>
    </w:p>
    <w:p>
      <w:pPr>
        <w:bidi/>
        <w:jc w:val="left"/>
        <w:spacing w:line="580" w:lineRule="exact"/>
      </w:pPr>
      <w:r>
        <w:rPr>
          <w:rFonts w:ascii="Times New Roman" w:hAnsi="Times New Roman" w:cs="Times New Roman"/>
          <w:sz w:val="22"/>
          <w:szCs w:val="22"/>
        </w:rPr>
        <w:t>Baddeley, A. D., Eysenck, M. W., &amp; Anderson, M. C. (2021). Memory (3rd ed.). Routledge.</w:t>
      </w:r>
    </w:p>
    <w:p>
      <w:pPr>
        <w:bidi/>
        <w:jc w:val="left"/>
        <w:spacing w:line="580" w:lineRule="exact"/>
      </w:pPr>
      <w:r>
        <w:rPr>
          <w:rFonts w:ascii="Times New Roman" w:hAnsi="Times New Roman" w:cs="Times New Roman"/>
          <w:sz w:val="22"/>
          <w:szCs w:val="22"/>
        </w:rPr>
        <w:t>Baker, H. K., &amp; Nofsinger, J. R. (Eds.). (2010). Behavioral finance: Investors, corporations, and markets. John Wiley &amp; Sons.</w:t>
      </w:r>
    </w:p>
    <w:p>
      <w:pPr>
        <w:bidi/>
        <w:jc w:val="left"/>
        <w:spacing w:line="580" w:lineRule="exact"/>
      </w:pPr>
      <w:r>
        <w:rPr>
          <w:rFonts w:ascii="Times New Roman" w:hAnsi="Times New Roman" w:cs="Times New Roman"/>
          <w:sz w:val="22"/>
          <w:szCs w:val="22"/>
        </w:rPr>
        <w:t>Barber, B. M., &amp; Odean, T. (2000). Trading is hazardous to your wealth: The common stock investment performance of individual investors. The Journal of Finance, 55(2), 773-806.</w:t>
      </w:r>
    </w:p>
    <w:p>
      <w:pPr>
        <w:bidi/>
        <w:jc w:val="left"/>
        <w:spacing w:line="580" w:lineRule="exact"/>
      </w:pPr>
      <w:r>
        <w:rPr>
          <w:rFonts w:ascii="Times New Roman" w:hAnsi="Times New Roman" w:cs="Times New Roman"/>
          <w:sz w:val="22"/>
          <w:szCs w:val="22"/>
        </w:rPr>
        <w:t>Barlow, D. H. (2002). Anxiety and its disorders: The nature and treatment of anxiety and panic. Guilford Press.</w:t>
      </w:r>
    </w:p>
    <w:p>
      <w:pPr>
        <w:bidi/>
        <w:jc w:val="left"/>
        <w:spacing w:line="580" w:lineRule="exact"/>
      </w:pPr>
      <w:r>
        <w:rPr>
          <w:rFonts w:ascii="Times New Roman" w:hAnsi="Times New Roman" w:cs="Times New Roman"/>
          <w:sz w:val="22"/>
          <w:szCs w:val="22"/>
        </w:rPr>
        <w:t>Beck, A. T. (1976). Cognitive therapy and the emotional disorders. International Universities Press.</w:t>
      </w:r>
    </w:p>
    <w:p>
      <w:pPr>
        <w:bidi/>
        <w:jc w:val="left"/>
        <w:spacing w:line="580" w:lineRule="exact"/>
      </w:pPr>
      <w:r>
        <w:rPr>
          <w:rFonts w:ascii="Times New Roman" w:hAnsi="Times New Roman" w:cs="Times New Roman"/>
          <w:sz w:val="22"/>
          <w:szCs w:val="22"/>
        </w:rPr>
        <w:t>Beck, A. T., &amp; Clark, D. A. (1997). An information processing model of anxiety: Automatic and strategic processes. Behaviour Research and Therapy, 35(1), 49–58. https://doi.org/10.1016/s0005-7967(96)00069-1</w:t>
      </w:r>
    </w:p>
    <w:p>
      <w:pPr>
        <w:bidi/>
        <w:jc w:val="left"/>
        <w:spacing w:line="580" w:lineRule="exact"/>
      </w:pPr>
      <w:r>
        <w:rPr>
          <w:rFonts w:ascii="Times New Roman" w:hAnsi="Times New Roman" w:cs="Times New Roman"/>
          <w:sz w:val="22"/>
          <w:szCs w:val="22"/>
        </w:rPr>
        <w:t>Bishop, S. J. (2007). Neurocognitive mechanisms of anxiety: an integrative account. Trends in Cognitive Sciences, 11(7), 307-316.</w:t>
      </w:r>
    </w:p>
    <w:p>
      <w:pPr>
        <w:bidi/>
        <w:jc w:val="left"/>
        <w:spacing w:line="580" w:lineRule="exact"/>
      </w:pPr>
      <w:r>
        <w:rPr>
          <w:rFonts w:ascii="Times New Roman" w:hAnsi="Times New Roman" w:cs="Times New Roman"/>
          <w:sz w:val="22"/>
          <w:szCs w:val="22"/>
        </w:rPr>
        <w:t>Bodie, Z., Kane, A., &amp; Marcus, A. J. (2018). Investments (11th ed.). McGraw-Hill Education.</w:t>
      </w:r>
    </w:p>
    <w:p>
      <w:pPr>
        <w:bidi/>
        <w:jc w:val="left"/>
        <w:spacing w:line="580" w:lineRule="exact"/>
      </w:pPr>
      <w:r>
        <w:rPr>
          <w:rFonts w:ascii="Times New Roman" w:hAnsi="Times New Roman" w:cs="Times New Roman"/>
          <w:sz w:val="22"/>
          <w:szCs w:val="22"/>
        </w:rPr>
        <w:t>Borkovec, T. D. (1994). The nature, functions, and origins of worry. In G. C. L. Davey &amp; F. Tallis (Eds.), Worrying: Perspectives on theory, assessment and treatment (pp. 5–33). Wiley.</w:t>
      </w:r>
    </w:p>
    <w:p>
      <w:pPr>
        <w:bidi/>
        <w:jc w:val="left"/>
        <w:spacing w:line="580" w:lineRule="exact"/>
      </w:pPr>
      <w:r>
        <w:rPr>
          <w:rFonts w:ascii="Times New Roman" w:hAnsi="Times New Roman" w:cs="Times New Roman"/>
          <w:sz w:val="22"/>
          <w:szCs w:val="22"/>
        </w:rPr>
        <w:t>Charles, V., &amp; Kasilingam, R. (2022). The role of anxiety in financial decisions. Review of Behavioral Finance, 14(5), 720-735.</w:t>
      </w:r>
    </w:p>
    <w:p>
      <w:pPr>
        <w:bidi/>
        <w:jc w:val="left"/>
        <w:spacing w:line="580" w:lineRule="exact"/>
      </w:pPr>
      <w:r>
        <w:rPr>
          <w:rFonts w:ascii="Times New Roman" w:hAnsi="Times New Roman" w:cs="Times New Roman"/>
          <w:sz w:val="22"/>
          <w:szCs w:val="22"/>
        </w:rPr>
        <w:t>Daniel, K., Hirshleifer, D., &amp; Subrahmanyam, A. (1998). Investor psychology and security market under- and overreactions. The Journal of Finance, 53(6), 1839–1885. https://doi.org/10.1111/0022-1082.00077</w:t>
      </w:r>
    </w:p>
    <w:p>
      <w:pPr>
        <w:bidi/>
        <w:jc w:val="left"/>
        <w:spacing w:line="580" w:lineRule="exact"/>
      </w:pPr>
      <w:r>
        <w:rPr>
          <w:rFonts w:ascii="Times New Roman" w:hAnsi="Times New Roman" w:cs="Times New Roman"/>
          <w:sz w:val="22"/>
          <w:szCs w:val="22"/>
        </w:rPr>
        <w:t>De Martino, B., et al. (2006) Frames, biases, and rational decision-making in the human brain. Science, 313 (5787), 684–687.</w:t>
      </w:r>
    </w:p>
    <w:p>
      <w:pPr>
        <w:bidi/>
        <w:jc w:val="left"/>
        <w:spacing w:line="580" w:lineRule="exact"/>
      </w:pPr>
      <w:r>
        <w:rPr>
          <w:rFonts w:ascii="Times New Roman" w:hAnsi="Times New Roman" w:cs="Times New Roman"/>
          <w:sz w:val="22"/>
          <w:szCs w:val="22"/>
        </w:rPr>
        <w:t>Dhingra, J., &amp; Aggarwal, N. (2025). Exploring Trait Anxiety as a Psychological Construct: Impacts of Gender, Educational Attainment and Financial Training. Indian Journal of Positive Psychology, 16(1), 45-58.</w:t>
      </w:r>
    </w:p>
    <w:p>
      <w:pPr>
        <w:bidi/>
        <w:jc w:val="left"/>
        <w:spacing w:line="580" w:lineRule="exact"/>
      </w:pPr>
      <w:r>
        <w:rPr>
          <w:rFonts w:ascii="Times New Roman" w:hAnsi="Times New Roman" w:cs="Times New Roman"/>
          <w:sz w:val="22"/>
          <w:szCs w:val="22"/>
        </w:rPr>
        <w:t>Estévez, A., et al. (2024). Association between gambling motives, violence and early maladaptive schemas in women with gambling disorder. Journal of Gambling Studies. https://doi.org/10.1007/s10899-024-10285-8</w:t>
      </w:r>
    </w:p>
    <w:p>
      <w:pPr>
        <w:bidi/>
        <w:jc w:val="left"/>
        <w:spacing w:line="580" w:lineRule="exact"/>
      </w:pPr>
      <w:r>
        <w:rPr>
          <w:rFonts w:ascii="Times New Roman" w:hAnsi="Times New Roman" w:cs="Times New Roman"/>
          <w:sz w:val="22"/>
          <w:szCs w:val="22"/>
        </w:rPr>
        <w:t>Eysenck, M. W., Derakshan, N., Santos, R., &amp; Calvo, M. G. (2007). Anxiety and cognitive performance: attentional control theory. Emotion, 7(2), 336–353.</w:t>
      </w:r>
    </w:p>
    <w:p>
      <w:pPr>
        <w:bidi/>
        <w:jc w:val="left"/>
        <w:spacing w:line="580" w:lineRule="exact"/>
      </w:pPr>
      <w:r>
        <w:rPr>
          <w:rFonts w:ascii="Times New Roman" w:hAnsi="Times New Roman" w:cs="Times New Roman"/>
          <w:sz w:val="22"/>
          <w:szCs w:val="22"/>
        </w:rPr>
        <w:t>Fenton-O'Creevy, M., et al. (2012). Emotion regulation and trader expertise: Heart rate variability on the trading floor. Journal of Neuroscience, Psychology, and Economics, 5(4), 227-237.</w:t>
      </w:r>
    </w:p>
    <w:p>
      <w:pPr>
        <w:bidi/>
        <w:jc w:val="left"/>
        <w:spacing w:line="580" w:lineRule="exact"/>
      </w:pPr>
      <w:r>
        <w:rPr>
          <w:rFonts w:ascii="Times New Roman" w:hAnsi="Times New Roman" w:cs="Times New Roman"/>
          <w:sz w:val="22"/>
          <w:szCs w:val="22"/>
        </w:rPr>
        <w:t>Fenton-O'Creevy, M., Soane, E., Nicholson, N., &amp; Willman, P. (2011). Thinking, feeling and deciding: The influence of emotions on the decision making and performance of traders. Journal of Organizational Behavior, 32(8), 1044-1061. https://doi.org/10.1002/job.720</w:t>
      </w:r>
    </w:p>
    <w:p>
      <w:pPr>
        <w:bidi/>
        <w:jc w:val="left"/>
        <w:spacing w:line="580" w:lineRule="exact"/>
      </w:pPr>
      <w:r>
        <w:rPr>
          <w:rFonts w:ascii="Times New Roman" w:hAnsi="Times New Roman" w:cs="Times New Roman"/>
          <w:sz w:val="22"/>
          <w:szCs w:val="22"/>
        </w:rPr>
        <w:t>Fenton-O’Creevy, M., et al. (2012) Emotion regulation and trader expertise: Heart rate variability on the trading floor. Journal of Neuroscience, Psychology, and Economics, 5 (4), 227–237</w:t>
      </w:r>
    </w:p>
    <w:p>
      <w:pPr>
        <w:bidi/>
        <w:jc w:val="left"/>
        <w:spacing w:line="580" w:lineRule="exact"/>
      </w:pPr>
      <w:r>
        <w:rPr>
          <w:rFonts w:ascii="Times New Roman" w:hAnsi="Times New Roman" w:cs="Times New Roman"/>
          <w:sz w:val="22"/>
          <w:szCs w:val="22"/>
        </w:rPr>
        <w:t>Gambetti, E., &amp; Giusberti, F. (2012). The effect of anger and anxiety on investment decisions. Journal of Economic Psychology, 33 (5), 1059–1069</w:t>
      </w:r>
    </w:p>
    <w:p>
      <w:pPr>
        <w:bidi/>
        <w:jc w:val="left"/>
        <w:spacing w:line="580" w:lineRule="exact"/>
      </w:pPr>
      <w:r>
        <w:rPr>
          <w:rFonts w:ascii="Times New Roman" w:hAnsi="Times New Roman" w:cs="Times New Roman"/>
          <w:sz w:val="22"/>
          <w:szCs w:val="22"/>
        </w:rPr>
        <w:t>Goetzmann, W. N., &amp; Kumar, A. (2008). Equity portfolio diversification. Review of Finance, 12(3), 433-463.</w:t>
      </w:r>
    </w:p>
    <w:p>
      <w:pPr>
        <w:bidi/>
        <w:jc w:val="left"/>
        <w:spacing w:line="580" w:lineRule="exact"/>
      </w:pPr>
      <w:r>
        <w:rPr>
          <w:rFonts w:ascii="Times New Roman" w:hAnsi="Times New Roman" w:cs="Times New Roman"/>
          <w:sz w:val="22"/>
          <w:szCs w:val="22"/>
        </w:rPr>
        <w:t>Grable, J. E. (2017). Financial risk tolerance: A psychometric review. Financial Services Review, 26(2), 1-18.</w:t>
      </w:r>
    </w:p>
    <w:p>
      <w:pPr>
        <w:bidi/>
        <w:jc w:val="left"/>
        <w:spacing w:line="580" w:lineRule="exact"/>
      </w:pPr>
      <w:r>
        <w:rPr>
          <w:rFonts w:ascii="Times New Roman" w:hAnsi="Times New Roman" w:cs="Times New Roman"/>
          <w:sz w:val="22"/>
          <w:szCs w:val="22"/>
        </w:rPr>
        <w:t>Grable, J. E., &amp; Lytton, R. H. (1999). Financial risk tolerance revisited: The development of a risk assessment instrument. Financial Services Review, 8(3), 163-181.</w:t>
      </w:r>
    </w:p>
    <w:p>
      <w:pPr>
        <w:bidi/>
        <w:jc w:val="left"/>
        <w:spacing w:line="580" w:lineRule="exact"/>
      </w:pPr>
      <w:r>
        <w:rPr>
          <w:rFonts w:ascii="Times New Roman" w:hAnsi="Times New Roman" w:cs="Times New Roman"/>
          <w:sz w:val="22"/>
          <w:szCs w:val="22"/>
        </w:rPr>
        <w:t>Grall-Bronnec, M., et al. (2025). Development and validation of the Trading Disorder Scale for assessing problematic trading behaviors. Journal of Behavioral Addictions, 14(1), 112-128.</w:t>
      </w:r>
    </w:p>
    <w:p>
      <w:pPr>
        <w:bidi/>
        <w:jc w:val="left"/>
        <w:spacing w:line="580" w:lineRule="exact"/>
      </w:pPr>
      <w:r>
        <w:rPr>
          <w:rFonts w:ascii="Times New Roman" w:hAnsi="Times New Roman" w:cs="Times New Roman"/>
          <w:sz w:val="22"/>
          <w:szCs w:val="22"/>
        </w:rPr>
        <w:t>Grupe, D. W., &amp; Nitschke, J. B. (2013). Uncertainty and anticipation in anxiety: an integrated neurobiological and psychological perspective. Nature Reviews Neuroscience, 14(7), 488-501.</w:t>
      </w:r>
    </w:p>
    <w:p>
      <w:pPr>
        <w:bidi/>
        <w:jc w:val="left"/>
        <w:spacing w:line="580" w:lineRule="exact"/>
      </w:pPr>
      <w:r>
        <w:rPr>
          <w:rFonts w:ascii="Times New Roman" w:hAnsi="Times New Roman" w:cs="Times New Roman"/>
          <w:sz w:val="22"/>
          <w:szCs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jc w:val="left"/>
        <w:spacing w:line="580" w:lineRule="exact"/>
      </w:pPr>
      <w:r>
        <w:rPr>
          <w:rFonts w:ascii="Times New Roman" w:hAnsi="Times New Roman" w:cs="Times New Roman"/>
          <w:sz w:val="22"/>
          <w:szCs w:val="22"/>
        </w:rPr>
        <w:t>Hartley, C. A., &amp; Phelps, E. A. (2012). Anxiety and decision-making. Biological Psychiatry, 72 (2), 113–118</w:t>
      </w:r>
    </w:p>
    <w:p>
      <w:pPr>
        <w:bidi/>
        <w:jc w:val="left"/>
        <w:spacing w:line="580" w:lineRule="exact"/>
      </w:pPr>
      <w:r>
        <w:rPr>
          <w:rFonts w:ascii="Times New Roman" w:hAnsi="Times New Roman" w:cs="Times New Roman"/>
          <w:sz w:val="22"/>
          <w:szCs w:val="22"/>
        </w:rPr>
        <w:t>Hayes, A. F. (2018). Introduction to mediation, moderation, and conditional process analysis: A regression-based approach (2nd ed.). Guilford Press.</w:t>
      </w:r>
    </w:p>
    <w:p>
      <w:pPr>
        <w:bidi/>
        <w:jc w:val="left"/>
        <w:spacing w:line="580" w:lineRule="exact"/>
      </w:pPr>
      <w:r>
        <w:rPr>
          <w:rFonts w:ascii="Times New Roman" w:hAnsi="Times New Roman" w:cs="Times New Roman"/>
          <w:sz w:val="22"/>
          <w:szCs w:val="22"/>
        </w:rPr>
        <w:t>Hwang, S., &amp; Salmon, M. (2004). Market stress and herding. Journal of Empirical Finance, 11(4), 585-616.</w:t>
      </w:r>
    </w:p>
    <w:p>
      <w:pPr>
        <w:bidi/>
        <w:jc w:val="left"/>
        <w:spacing w:line="580" w:lineRule="exact"/>
      </w:pPr>
      <w:r>
        <w:rPr>
          <w:rFonts w:ascii="Times New Roman" w:hAnsi="Times New Roman" w:cs="Times New Roman"/>
          <w:sz w:val="22"/>
          <w:szCs w:val="22"/>
        </w:rPr>
        <w:t>Kahneman, D. (2011). Thinking, fast and slow. Farrar, Straus and Giroux.</w:t>
      </w:r>
    </w:p>
    <w:p>
      <w:pPr>
        <w:bidi/>
        <w:jc w:val="left"/>
        <w:spacing w:line="580" w:lineRule="exact"/>
      </w:pPr>
      <w:r>
        <w:rPr>
          <w:rFonts w:ascii="Times New Roman" w:hAnsi="Times New Roman" w:cs="Times New Roman"/>
          <w:sz w:val="22"/>
          <w:szCs w:val="22"/>
        </w:rPr>
        <w:t>Kahneman, D., &amp; Tversky, A. (1979). Prospect theory: An analysis of decision under risk. Econometrica, 47(2), 263-291.</w:t>
      </w:r>
    </w:p>
    <w:p>
      <w:pPr>
        <w:bidi/>
        <w:jc w:val="left"/>
        <w:spacing w:line="580" w:lineRule="exact"/>
      </w:pPr>
      <w:r>
        <w:rPr>
          <w:rFonts w:ascii="Times New Roman" w:hAnsi="Times New Roman" w:cs="Times New Roman"/>
          <w:sz w:val="22"/>
          <w:szCs w:val="22"/>
        </w:rPr>
        <w:t>Kaplan, H. I., &amp; Sadock, B. J. (2015) Synopsis of Psychiatry: Behavioral Sciences/Clinical Psychiatry. Wolters Kluwer.</w:t>
      </w:r>
    </w:p>
    <w:p>
      <w:pPr>
        <w:bidi/>
        <w:jc w:val="left"/>
        <w:spacing w:line="580" w:lineRule="exact"/>
      </w:pPr>
      <w:r>
        <w:rPr>
          <w:rFonts w:ascii="Times New Roman" w:hAnsi="Times New Roman" w:cs="Times New Roman"/>
          <w:sz w:val="22"/>
          <w:szCs w:val="22"/>
        </w:rPr>
        <w:t>Kline, R. B. (2016). Principles and practice of structural equation modeling (4th ed.). Guilford Press.</w:t>
      </w:r>
    </w:p>
    <w:p>
      <w:pPr>
        <w:bidi/>
        <w:jc w:val="left"/>
        <w:spacing w:line="580" w:lineRule="exact"/>
      </w:pPr>
      <w:r>
        <w:rPr>
          <w:rFonts w:ascii="Times New Roman" w:hAnsi="Times New Roman" w:cs="Times New Roman"/>
          <w:sz w:val="22"/>
          <w:szCs w:val="22"/>
        </w:rPr>
        <w:t>Kuhnen, C. M., &amp; Chiao, J. Y. (2009). Genetic determinants of financial risk taking. PLOS ONE, 4 (2), e4362</w:t>
      </w:r>
    </w:p>
    <w:p>
      <w:pPr>
        <w:bidi/>
        <w:jc w:val="left"/>
        <w:spacing w:line="580" w:lineRule="exact"/>
      </w:pPr>
      <w:r>
        <w:rPr>
          <w:rFonts w:ascii="Times New Roman" w:hAnsi="Times New Roman" w:cs="Times New Roman"/>
          <w:sz w:val="22"/>
          <w:szCs w:val="22"/>
        </w:rPr>
        <w:t>Lauriola, M., &amp; Levin, I. P. (2001). Personality traits and risky decision-making in a controlled experimental task: An exploratory study. Personality and Individual Differences, 31(2), 215-226.</w:t>
      </w:r>
    </w:p>
    <w:p>
      <w:pPr>
        <w:bidi/>
        <w:jc w:val="left"/>
        <w:spacing w:line="580" w:lineRule="exact"/>
      </w:pPr>
      <w:r>
        <w:rPr>
          <w:rFonts w:ascii="Times New Roman" w:hAnsi="Times New Roman" w:cs="Times New Roman"/>
          <w:sz w:val="22"/>
          <w:szCs w:val="22"/>
        </w:rPr>
        <w:t>Lindberg, N., et al. (2011). Early maladaptive schemas in pathological gambling. Journal of Gambling Studies, 27(2), 277-287.</w:t>
      </w:r>
    </w:p>
    <w:p>
      <w:pPr>
        <w:bidi/>
        <w:jc w:val="left"/>
        <w:spacing w:line="580" w:lineRule="exact"/>
      </w:pPr>
      <w:r>
        <w:rPr>
          <w:rFonts w:ascii="Times New Roman" w:hAnsi="Times New Roman" w:cs="Times New Roman"/>
          <w:sz w:val="22"/>
          <w:szCs w:val="22"/>
        </w:rPr>
        <w:t>Lo, A. W., &amp; Repin, D. V. (2002). The psychophysiology of real-time financial risk processing. Journal of Cognitive Neuroscience, 14(3), 323-339.</w:t>
      </w:r>
    </w:p>
    <w:p>
      <w:pPr>
        <w:bidi/>
        <w:jc w:val="left"/>
        <w:spacing w:line="580" w:lineRule="exact"/>
      </w:pPr>
      <w:r>
        <w:rPr>
          <w:rFonts w:ascii="Times New Roman" w:hAnsi="Times New Roman" w:cs="Times New Roman"/>
          <w:sz w:val="22"/>
          <w:szCs w:val="22"/>
        </w:rPr>
        <w:t>Lo, A. W., Repin, D. V., &amp; Steenbarger, B. N. (2005). Fear and Greed in Financial Markets: A Clinical Study of Day-Traders. American Economic Review, 95 (2), 352–359.</w:t>
      </w:r>
    </w:p>
    <w:p>
      <w:pPr>
        <w:bidi/>
        <w:jc w:val="left"/>
        <w:spacing w:line="580" w:lineRule="exact"/>
      </w:pPr>
      <w:r>
        <w:rPr>
          <w:rFonts w:ascii="Times New Roman" w:hAnsi="Times New Roman" w:cs="Times New Roman"/>
          <w:sz w:val="22"/>
          <w:szCs w:val="22"/>
        </w:rPr>
        <w:t>Lo, A. W., Repin, D. V., &amp; Steenbarger, B. N. (2005). Fear and Greed in Financial Markets: A Clinical Study of Day-Traders. American Economic Review, 95 (2), 352–359. https://doi.org/10.1257/000282805774670095</w:t>
      </w:r>
    </w:p>
    <w:p>
      <w:pPr>
        <w:bidi/>
        <w:jc w:val="left"/>
        <w:spacing w:line="580" w:lineRule="exact"/>
      </w:pPr>
      <w:r>
        <w:rPr>
          <w:rFonts w:ascii="Times New Roman" w:hAnsi="Times New Roman" w:cs="Times New Roman"/>
          <w:sz w:val="22"/>
          <w:szCs w:val="22"/>
        </w:rPr>
        <w:t>Mahato, S., et al. (2025). Millennials and zoomers as investors: Behavioral factors shaping financial choices. All Finance Journal, 3(2), 15-29.</w:t>
      </w:r>
    </w:p>
    <w:p>
      <w:pPr>
        <w:bidi/>
        <w:jc w:val="left"/>
        <w:spacing w:line="580" w:lineRule="exact"/>
      </w:pPr>
      <w:r>
        <w:rPr>
          <w:rFonts w:ascii="Times New Roman" w:hAnsi="Times New Roman" w:cs="Times New Roman"/>
          <w:sz w:val="22"/>
          <w:szCs w:val="22"/>
        </w:rPr>
        <w:t>Mahato, S., et al. (2025). Millennials and zoomers as investors: Behavioral factors shaping financial choices. International Journal of Research in Finance and Management, 8(2), 147-150. https://doi.org/10.33545/26175754.2025.v8.i2b.539</w:t>
      </w:r>
    </w:p>
    <w:p>
      <w:pPr>
        <w:bidi/>
        <w:jc w:val="left"/>
        <w:spacing w:line="580" w:lineRule="exact"/>
      </w:pPr>
      <w:r>
        <w:rPr>
          <w:rFonts w:ascii="Times New Roman" w:hAnsi="Times New Roman" w:cs="Times New Roman"/>
          <w:sz w:val="22"/>
          <w:szCs w:val="22"/>
        </w:rPr>
        <w:t>Malkiel, B. G. (2003). The efficient market hypothesis and its critics. Journal of Economic Perspectives, 17(1), 59-82.</w:t>
      </w:r>
    </w:p>
    <w:p>
      <w:pPr>
        <w:bidi/>
        <w:jc w:val="left"/>
        <w:spacing w:line="580" w:lineRule="exact"/>
      </w:pPr>
      <w:r>
        <w:rPr>
          <w:rFonts w:ascii="Times New Roman" w:hAnsi="Times New Roman" w:cs="Times New Roman"/>
          <w:sz w:val="22"/>
          <w:szCs w:val="22"/>
        </w:rPr>
        <w:t>Maner, J. K., &amp; Schmidt, N. B. (2006). The role of risk avoidance in anxiety. Behavior Therapy, 37 (3), 290–305.</w:t>
      </w:r>
    </w:p>
    <w:p>
      <w:pPr>
        <w:bidi/>
        <w:jc w:val="left"/>
        <w:spacing w:line="580" w:lineRule="exact"/>
      </w:pPr>
      <w:r>
        <w:rPr>
          <w:rFonts w:ascii="Times New Roman" w:hAnsi="Times New Roman" w:cs="Times New Roman"/>
          <w:sz w:val="22"/>
          <w:szCs w:val="22"/>
        </w:rPr>
        <w:t>Mishkin, F. S. (2019). The economics of money, banking and financial markets (12th ed.). Pearson.</w:t>
      </w:r>
    </w:p>
    <w:p>
      <w:pPr>
        <w:bidi/>
        <w:jc w:val="left"/>
        <w:spacing w:line="580" w:lineRule="exact"/>
      </w:pPr>
      <w:r>
        <w:rPr>
          <w:rFonts w:ascii="Times New Roman" w:hAnsi="Times New Roman" w:cs="Times New Roman"/>
          <w:sz w:val="22"/>
          <w:szCs w:val="22"/>
        </w:rPr>
        <w:t>Mitte, K. (2007). Anxiety and risky decision-making: The role of cognitive processing. Psychological Review, 114 (4), 893-912.</w:t>
      </w:r>
    </w:p>
    <w:p>
      <w:pPr>
        <w:bidi/>
        <w:jc w:val="left"/>
        <w:spacing w:line="580" w:lineRule="exact"/>
      </w:pPr>
      <w:r>
        <w:rPr>
          <w:rFonts w:ascii="Times New Roman" w:hAnsi="Times New Roman" w:cs="Times New Roman"/>
          <w:sz w:val="22"/>
          <w:szCs w:val="22"/>
        </w:rPr>
        <w:t>Nguyen, M. T. T., Nguyen, L. H., &amp; Ho, T. H. (2019). Personality traits and stock investment of individuals. Sustainability, 11(19), 5474.</w:t>
      </w:r>
    </w:p>
    <w:p>
      <w:pPr>
        <w:bidi/>
        <w:jc w:val="left"/>
        <w:spacing w:line="580" w:lineRule="exact"/>
      </w:pPr>
      <w:r>
        <w:rPr>
          <w:rFonts w:ascii="Times New Roman" w:hAnsi="Times New Roman" w:cs="Times New Roman"/>
          <w:sz w:val="22"/>
          <w:szCs w:val="22"/>
        </w:rPr>
        <w:t>OECD. (2021). Retail investors in capital markets: Key findings and main messages. OECD Publishing.</w:t>
      </w:r>
    </w:p>
    <w:p>
      <w:pPr>
        <w:bidi/>
        <w:jc w:val="left"/>
        <w:spacing w:line="580" w:lineRule="exact"/>
      </w:pPr>
      <w:r>
        <w:rPr>
          <w:rFonts w:ascii="Times New Roman" w:hAnsi="Times New Roman" w:cs="Times New Roman"/>
          <w:sz w:val="22"/>
          <w:szCs w:val="22"/>
        </w:rPr>
        <w:t>Ololo, K., et al. (2024). Rational Emotive and Cognitive Behavior Coaching Intervention for Promoting College Students’ Financial Risk Tolerance and Attitudes Towards Financial Risk. Journal of Rational-Emotive &amp; Cognitive-Behavior Therapy, 42(2), 398-418. https://doi.org/10.1007/s10942-023-00523-0</w:t>
      </w:r>
    </w:p>
    <w:p>
      <w:pPr>
        <w:bidi/>
        <w:jc w:val="left"/>
        <w:spacing w:line="580" w:lineRule="exact"/>
      </w:pPr>
      <w:r>
        <w:rPr>
          <w:rFonts w:ascii="Times New Roman" w:hAnsi="Times New Roman" w:cs="Times New Roman"/>
          <w:sz w:val="22"/>
          <w:szCs w:val="22"/>
        </w:rPr>
        <w:t>Ololo, K., et al. (2024). Rational Emotive and Cognitive Behavior Coaching Intervention for Promoting College Students’ Financial Risk Tolerance. Journal of Rational-Emotive &amp; Cognitive-Behavior Therapy, 42, 398-418.</w:t>
      </w:r>
    </w:p>
    <w:p>
      <w:pPr>
        <w:bidi/>
        <w:jc w:val="left"/>
        <w:spacing w:line="580" w:lineRule="exact"/>
      </w:pPr>
      <w:r>
        <w:rPr>
          <w:rFonts w:ascii="Times New Roman" w:hAnsi="Times New Roman" w:cs="Times New Roman"/>
          <w:sz w:val="22"/>
          <w:szCs w:val="22"/>
        </w:rPr>
        <w:t>Pak, O., &amp; Mahmood, M. (2019). Personality traits and investor profile analysis: A behavioral finance study. PLoS ONE, 14(3), e0213626.</w:t>
      </w:r>
    </w:p>
    <w:p>
      <w:pPr>
        <w:bidi/>
        <w:jc w:val="left"/>
        <w:spacing w:line="580" w:lineRule="exact"/>
      </w:pPr>
      <w:r>
        <w:rPr>
          <w:rFonts w:ascii="Times New Roman" w:hAnsi="Times New Roman" w:cs="Times New Roman"/>
          <w:sz w:val="22"/>
          <w:szCs w:val="22"/>
        </w:rPr>
        <w:t>Rehm, I. C., et al. (2015). Neuroticism and its facets in relation to early maladaptive schemas. Journal of Affective Disorders, 172, 424-431.</w:t>
      </w:r>
    </w:p>
    <w:p>
      <w:pPr>
        <w:bidi/>
        <w:jc w:val="left"/>
        <w:spacing w:line="580" w:lineRule="exact"/>
      </w:pPr>
      <w:r>
        <w:rPr>
          <w:rFonts w:ascii="Times New Roman" w:hAnsi="Times New Roman" w:cs="Times New Roman"/>
          <w:sz w:val="22"/>
          <w:szCs w:val="22"/>
        </w:rPr>
        <w:t>Safitri, H., Giriati, G., &amp; Wendy, W. (2025). Socio-Psychological Effect in Investment Decision-Making Mediated by Risk Tolerance. Journal of Information Systems Engineering and Management, 10(1), 22015.</w:t>
      </w:r>
    </w:p>
    <w:p>
      <w:pPr>
        <w:bidi/>
        <w:jc w:val="left"/>
        <w:spacing w:line="580" w:lineRule="exact"/>
      </w:pPr>
      <w:r>
        <w:rPr>
          <w:rFonts w:ascii="Times New Roman" w:hAnsi="Times New Roman" w:cs="Times New Roman"/>
          <w:sz w:val="22"/>
          <w:szCs w:val="22"/>
        </w:rPr>
        <w:t>Safitri, H., Giriati, G., &amp; Wendy, W. (2025). Socio-Psychological Effect in Investment Decision-Making Mediated by Risk Tolerance. Journal of Information Systems Engineering and Management, 10(49s), 461-474. https://doi.org/10.52783/jisem.v10i49s.9897</w:t>
      </w:r>
    </w:p>
    <w:p>
      <w:pPr>
        <w:bidi/>
        <w:jc w:val="left"/>
        <w:spacing w:line="580" w:lineRule="exact"/>
      </w:pPr>
      <w:r>
        <w:rPr>
          <w:rFonts w:ascii="Times New Roman" w:hAnsi="Times New Roman" w:cs="Times New Roman"/>
          <w:sz w:val="22"/>
          <w:szCs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jc w:val="left"/>
        <w:spacing w:line="580" w:lineRule="exact"/>
      </w:pPr>
      <w:r>
        <w:rPr>
          <w:rFonts w:ascii="Times New Roman" w:hAnsi="Times New Roman" w:cs="Times New Roman"/>
          <w:sz w:val="22"/>
          <w:szCs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jc w:val="left"/>
        <w:spacing w:line="580" w:lineRule="exact"/>
      </w:pPr>
      <w:r>
        <w:rPr>
          <w:rFonts w:ascii="Times New Roman" w:hAnsi="Times New Roman" w:cs="Times New Roman"/>
          <w:sz w:val="22"/>
          <w:szCs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jc w:val="left"/>
        <w:spacing w:line="580" w:lineRule="exact"/>
      </w:pPr>
      <w:r>
        <w:rPr>
          <w:rFonts w:ascii="Times New Roman" w:hAnsi="Times New Roman" w:cs="Times New Roman"/>
          <w:sz w:val="22"/>
          <w:szCs w:val="22"/>
        </w:rPr>
        <w:t>Shefrin, H., &amp; Statman, M. (1985). The disposition to sell winners too early and ride losers too long: Theory and evidence. The Journal of Finance, 40(3), 777-790.</w:t>
      </w:r>
    </w:p>
    <w:p>
      <w:pPr>
        <w:bidi/>
        <w:jc w:val="left"/>
        <w:spacing w:line="580" w:lineRule="exact"/>
      </w:pPr>
      <w:r>
        <w:rPr>
          <w:rFonts w:ascii="Times New Roman" w:hAnsi="Times New Roman" w:cs="Times New Roman"/>
          <w:sz w:val="22"/>
          <w:szCs w:val="22"/>
        </w:rPr>
        <w:t>Shiller, R. J. (2015). Irrational exuberance (3rd ed.). Princeton University Press.</w:t>
      </w:r>
    </w:p>
    <w:p>
      <w:pPr>
        <w:bidi/>
        <w:jc w:val="left"/>
        <w:spacing w:line="580" w:lineRule="exact"/>
      </w:pPr>
      <w:r>
        <w:rPr>
          <w:rFonts w:ascii="Times New Roman" w:hAnsi="Times New Roman" w:cs="Times New Roman"/>
          <w:sz w:val="22"/>
          <w:szCs w:val="22"/>
        </w:rPr>
        <w:t>Shorey, R. C., et al. (2012). Gambling and early maladaptive schemas in a treatment seeking sample of male alcohol users: A preliminary investigation. Addictive Disorders &amp; Their Treatment, 11(4), 173-182. https://doi.org/10.1097/adt.0b013e31823eda8f</w:t>
      </w:r>
    </w:p>
    <w:p>
      <w:pPr>
        <w:bidi/>
        <w:jc w:val="left"/>
        <w:spacing w:line="580" w:lineRule="exact"/>
      </w:pPr>
      <w:r>
        <w:rPr>
          <w:rFonts w:ascii="Times New Roman" w:hAnsi="Times New Roman" w:cs="Times New Roman"/>
          <w:sz w:val="22"/>
          <w:szCs w:val="22"/>
        </w:rPr>
        <w:t>Spielberger, C. D. (1983). Manual for the State-Trait Anxiety Inventory. Consulting Psychologists Press.</w:t>
      </w:r>
    </w:p>
    <w:p>
      <w:pPr>
        <w:bidi/>
        <w:jc w:val="left"/>
        <w:spacing w:line="580" w:lineRule="exact"/>
      </w:pPr>
      <w:r>
        <w:rPr>
          <w:rFonts w:ascii="Times New Roman" w:hAnsi="Times New Roman" w:cs="Times New Roman"/>
          <w:sz w:val="22"/>
          <w:szCs w:val="22"/>
        </w:rPr>
        <w:t>Spielberger, C. D., Gorsuch, R. L., &amp; Lushene, R. E. (1970). Manual for the State-Trait Anxiety Inventory. Consulting Psychologists Press.</w:t>
      </w:r>
    </w:p>
    <w:p>
      <w:pPr>
        <w:bidi/>
        <w:jc w:val="left"/>
        <w:spacing w:line="580" w:lineRule="exact"/>
      </w:pPr>
      <w:r>
        <w:rPr>
          <w:rFonts w:ascii="Times New Roman" w:hAnsi="Times New Roman" w:cs="Times New Roman"/>
          <w:sz w:val="22"/>
          <w:szCs w:val="22"/>
        </w:rPr>
        <w:t>Thaler, R. H. (2016). Behavioral finance: Past, present, and future. American Economic Review, 106(7), 1577-1600.</w:t>
      </w:r>
    </w:p>
    <w:p>
      <w:pPr>
        <w:bidi/>
        <w:jc w:val="left"/>
        <w:spacing w:line="580" w:lineRule="exact"/>
      </w:pPr>
      <w:r>
        <w:rPr>
          <w:rFonts w:ascii="Times New Roman" w:hAnsi="Times New Roman" w:cs="Times New Roman"/>
          <w:sz w:val="22"/>
          <w:szCs w:val="22"/>
        </w:rPr>
        <w:t>Vieira, C., Kuss, D. J., &amp; Griffiths, M. D. (2023). Early maladaptive schemas and behavioural addictions: A systematic literature review. Clinical Psychology Review, 105, 102340. https://doi.org/10.1016/j.cpr.2023.102340</w:t>
      </w:r>
    </w:p>
    <w:p>
      <w:pPr>
        <w:bidi/>
        <w:jc w:val="left"/>
        <w:spacing w:line="580" w:lineRule="exact"/>
      </w:pPr>
      <w:r>
        <w:rPr>
          <w:rFonts w:ascii="Times New Roman" w:hAnsi="Times New Roman" w:cs="Times New Roman"/>
          <w:sz w:val="22"/>
          <w:szCs w:val="22"/>
        </w:rPr>
        <w:t>Yalom, I. D. (1980). Existential Psychotherapy. Basic Books</w:t>
      </w:r>
    </w:p>
    <w:p>
      <w:pPr>
        <w:bidi/>
        <w:jc w:val="left"/>
        <w:spacing w:line="580" w:lineRule="exact"/>
      </w:pPr>
      <w:r>
        <w:rPr>
          <w:rFonts w:ascii="Times New Roman" w:hAnsi="Times New Roman" w:cs="Times New Roman"/>
          <w:sz w:val="22"/>
          <w:szCs w:val="22"/>
        </w:rPr>
        <w:t>Young, J. E. (1998). Young Schema Questionnaire - Short Form. Schema Therapy Institute.</w:t>
      </w:r>
    </w:p>
    <w:p>
      <w:pPr>
        <w:bidi/>
        <w:jc w:val="left"/>
        <w:spacing w:line="580" w:lineRule="exact"/>
      </w:pPr>
      <w:r>
        <w:rPr>
          <w:rFonts w:ascii="Times New Roman" w:hAnsi="Times New Roman" w:cs="Times New Roman"/>
          <w:sz w:val="22"/>
          <w:szCs w:val="22"/>
        </w:rPr>
        <w:t>Young, J. E., Klosko, J. S., &amp; Weishaar, M. E. (2003). Schema Therapy: A Practitioner's Guide. Guilford Press.</w:t>
      </w:r>
    </w:p>
    <w:p>
      <w:pPr>
        <w:bidi/>
        <w:jc w:val="left"/>
        <w:spacing w:line="580" w:lineRule="exact"/>
      </w:pPr>
      <w:r>
        <w:rPr>
          <w:rFonts w:ascii="Times New Roman" w:hAnsi="Times New Roman" w:cs="Times New Roman"/>
          <w:sz w:val="22"/>
          <w:szCs w:val="22"/>
        </w:rPr>
        <w:t>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fmt="hindi"/>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Efficient Market Hypothesis</w:t>
      </w:r>
    </w:p>
  </w:footnote>
  <w:footnote w:id="3">
    <w:p>
      <w:pPr>
        <w:bidi w:val="0"/>
      </w:pPr>
      <w:r>
        <w:rPr>
          <w:vertAlign w:val="superscript"/>
        </w:rPr>
        <w:footnoteRef/>
      </w:r>
      <w:r>
        <w:rPr>
          <w:rFonts w:ascii="Times New Roman" w:hAnsi="Times New Roman" w:cs="Times New Roman"/>
          <w:sz w:val="20"/>
          <w:szCs w:val="20"/>
        </w:rPr>
        <w:t xml:space="preserve"> Behavioral Economics</w:t>
      </w:r>
    </w:p>
  </w:footnote>
  <w:footnote w:id="4">
    <w:p>
      <w:pPr>
        <w:bidi w:val="0"/>
      </w:pPr>
      <w:r>
        <w:rPr>
          <w:vertAlign w:val="superscript"/>
        </w:rPr>
        <w:footnoteRef/>
      </w:r>
      <w:r>
        <w:rPr>
          <w:rFonts w:ascii="Times New Roman" w:hAnsi="Times New Roman" w:cs="Times New Roman"/>
          <w:sz w:val="20"/>
          <w:szCs w:val="20"/>
        </w:rPr>
        <w:t xml:space="preserve"> Prospect Theory</w:t>
      </w:r>
    </w:p>
  </w:footnote>
  <w:footnote w:id="5">
    <w:p>
      <w:pPr>
        <w:bidi w:val="0"/>
      </w:pPr>
      <w:r>
        <w:rPr>
          <w:vertAlign w:val="superscript"/>
        </w:rPr>
        <w:footnoteRef/>
      </w:r>
      <w:r>
        <w:rPr>
          <w:rFonts w:ascii="Times New Roman" w:hAnsi="Times New Roman" w:cs="Times New Roman"/>
          <w:sz w:val="20"/>
          <w:szCs w:val="20"/>
        </w:rPr>
        <w:t xml:space="preserve"> Loss Aversion</w:t>
      </w:r>
    </w:p>
  </w:footnote>
  <w:footnote w:id="6">
    <w:p>
      <w:pPr>
        <w:bidi w:val="0"/>
      </w:pPr>
      <w:r>
        <w:rPr>
          <w:vertAlign w:val="superscript"/>
        </w:rPr>
        <w:footnoteRef/>
      </w:r>
      <w:r>
        <w:rPr>
          <w:rFonts w:ascii="Times New Roman" w:hAnsi="Times New Roman" w:cs="Times New Roman"/>
          <w:sz w:val="20"/>
          <w:szCs w:val="20"/>
        </w:rPr>
        <w:t xml:space="preserve"> Fear of Missing Out</w:t>
      </w:r>
    </w:p>
  </w:footnote>
  <w:footnote w:id="7">
    <w:p>
      <w:pPr>
        <w:bidi w:val="0"/>
      </w:pPr>
      <w:r>
        <w:rPr>
          <w:vertAlign w:val="superscript"/>
        </w:rPr>
        <w:footnoteRef/>
      </w:r>
      <w:r>
        <w:rPr>
          <w:rFonts w:ascii="Times New Roman" w:hAnsi="Times New Roman" w:cs="Times New Roman"/>
          <w:sz w:val="20"/>
          <w:szCs w:val="20"/>
        </w:rPr>
        <w:t xml:space="preserve"> Attentional Control Theory</w:t>
      </w:r>
    </w:p>
  </w:footnote>
  <w:footnote w:id="8">
    <w:p>
      <w:pPr>
        <w:bidi w:val="0"/>
      </w:pPr>
      <w:r>
        <w:rPr>
          <w:vertAlign w:val="superscript"/>
        </w:rPr>
        <w:footnoteRef/>
      </w:r>
      <w:r>
        <w:rPr>
          <w:rFonts w:ascii="Times New Roman" w:hAnsi="Times New Roman" w:cs="Times New Roman"/>
          <w:sz w:val="20"/>
          <w:szCs w:val="20"/>
        </w:rPr>
        <w:t xml:space="preserve"> Overtrading</w:t>
      </w:r>
    </w:p>
  </w:footnote>
  <w:footnote w:id="9">
    <w:p>
      <w:pPr>
        <w:bidi w:val="0"/>
      </w:pPr>
      <w:r>
        <w:rPr>
          <w:vertAlign w:val="superscript"/>
        </w:rPr>
        <w:footnoteRef/>
      </w:r>
      <w:r>
        <w:rPr>
          <w:rFonts w:ascii="Times New Roman" w:hAnsi="Times New Roman" w:cs="Times New Roman"/>
          <w:sz w:val="20"/>
          <w:szCs w:val="20"/>
        </w:rPr>
        <w:t xml:space="preserve"> Disposition Effect</w:t>
      </w:r>
    </w:p>
  </w:footnote>
  <w:footnote w:id="10">
    <w:p>
      <w:pPr>
        <w:bidi w:val="0"/>
      </w:pPr>
      <w:r>
        <w:rPr>
          <w:vertAlign w:val="superscript"/>
        </w:rPr>
        <w:footnoteRef/>
      </w:r>
      <w:r>
        <w:rPr>
          <w:rFonts w:ascii="Times New Roman" w:hAnsi="Times New Roman" w:cs="Times New Roman"/>
          <w:sz w:val="20"/>
          <w:szCs w:val="20"/>
        </w:rPr>
        <w:t xml:space="preserve"> Herding Behavior</w:t>
      </w:r>
    </w:p>
  </w:footnote>
  <w:footnote w:id="11">
    <w:p>
      <w:pPr>
        <w:bidi w:val="0"/>
      </w:pPr>
      <w:r>
        <w:rPr>
          <w:vertAlign w:val="superscript"/>
        </w:rPr>
        <w:footnoteRef/>
      </w:r>
      <w:r>
        <w:rPr>
          <w:rFonts w:ascii="Times New Roman" w:hAnsi="Times New Roman" w:cs="Times New Roman"/>
          <w:sz w:val="20"/>
          <w:szCs w:val="20"/>
        </w:rPr>
        <w:t xml:space="preserve"> Diathesis-Stress Model</w:t>
      </w:r>
    </w:p>
  </w:footnote>
  <w:footnote w:id="12">
    <w:p>
      <w:pPr>
        <w:bidi w:val="0"/>
      </w:pPr>
      <w:r>
        <w:rPr>
          <w:vertAlign w:val="superscript"/>
        </w:rPr>
        <w:footnoteRef/>
      </w:r>
      <w:r>
        <w:rPr>
          <w:rFonts w:ascii="Times New Roman" w:hAnsi="Times New Roman" w:cs="Times New Roman"/>
          <w:sz w:val="20"/>
          <w:szCs w:val="20"/>
        </w:rPr>
        <w:t xml:space="preserve"> Trait Anxiety</w:t>
      </w:r>
    </w:p>
  </w:footnote>
  <w:footnote w:id="13">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4">
    <w:p>
      <w:pPr>
        <w:bidi w:val="0"/>
      </w:pPr>
      <w:r>
        <w:rPr>
          <w:vertAlign w:val="superscript"/>
        </w:rPr>
        <w:footnoteRef/>
      </w:r>
      <w:r>
        <w:rPr>
          <w:rFonts w:ascii="Times New Roman" w:hAnsi="Times New Roman" w:cs="Times New Roman"/>
          <w:sz w:val="20"/>
          <w:szCs w:val="20"/>
        </w:rPr>
        <w:t xml:space="preserve"> Early Maladaptive Schemas</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pPr>
        <w:bidi w:val="0"/>
      </w:pPr>
      <w:r>
        <w:rPr>
          <w:vertAlign w:val="superscript"/>
        </w:rPr>
        <w:footnoteRef/>
      </w:r>
      <w:r>
        <w:rPr>
          <w:rFonts w:ascii="Times New Roman" w:hAnsi="Times New Roman" w:cs="Times New Roman"/>
          <w:sz w:val="20"/>
          <w:szCs w:val="20"/>
        </w:rPr>
        <w:t xml:space="preserve"> Applied Research</w:t>
      </w:r>
    </w:p>
  </w:footnote>
  <w:footnote w:id="38">
    <w:p>
      <w:pPr>
        <w:bidi w:val="0"/>
      </w:pPr>
      <w:r>
        <w:rPr>
          <w:vertAlign w:val="superscript"/>
        </w:rPr>
        <w:footnoteRef/>
      </w:r>
      <w:r>
        <w:rPr>
          <w:rFonts w:ascii="Times New Roman" w:hAnsi="Times New Roman" w:cs="Times New Roman"/>
          <w:sz w:val="20"/>
          <w:szCs w:val="20"/>
        </w:rPr>
        <w:t xml:space="preserve"> Descriptive-Correlational</w:t>
      </w:r>
    </w:p>
  </w:footnote>
  <w:footnote w:id="39">
    <w:p>
      <w:pPr>
        <w:bidi w:val="0"/>
      </w:pPr>
      <w:r>
        <w:rPr>
          <w:vertAlign w:val="superscript"/>
        </w:rPr>
        <w:footnoteRef/>
      </w:r>
      <w:r>
        <w:rPr>
          <w:rFonts w:ascii="Times New Roman" w:hAnsi="Times New Roman" w:cs="Times New Roman"/>
          <w:sz w:val="20"/>
          <w:szCs w:val="20"/>
        </w:rPr>
        <w:t xml:space="preserve"> Mediation Model</w:t>
      </w:r>
    </w:p>
  </w:footnote>
  <w:footnote w:id="40">
    <w:p>
      <w:pPr>
        <w:bidi w:val="0"/>
      </w:pPr>
      <w:r>
        <w:rPr>
          <w:vertAlign w:val="superscript"/>
        </w:rPr>
        <w:footnoteRef/>
      </w:r>
      <w:r>
        <w:rPr>
          <w:rFonts w:ascii="Times New Roman" w:hAnsi="Times New Roman" w:cs="Times New Roman"/>
          <w:sz w:val="20"/>
          <w:szCs w:val="20"/>
        </w:rPr>
        <w:t xml:space="preserve"> Convenience Sampling</w:t>
      </w:r>
    </w:p>
  </w:footnote>
  <w:footnote w:id="41">
    <w:p>
      <w:pPr>
        <w:bidi w:val="0"/>
      </w:pPr>
      <w:r>
        <w:rPr>
          <w:vertAlign w:val="superscript"/>
        </w:rPr>
        <w:footnoteRef/>
      </w:r>
      <w:r>
        <w:rPr>
          <w:rFonts w:ascii="Times New Roman" w:hAnsi="Times New Roman" w:cs="Times New Roman"/>
          <w:sz w:val="20"/>
          <w:szCs w:val="20"/>
        </w:rPr>
        <w:t xml:space="preserve"> Snowball Sampling</w:t>
      </w:r>
    </w:p>
  </w:footnote>
  <w:footnote w:id="42">
    <w:p>
      <w:pPr>
        <w:bidi w:val="0"/>
      </w:pPr>
      <w:r>
        <w:rPr>
          <w:vertAlign w:val="superscript"/>
        </w:rPr>
        <w:footnoteRef/>
      </w:r>
      <w:r>
        <w:rPr>
          <w:rFonts w:ascii="Times New Roman" w:hAnsi="Times New Roman" w:cs="Times New Roman"/>
          <w:sz w:val="20"/>
          <w:szCs w:val="20"/>
        </w:rPr>
        <w:t xml:space="preserve"> Financial Risk Tolerance Scale (GL-RTS)</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1" Type="http://schemas.openxmlformats.org/officeDocument/2006/relationships/customXml" Target="../customXml/item1.xml" /><ns0:Relationship Id="rId2" Type="http://schemas.openxmlformats.org/officeDocument/2006/relationships/numbering" Target="numbering.xml" /><ns0:Relationship Id="rId9" Type="http://schemas.openxmlformats.org/officeDocument/2006/relationships/footer" Target="footer1.xml" /><ns0:Relationship Id="rId10" Type="http://schemas.openxmlformats.org/officeDocument/2006/relationships/footer" Target="footer2.xml" /><ns0:Relationship Id="rId11" Type="http://schemas.openxmlformats.org/officeDocument/2006/relationships/footer" Target="footer3.xml" /><ns0:Relationship Id="rId12" Type="http://schemas.openxmlformats.org/officeDocument/2006/relationships/footer" Target="footer4.xml" /><ns0:Relationship Id="rId13" Type="http://schemas.openxmlformats.org/officeDocument/2006/relationships/footer" Target="footer5.xml" /><ns0:Relationship Id="rId14" Type="http://schemas.openxmlformats.org/officeDocument/2006/relationships/footer" Target="footer6.xml" /><ns0:Relationship Id="rId15" Type="http://schemas.openxmlformats.org/officeDocument/2006/relationships/footer" Target="footer7.xml" /><ns0:Relationship Id="rId16" Type="http://schemas.openxmlformats.org/officeDocument/2006/relationships/footer" Target="footer8.xml" /><ns0:Relationship Id="rId17" Type="http://schemas.openxmlformats.org/officeDocument/2006/relationships/footer" Target="footer9.xml" /><ns0:Relationship Id="rId18" Type="http://schemas.openxmlformats.org/officeDocument/2006/relationships/footer" Target="footer10.xml" /><ns0:Relationship Id="rId19" Type="http://schemas.openxmlformats.org/officeDocument/2006/relationships/footnotes" Target="footnotes.xml" /><ns0:Relationship Id="rId20" Type="http://schemas.openxmlformats.org/officeDocument/2006/relationships/image" Target="media/image1.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