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0" w:after="0"/>
        <w:jc w:val="center"/>
      </w:pPr>
      <w:r>
        <w:rPr>
          <w:rFonts w:ascii="B Nazanin" w:hAnsi="B Nazanin" w:cs="B Nazanin" w:hint="cs"/>
          <w:b/>
          <w:bCs/>
          <w:sz w:val="32"/>
          <w:szCs w:val="32"/>
          <w:rtl/>
          <w:lang w:bidi="fa-IR"/>
        </w:rPr>
        <w:t xml:space="preserve">بسم الله الرحمن الرحیم</w:t>
      </w:r>
    </w:p>
    <w:p>
      <w:pPr>
        <w:sectPr>
          <w:footerReference w:type="default" r:id="rId9"/>
          <w:footnotePr>
            <w:numFmt w:val="hindi"/>
            <w:numRestart w:val="eachPage"/>
          </w:footnotePr>
          <w:pgSz w:w="11906" w:h="16838"/>
          <w:pgMar w:top="1701" w:right="2268" w:bottom="1417" w:left="1417" w:header="720" w:footer="567" w:gutter="0"/>
          <w:cols w:space="720"/>
          <w:vAlign w:val="center"/>
          <w:bidi/>
          <w:docGrid w:linePitch="360"/>
        </w:sectPr>
      </w:pPr>
    </w:p>
    <w:p>
      <w:pPr>
        <w:bidi w:val="1"/>
        <w:spacing w:lineRule="exact" w:line="580" w:before="0" w:after="360"/>
        <w:jc w:val="center"/>
      </w:pPr>
      <w:r>
        <w:rPr>
          <w:rFonts w:ascii="B Nazanin" w:hAnsi="B Nazanin" w:cs="B Nazanin" w:hint="cs"/>
          <w:b/>
          <w:bCs/>
          <w:sz w:val="20"/>
          <w:szCs w:val="20"/>
          <w:rtl/>
          <w:lang w:bidi="fa-IR"/>
        </w:rPr>
        <w:t xml:space="preserve">دانشگاه علم و هنر یزد</w:t>
      </w:r>
    </w:p>
    <w:p>
      <w:pPr>
        <w:bidi w:val="1"/>
        <w:spacing w:lineRule="exact" w:line="580" w:before="240" w:after="360"/>
        <w:jc w:val="center"/>
      </w:pPr>
      <w:r>
        <w:rPr>
          <w:rFonts w:ascii="B Nazanin" w:hAnsi="B Nazanin" w:cs="B Nazanin" w:hint="cs"/>
          <w:b/>
          <w:bCs/>
          <w:sz w:val="48"/>
          <w:szCs w:val="48"/>
          <w:rtl/>
          <w:lang w:bidi="fa-IR"/>
        </w:rPr>
        <w:t xml:space="preserve">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360"/>
        <w:jc w:val="center"/>
      </w:pPr>
      <w:r>
        <w:rPr>
          <w:rFonts w:ascii="B Nazanin" w:hAnsi="B Nazanin" w:cs="B Nazanin" w:hint="cs"/>
          <w:b/>
          <w:bCs/>
          <w:sz w:val="28"/>
          <w:szCs w:val="28"/>
          <w:rtl/>
          <w:lang w:bidi="fa-IR"/>
        </w:rPr>
        <w:t xml:space="preserve">پایان‌نامه کارشناسی ارشد روان‌شناسی بالینی</w:t>
      </w:r>
    </w:p>
    <w:p>
      <w:pPr>
        <w:bidi w:val="1"/>
        <w:spacing w:lineRule="exact" w:line="580" w:before="0" w:after="180"/>
        <w:jc w:val="center"/>
      </w:pPr>
      <w:r>
        <w:rPr>
          <w:rFonts w:ascii="B Nazanin" w:hAnsi="B Nazanin" w:cs="B Nazanin" w:hint="cs"/>
          <w:sz w:val="28"/>
          <w:szCs w:val="28"/>
          <w:rtl/>
          <w:lang w:bidi="fa-IR"/>
        </w:rPr>
        <w:t xml:space="preserve">استاد راهنما: </w:t>
      </w:r>
      <w:r>
        <w:rPr>
          <w:rFonts w:ascii="B Nazanin" w:hAnsi="B Nazanin" w:cs="B Nazanin" w:hint="cs"/>
          <w:b/>
          <w:bCs/>
          <w:sz w:val="28"/>
          <w:szCs w:val="28"/>
          <w:rtl/>
          <w:lang w:bidi="fa-IR"/>
        </w:rPr>
        <w:t xml:space="preserve">دکتر سعید وزیری یزدی</w:t>
      </w:r>
    </w:p>
    <w:p>
      <w:pPr>
        <w:bidi w:val="1"/>
        <w:spacing w:lineRule="exact" w:line="580" w:before="0" w:after="180"/>
        <w:jc w:val="center"/>
      </w:pPr>
      <w:r>
        <w:rPr>
          <w:rFonts w:ascii="B Nazanin" w:hAnsi="B Nazanin" w:cs="B Nazanin" w:hint="cs"/>
          <w:sz w:val="28"/>
          <w:szCs w:val="28"/>
          <w:rtl/>
          <w:lang w:bidi="fa-IR"/>
        </w:rPr>
        <w:t xml:space="preserve">نگارنده: </w:t>
      </w:r>
      <w:r>
        <w:rPr>
          <w:rFonts w:ascii="B Nazanin" w:hAnsi="B Nazanin" w:cs="B Nazanin" w:hint="cs"/>
          <w:b/>
          <w:bCs/>
          <w:sz w:val="28"/>
          <w:szCs w:val="28"/>
          <w:rtl/>
          <w:lang w:bidi="fa-IR"/>
        </w:rPr>
        <w:t xml:space="preserve">مریم قابل</w:t>
      </w:r>
    </w:p>
    <w:p>
      <w:pPr>
        <w:bidi w:val="1"/>
        <w:spacing w:lineRule="exact" w:line="580" w:before="240" w:after="0"/>
        <w:jc w:val="center"/>
      </w:pPr>
      <w:r>
        <w:rPr>
          <w:rFonts w:ascii="B Nazanin" w:hAnsi="B Nazanin" w:cs="B Nazanin" w:hint="cs"/>
          <w:b/>
          <w:bCs/>
          <w:sz w:val="28"/>
          <w:szCs w:val="28"/>
          <w:rtl/>
          <w:lang w:bidi="fa-IR"/>
        </w:rPr>
        <w:t xml:space="preserve">۱۴۰۵</w:t>
      </w:r>
    </w:p>
    <w:p>
      <w:r>
        <w:br w:type="page"/>
      </w:r>
    </w:p>
    <w:p>
      <w:pPr>
        <w:bidi w:val="1"/>
        <w:spacing w:lineRule="exact" w:line="580" w:before="2400" w:after="0"/>
        <w:jc w:val="center"/>
      </w:pPr>
      <w:r>
        <w:rPr>
          <w:rFonts w:ascii="B Nazanin" w:hAnsi="B Nazanin" w:cs="B Nazanin" w:hint="cs"/>
          <w:sz w:val="24"/>
          <w:szCs w:val="24"/>
          <w:rtl/>
          <w:lang w:bidi="fa-IR"/>
        </w:rPr>
        <w:t xml:space="preserve">[فرم صورت‌جلسه دفاع پس از برگزاری جلسه دفاع در این محل قرار می‌گیرد]</w:t>
      </w:r>
    </w:p>
    <w:p>
      <w:r>
        <w:br w:type="page"/>
      </w:r>
    </w:p>
    <w:p>
      <w:pPr>
        <w:bidi w:val="1"/>
        <w:spacing w:lineRule="exact" w:line="580" w:before="2400" w:after="0"/>
        <w:jc w:val="center"/>
      </w:pPr>
      <w:r>
        <w:rPr>
          <w:rFonts w:ascii="B Nazanin" w:hAnsi="B Nazanin" w:cs="B Nazanin" w:hint="cs"/>
          <w:sz w:val="24"/>
          <w:szCs w:val="24"/>
          <w:rtl/>
          <w:lang w:bidi="fa-IR"/>
        </w:rPr>
        <w:t xml:space="preserve">[فرم تعهدنامه اصالت اثر پس از امضا در این محل قرار می‌گیرد]</w:t>
      </w:r>
    </w:p>
    <w:p>
      <w:r>
        <w:br w:type="page"/>
      </w:r>
    </w:p>
    <w:p>
      <w:pPr>
        <w:bidi w:val="1"/>
        <w:spacing w:lineRule="exact" w:line="580" w:before="0" w:after="240"/>
        <w:jc w:val="right"/>
      </w:pPr>
      <w:r>
        <w:rPr>
          <w:rFonts w:ascii="B Nazanin" w:hAnsi="B Nazanin" w:cs="B Nazanin" w:hint="cs"/>
          <w:b/>
          <w:bCs/>
          <w:sz w:val="28"/>
          <w:szCs w:val="28"/>
          <w:rtl/>
          <w:lang w:bidi="fa-IR"/>
        </w:rPr>
        <w:t xml:space="preserve">تقدیم به:</w:t>
      </w:r>
    </w:p>
    <w:p>
      <w:pPr>
        <w:bidi w:val="1"/>
        <w:spacing w:lineRule="exact" w:line="580" w:before="1200" w:after="0"/>
        <w:jc w:val="center"/>
      </w:pPr>
      <w:r>
        <w:rPr>
          <w:rFonts w:ascii="B Nazanin" w:hAnsi="B Nazanin" w:cs="B Nazanin" w:hint="cs"/>
          <w:sz w:val="24"/>
          <w:szCs w:val="24"/>
          <w:rtl/>
          <w:lang w:bidi="fa-IR"/>
        </w:rPr>
        <w:t xml:space="preserve">[متن تقدیم توسط دانشجو تکمیل می‌شود]</w:t>
      </w:r>
    </w:p>
    <w:p>
      <w:r>
        <w:br w:type="page"/>
      </w:r>
    </w:p>
    <w:p>
      <w:pPr>
        <w:bidi w:val="1"/>
        <w:spacing w:lineRule="exact" w:line="580" w:before="0" w:after="240"/>
        <w:jc w:val="right"/>
      </w:pPr>
      <w:r>
        <w:rPr>
          <w:rFonts w:ascii="B Nazanin" w:hAnsi="B Nazanin" w:cs="B Nazanin" w:hint="cs"/>
          <w:b/>
          <w:bCs/>
          <w:sz w:val="28"/>
          <w:szCs w:val="28"/>
          <w:rtl/>
          <w:lang w:bidi="fa-IR"/>
        </w:rPr>
        <w:t xml:space="preserve">سپاسگزاری</w:t>
      </w:r>
    </w:p>
    <w:p>
      <w:pPr>
        <w:bidi w:val="1"/>
        <w:spacing w:lineRule="exact" w:line="580" w:before="1200" w:after="0"/>
        <w:jc w:val="center"/>
      </w:pPr>
      <w:r>
        <w:rPr>
          <w:rFonts w:ascii="B Nazanin" w:hAnsi="B Nazanin" w:cs="B Nazanin" w:hint="cs"/>
          <w:sz w:val="24"/>
          <w:szCs w:val="24"/>
          <w:rtl/>
          <w:lang w:bidi="fa-IR"/>
        </w:rPr>
        <w:t xml:space="preserve">[متن سپاسگزاری توسط دانشجو تکمیل می‌شود]</w:t>
      </w:r>
    </w:p>
    <w:p>
      <w:r>
        <w:br w:type="page"/>
      </w:r>
    </w:p>
    <w:p>
      <w:pPr>
        <w:bidi w:val="1"/>
        <w:spacing w:lineRule="exact" w:line="580" w:before="0" w:after="120"/>
        <w:jc w:val="right"/>
      </w:pPr>
      <w:r>
        <w:rPr>
          <w:rFonts w:ascii="B Nazanin" w:hAnsi="B Nazanin" w:cs="B Nazanin" w:hint="cs"/>
          <w:b/>
          <w:bCs/>
          <w:sz w:val="28"/>
          <w:szCs w:val="28"/>
          <w:rtl/>
          <w:lang w:bidi="fa-IR"/>
        </w:rPr>
        <w:t xml:space="preserve">چکیده:</w:t>
      </w:r>
    </w:p>
    <w:p>
      <w:pPr>
        <w:bidi w:val="1"/>
        <w:spacing w:lineRule="exact" w:line="580" w:after="120"/>
        <w:jc w:val="both"/>
      </w:pPr>
      <w:r>
        <w:rPr>
          <w:rFonts w:ascii="B Nazanin" w:hAnsi="B Nazanin" w:cs="B Nazanin" w:hint="cs"/>
          <w:sz w:val="24"/>
          <w:szCs w:val="24"/>
          <w:rtl/>
          <w:lang w:bidi="fa-IR"/>
        </w:rPr>
        <w:t xml:space="preserve">[چکیده پس از تکمیل فصل‌های چهارم و پنجم نوشته می‌شود]</w:t>
      </w:r>
    </w:p>
    <w:p>
      <w:pPr>
        <w:bidi w:val="1"/>
        <w:spacing w:lineRule="exact" w:line="580" w:after="0"/>
        <w:jc w:val="both"/>
      </w:pPr>
      <w:r>
        <w:rPr>
          <w:rFonts w:ascii="B Nazanin" w:hAnsi="B Nazanin" w:cs="B Nazanin" w:hint="cs"/>
          <w:sz w:val="24"/>
          <w:szCs w:val="24"/>
          <w:rtl/>
          <w:lang w:bidi="fa-IR"/>
        </w:rPr>
        <w:t xml:space="preserve">کلمات کلیدی: اضطراب صفتی، طرحواره‌های ناسازگار اولیه، رفتارهای مالی پرخطر، معامله‌گران بازارهای مالی، مدل‌سازی معادلات ساختاری</w:t>
      </w:r>
    </w:p>
    <w:p>
      <w:pPr>
        <w:sectPr>
          <w:footerReference w:type="default" r:id="rId10"/>
          <w:footnotePr>
            <w:numFmt w:val="hindi"/>
            <w:numRestart w:val="eachPage"/>
          </w:footnotePr>
          <w:pgSz w:w="11906" w:h="16838"/>
          <w:pgMar w:top="1701" w:right="2268" w:bottom="1417" w:left="1417" w:header="720" w:footer="567" w:gutter="0"/>
          <w:cols w:space="720"/>
          <w:bidi/>
          <w:docGrid w:linePitch="360"/>
        </w:sectPr>
      </w:pPr>
    </w:p>
    <w:p>
      <w:pPr>
        <w:bidi w:val="1"/>
        <w:spacing w:lineRule="exact" w:line="580" w:before="0" w:after="180"/>
        <w:jc w:val="center"/>
      </w:pPr>
      <w:r>
        <w:rPr>
          <w:rFonts w:ascii="B Nazanin" w:hAnsi="B Nazanin" w:cs="B Nazanin" w:hint="cs"/>
          <w:b/>
          <w:bCs/>
          <w:sz w:val="28"/>
          <w:szCs w:val="28"/>
          <w:rtl/>
          <w:lang w:bidi="fa-IR"/>
        </w:rPr>
        <w:t xml:space="preserve">فهرست مطالب</w:t>
      </w:r>
    </w:p>
    <w:p>
      <w:pPr>
        <w:bidi w:val="1"/>
        <w:jc w:val="right"/>
      </w:pPr>
      <w:r>
        <w:fldChar w:fldCharType="begin"/>
      </w:r>
      <w:r>
        <w:instrText xml:space="preserve"> TOC \o "1-3" \h \z \u </w:instrText>
      </w:r>
      <w:r>
        <w:fldChar w:fldCharType="separate"/>
      </w:r>
      <w:r>
        <w:rPr>
          <w:rFonts w:ascii="B Nazanin" w:hAnsi="B Nazanin" w:cs="B Nazanin" w:hint="cs"/>
          <w:sz w:val="24"/>
          <w:szCs w:val="24"/>
          <w:rtl/>
          <w:lang w:bidi="fa-IR"/>
        </w:rPr>
        <w:t xml:space="preserve">[فهرست مطالب در</w:t>
      </w:r>
      <w:r>
        <w:rPr>
          <w:rFonts w:ascii="Times New Roman" w:hAnsi="Times New Roman" w:cs="Times New Roman"/>
          <w:sz w:val="22"/>
          <w:szCs w:val="22"/>
          <w:lang w:val="en-US"/>
        </w:rPr>
        <w:t xml:space="preserve"> Word </w:t>
      </w:r>
      <w:r>
        <w:rPr>
          <w:rFonts w:ascii="B Nazanin" w:hAnsi="B Nazanin" w:cs="B Nazanin" w:hint="cs"/>
          <w:sz w:val="24"/>
          <w:szCs w:val="24"/>
          <w:rtl/>
          <w:lang w:bidi="fa-IR"/>
        </w:rPr>
        <w:t xml:space="preserve">از مسیر</w:t>
      </w:r>
      <w:r>
        <w:rPr>
          <w:rFonts w:ascii="Times New Roman" w:hAnsi="Times New Roman" w:cs="Times New Roman"/>
          <w:sz w:val="22"/>
          <w:szCs w:val="22"/>
          <w:lang w:val="en-US"/>
        </w:rPr>
        <w:t xml:space="preserve"> References &gt; Table of Contents </w:t>
      </w:r>
      <w:r>
        <w:rPr>
          <w:rFonts w:ascii="B Nazanin" w:hAnsi="B Nazanin" w:cs="B Nazanin" w:hint="cs"/>
          <w:sz w:val="24"/>
          <w:szCs w:val="24"/>
          <w:rtl/>
          <w:lang w:bidi="fa-IR"/>
        </w:rPr>
        <w:t xml:space="preserve">ساخته و به‌روزرسانی شود — با کلیک راست و</w:t>
      </w:r>
      <w:r>
        <w:rPr>
          <w:rFonts w:ascii="Times New Roman" w:hAnsi="Times New Roman" w:cs="Times New Roman"/>
          <w:sz w:val="22"/>
          <w:szCs w:val="22"/>
          <w:lang w:val="en-US"/>
        </w:rPr>
        <w:t xml:space="preserve"> Update Field]</w:t>
      </w:r>
      <w:r>
        <w:fldChar w:fldCharType="end"/>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جدول‌ها</w:t>
      </w:r>
    </w:p>
    <w:p>
      <w:pPr>
        <w:bidi w:val="1"/>
        <w:spacing w:lineRule="exact" w:line="580" w:before="0" w:after="60"/>
        <w:jc w:val="center"/>
      </w:pPr>
      <w:r>
        <w:rPr>
          <w:rFonts w:ascii="B Nazanin" w:hAnsi="B Nazanin" w:cs="B Nazanin" w:hint="cs"/>
          <w:sz w:val="24"/>
          <w:szCs w:val="24"/>
          <w:rtl/>
          <w:lang w:bidi="fa-IR"/>
        </w:rPr>
        <w:t xml:space="preserve">جدول ۲-۱. حوزه‌ها و طرحواره‌های ناسازگار اولیه در مدل یانگ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pPr>
        <w:bidi w:val="1"/>
        <w:spacing w:lineRule="exact" w:line="580" w:before="0" w:after="60"/>
        <w:jc w:val="center"/>
      </w:pPr>
      <w:r>
        <w:rPr>
          <w:rFonts w:ascii="B Nazanin" w:hAnsi="B Nazanin" w:cs="B Nazanin" w:hint="cs"/>
          <w:sz w:val="24"/>
          <w:szCs w:val="24"/>
          <w:rtl/>
          <w:lang w:bidi="fa-IR"/>
        </w:rPr>
        <w:t xml:space="preserve">جدول ۳-۱. خلاصه ابزارهای پژوهش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شکل‌ها</w:t>
      </w:r>
    </w:p>
    <w:p>
      <w:pPr>
        <w:bidi w:val="1"/>
        <w:spacing w:lineRule="exact" w:line="580" w:before="0" w:after="60"/>
        <w:jc w:val="center"/>
      </w:pPr>
      <w:r>
        <w:rPr>
          <w:rFonts w:ascii="B Nazanin" w:hAnsi="B Nazanin" w:cs="B Nazanin" w:hint="cs"/>
          <w:sz w:val="24"/>
          <w:szCs w:val="24"/>
          <w:rtl/>
          <w:lang w:bidi="fa-IR"/>
        </w:rPr>
        <w:t xml:space="preserve">شکل ۲-۱. مدل مفهومی پژوهش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علائم</w:t>
      </w:r>
    </w:p>
    <w:p>
      <w:pPr>
        <w:bidi w:val="1"/>
        <w:spacing w:lineRule="exact" w:line="580"/>
        <w:jc w:val="both"/>
      </w:pPr>
      <w:r>
        <w:rPr>
          <w:rFonts w:ascii="B Nazanin" w:hAnsi="B Nazanin" w:cs="B Nazanin" w:hint="cs"/>
          <w:sz w:val="24"/>
          <w:szCs w:val="24"/>
          <w:rtl/>
          <w:lang w:bidi="fa-IR"/>
        </w:rPr>
        <w:t xml:space="preserve">[در صورت وجود علائم و اختصارات، در این بخش تکمیل می‌شود]</w:t>
      </w:r>
    </w:p>
    <w:p>
      <w:pPr>
        <w:sectPr>
          <w:footerReference w:type="default" r:id="rId11"/>
          <w:footnotePr>
            <w:numFmt w:val="hindi"/>
            <w:numRestart w:val="eachPage"/>
          </w:footnotePr>
          <w:pgSz w:w="11906" w:h="16838"/>
          <w:pgMar w:top="1701" w:right="2268" w:bottom="1417" w:left="1417" w:header="720" w:footer="567" w:gutter="0"/>
          <w:pgNumType w:numFmt="upperRoman"/>
          <w:cols w:space="720"/>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اول</w:t>
      </w:r>
    </w:p>
    <w:p>
      <w:pPr>
        <w:bidi w:val="1"/>
        <w:spacing w:lineRule="exact" w:line="580" w:before="120" w:after="480"/>
        <w:jc w:val="center"/>
      </w:pPr>
      <w:r>
        <w:rPr>
          <w:rFonts w:ascii="B Nazanin" w:hAnsi="B Nazanin" w:cs="B Nazanin" w:hint="cs"/>
          <w:b/>
          <w:bCs/>
          <w:sz w:val="52"/>
          <w:szCs w:val="52"/>
          <w:rtl/>
          <w:lang w:bidi="fa-IR"/>
        </w:rPr>
        <w:t xml:space="preserve">کلیات پژوهش</w:t>
      </w:r>
    </w:p>
    <w:p>
      <w:pPr>
        <w:pStyle w:val="Heading2"/>
        <w:bidi w:val="1"/>
        <w:jc w:val="right"/>
      </w:pPr>
      <w:r>
        <w:rPr>
          <w:rFonts w:ascii="B Nazanin" w:hAnsi="B Nazanin" w:cs="B Nazanin" w:hint="cs"/>
          <w:b/>
          <w:bCs/>
          <w:sz w:val="28"/>
          <w:szCs w:val="28"/>
          <w:rtl/>
          <w:lang w:bidi="fa-IR"/>
        </w:rPr>
        <w:t xml:space="preserve">۱-۱. مقدمه</w:t>
      </w:r>
    </w:p>
    <w:p>
      <w:pPr>
        <w:bidi w:val="1"/>
        <w:spacing w:lineRule="exact" w:line="580" w:after="0"/>
        <w:jc w:val="both"/>
      </w:pPr>
      <w:r>
        <w:rPr>
          <w:rFonts w:ascii="B Nazanin" w:hAnsi="B Nazanin" w:cs="B Nazanin" w:hint="cs"/>
          <w:sz w:val="24"/>
          <w:szCs w:val="24"/>
          <w:rtl/>
          <w:lang w:bidi="fa-IR"/>
        </w:rPr>
        <w:t xml:space="preserve">رفتارهای مالی پرخطر </w:t>
      </w:r>
      <w:r>
        <w:rPr>
          <w:rFonts w:ascii="B Nazanin" w:hAnsi="B Nazanin" w:cs="B Nazanin" w:hint="cs"/>
          <w:vertAlign w:val="superscript"/>
          <w:rtl/>
        </w:rPr>
        <w:footnoteReference w:id="1"/>
      </w:r>
      <w:r>
        <w:rPr>
          <w:rFonts w:ascii="B Nazanin" w:hAnsi="B Nazanin" w:cs="B Nazanin" w:hint="cs"/>
          <w:sz w:val="24"/>
          <w:szCs w:val="24"/>
          <w:rtl/>
          <w:lang w:bidi="fa-IR"/>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در پی آن است که نشان دهد چگونه این ویژگی، اضطراب صفتی </w:t>
      </w:r>
      <w:r>
        <w:rPr>
          <w:rFonts w:ascii="B Nazanin" w:hAnsi="B Nazanin" w:cs="B Nazanin" w:hint="cs"/>
          <w:vertAlign w:val="superscript"/>
          <w:rtl/>
        </w:rPr>
        <w:footnoteReference w:id="2"/>
      </w:r>
      <w:r>
        <w:rPr>
          <w:rFonts w:ascii="B Nazanin" w:hAnsi="B Nazanin" w:cs="B Nazanin" w:hint="cs"/>
          <w:sz w:val="24"/>
          <w:szCs w:val="24"/>
          <w:rtl/>
          <w:lang w:bidi="fa-IR"/>
        </w:rPr>
        <w:t xml:space="preserve"> به‌عنوان یک ویژگی شخصیتی پایدار، از مجرای طرحواره‌های ناسازگار اولیه </w:t>
      </w:r>
      <w:r>
        <w:rPr>
          <w:rFonts w:ascii="B Nazanin" w:hAnsi="B Nazanin" w:cs="B Nazanin" w:hint="cs"/>
          <w:vertAlign w:val="superscript"/>
          <w:rtl/>
        </w:rPr>
        <w:footnoteReference w:id="3"/>
      </w:r>
      <w:r>
        <w:rPr>
          <w:rFonts w:ascii="B Nazanin" w:hAnsi="B Nazanin" w:cs="B Nazanin" w:hint="cs"/>
          <w:sz w:val="24"/>
          <w:szCs w:val="24"/>
          <w:rtl/>
          <w:lang w:bidi="fa-IR"/>
        </w:rPr>
        <w:t xml:space="preserve"> به شکل‌گیری رفتارهای مالی پرخطر در معامله‌گران منجر می‌شود.</w:t>
      </w:r>
    </w:p>
    <w:p>
      <w:pPr>
        <w:bidi w:val="1"/>
        <w:spacing w:lineRule="exact" w:line="580" w:after="0"/>
        <w:jc w:val="both"/>
      </w:pPr>
      <w:r>
        <w:rPr>
          <w:rFonts w:ascii="B Nazanin" w:hAnsi="B Nazanin" w:cs="B Nazanin" w:hint="cs"/>
          <w:sz w:val="24"/>
          <w:szCs w:val="24"/>
          <w:rtl/>
          <w:lang w:bidi="fa-IR"/>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vertAlign w:val="superscript"/>
          <w:rtl/>
        </w:rPr>
        <w:footnoteReference w:id="44"/>
      </w:r>
      <w:r>
        <w:rPr>
          <w:rFonts w:ascii="B Nazanin" w:hAnsi="B Nazanin" w:cs="B Nazanin" w:hint="cs"/>
          <w:sz w:val="24"/>
          <w:szCs w:val="24"/>
          <w:rtl/>
          <w:lang w:bidi="fa-IR"/>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مستقیماً بر کیفیت تصمیم‌گیری مالی اثر می‌گذارد و می‌تواند به اجتناب از تصمیم‌گیری، محافظه‌کاری افراطی یا واکنش‌های هیجانی و تکانشی منجر شود (ماهاتو و همکاران</w:t>
      </w:r>
      <w:r>
        <w:rPr>
          <w:rFonts w:ascii="B Nazanin" w:hAnsi="B Nazanin" w:cs="B Nazanin" w:hint="cs"/>
          <w:vertAlign w:val="superscript"/>
          <w:rtl/>
        </w:rPr>
        <w:footnoteReference w:id="45"/>
      </w:r>
      <w:r>
        <w:rPr>
          <w:rFonts w:ascii="B Nazanin" w:hAnsi="B Nazanin" w:cs="B Nazanin" w:hint="cs"/>
          <w:sz w:val="24"/>
          <w:szCs w:val="24"/>
          <w:rtl/>
          <w:lang w:bidi="fa-IR"/>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sz w:val="24"/>
          <w:szCs w:val="24"/>
          <w:rtl/>
          <w:lang w:bidi="fa-IR"/>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sz w:val="24"/>
          <w:szCs w:val="24"/>
          <w:rtl/>
          <w:lang w:bidi="fa-IR"/>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به اعتیادهای رفتاری مخرب منجر شود (گرال-برونک و همکاران</w:t>
      </w:r>
      <w:r>
        <w:rPr>
          <w:rFonts w:ascii="B Nazanin" w:hAnsi="B Nazanin" w:cs="B Nazanin" w:hint="cs"/>
          <w:vertAlign w:val="superscript"/>
          <w:rtl/>
        </w:rPr>
        <w:footnoteReference w:id="46"/>
      </w:r>
      <w:r>
        <w:rPr>
          <w:rFonts w:ascii="B Nazanin" w:hAnsi="B Nazanin" w:cs="B Nazanin" w:hint="cs"/>
          <w:sz w:val="24"/>
          <w:szCs w:val="24"/>
          <w:rtl/>
          <w:lang w:bidi="fa-IR"/>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pPr>
      <w:r>
        <w:rPr>
          <w:rFonts w:ascii="B Nazanin" w:hAnsi="B Nazanin" w:cs="B Nazanin" w:hint="cs"/>
          <w:b/>
          <w:bCs/>
          <w:sz w:val="28"/>
          <w:szCs w:val="28"/>
          <w:rtl/>
          <w:lang w:bidi="fa-IR"/>
        </w:rPr>
        <w:t xml:space="preserve">۱-۲. بیان مسأله</w:t>
      </w:r>
    </w:p>
    <w:p>
      <w:pPr>
        <w:pStyle w:val="Heading3"/>
        <w:bidi w:val="1"/>
        <w:jc w:val="right"/>
      </w:pPr>
      <w:r>
        <w:rPr>
          <w:rFonts w:ascii="B Nazanin" w:hAnsi="B Nazanin" w:cs="B Nazanin" w:hint="cs"/>
          <w:b/>
          <w:bCs/>
          <w:sz w:val="26"/>
          <w:szCs w:val="26"/>
          <w:rtl/>
          <w:lang w:bidi="fa-IR"/>
        </w:rPr>
        <w:t xml:space="preserve">بازارهای مالی و محیط پرتنش تصمیم‌گیری</w:t>
      </w:r>
    </w:p>
    <w:p>
      <w:pPr>
        <w:bidi w:val="1"/>
        <w:spacing w:lineRule="exact" w:line="580" w:after="0"/>
        <w:jc w:val="both"/>
      </w:pPr>
      <w:r>
        <w:rPr>
          <w:rFonts w:ascii="B Nazanin" w:hAnsi="B Nazanin" w:cs="B Nazanin" w:hint="cs"/>
          <w:sz w:val="24"/>
          <w:szCs w:val="24"/>
          <w:rtl/>
          <w:lang w:bidi="fa-IR"/>
        </w:rPr>
        <w:t xml:space="preserve">بازارهای مالی در جهان پیچیده و درهم‌تنیده امروز، فراتر از یک مکانیسم ساده برای دادوستد، به 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vertAlign w:val="superscript"/>
          <w:rtl/>
        </w:rPr>
        <w:footnoteReference w:id="47"/>
      </w:r>
      <w:r>
        <w:rPr>
          <w:rFonts w:ascii="B Nazanin" w:hAnsi="B Nazanin" w:cs="B Nazanin" w:hint="cs"/>
          <w:sz w:val="24"/>
          <w:szCs w:val="24"/>
          <w:rtl/>
          <w:lang w:bidi="fa-IR"/>
        </w:rPr>
        <w:t xml:space="preserve">، ۲۰۱۹).</w:t>
      </w:r>
    </w:p>
    <w:p>
      <w:pPr>
        <w:bidi w:val="1"/>
        <w:spacing w:lineRule="exact" w:line="580" w:after="0"/>
        <w:jc w:val="both"/>
      </w:pPr>
      <w:r>
        <w:rPr>
          <w:rFonts w:ascii="B Nazanin" w:hAnsi="B Nazanin" w:cs="B Nazanin" w:hint="cs"/>
          <w:sz w:val="24"/>
          <w:szCs w:val="24"/>
          <w:rtl/>
          <w:lang w:bidi="fa-IR"/>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sz w:val="24"/>
          <w:szCs w:val="24"/>
          <w:rtl/>
          <w:lang w:bidi="fa-IR"/>
        </w:rPr>
        <w:t xml:space="preserve">این سهولت در دسترسی، انبوهی از افراد غیرمتخصص و فاقد تجربه را که اغلب به ابزارهای تحلیل حرفه‌ای و استراتژی‌های مدیریت ریسک مجهز نیستند، به 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 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 عنوان دارایی‌های امن‌تر شناخته می‌شوند (بودی، کین و مارکوس</w:t>
      </w:r>
      <w:r>
        <w:rPr>
          <w:rFonts w:ascii="B Nazanin" w:hAnsi="B Nazanin" w:cs="B Nazanin" w:hint="cs"/>
          <w:vertAlign w:val="superscript"/>
          <w:rtl/>
        </w:rPr>
        <w:footnoteReference w:id="48"/>
      </w:r>
      <w:r>
        <w:rPr>
          <w:rFonts w:ascii="B Nazanin" w:hAnsi="B Nazanin" w:cs="B Nazanin" w:hint="cs"/>
          <w:sz w:val="24"/>
          <w:szCs w:val="24"/>
          <w:rtl/>
          <w:lang w:bidi="fa-IR"/>
        </w:rPr>
        <w:t xml:space="preserve">، ۲۰۱۸).</w:t>
      </w:r>
    </w:p>
    <w:p>
      <w:pPr>
        <w:bidi w:val="1"/>
        <w:spacing w:lineRule="exact" w:line="580" w:after="0"/>
        <w:jc w:val="both"/>
      </w:pPr>
      <w:r>
        <w:rPr>
          <w:rFonts w:ascii="B Nazanin" w:hAnsi="B Nazanin" w:cs="B Nazanin" w:hint="cs"/>
          <w:sz w:val="24"/>
          <w:szCs w:val="24"/>
          <w:rtl/>
          <w:lang w:bidi="fa-IR"/>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 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vertAlign w:val="superscript"/>
          <w:rtl/>
        </w:rPr>
        <w:footnoteReference w:id="49"/>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sz w:val="24"/>
          <w:szCs w:val="24"/>
          <w:rtl/>
          <w:lang w:bidi="fa-IR"/>
        </w:rPr>
        <w:t xml:space="preserve">به 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pPr>
      <w:r>
        <w:rPr>
          <w:rFonts w:ascii="B Nazanin" w:hAnsi="B Nazanin" w:cs="B Nazanin" w:hint="cs"/>
          <w:b/>
          <w:bCs/>
          <w:sz w:val="26"/>
          <w:szCs w:val="26"/>
          <w:rtl/>
          <w:lang w:bidi="fa-IR"/>
        </w:rPr>
        <w:t xml:space="preserve">از فرضیه بازار کارا تا اقتصاد رفتاری</w:t>
      </w:r>
    </w:p>
    <w:p>
      <w:pPr>
        <w:bidi w:val="1"/>
        <w:spacing w:lineRule="exact" w:line="580" w:after="0"/>
        <w:jc w:val="both"/>
      </w:pPr>
      <w:r>
        <w:rPr>
          <w:rFonts w:ascii="B Nazanin" w:hAnsi="B Nazanin" w:cs="B Nazanin" w:hint="cs"/>
          <w:sz w:val="24"/>
          <w:szCs w:val="24"/>
          <w:rtl/>
          <w:lang w:bidi="fa-IR"/>
        </w:rPr>
        <w:t xml:space="preserve">در بخش بزرگی از قرن بیستم، ادبیات آکادمیک تحلیل بازارهای مالی تحت سیطره فرضیه بازار کارا </w:t>
      </w:r>
      <w:r>
        <w:rPr>
          <w:rFonts w:ascii="B Nazanin" w:hAnsi="B Nazanin" w:cs="B Nazanin" w:hint="cs"/>
          <w:vertAlign w:val="superscript"/>
          <w:rtl/>
        </w:rPr>
        <w:footnoteReference w:id="4"/>
      </w:r>
      <w:r>
        <w:rPr>
          <w:rFonts w:ascii="B Nazanin" w:hAnsi="B Nazanin" w:cs="B Nazanin" w:hint="cs"/>
          <w:sz w:val="24"/>
          <w:szCs w:val="24"/>
          <w:rtl/>
          <w:lang w:bidi="fa-IR"/>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vertAlign w:val="superscript"/>
          <w:rtl/>
        </w:rPr>
        <w:footnoteReference w:id="50"/>
      </w:r>
      <w:r>
        <w:rPr>
          <w:rFonts w:ascii="B Nazanin" w:hAnsi="B Nazanin" w:cs="B Nazanin" w:hint="cs"/>
          <w:sz w:val="24"/>
          <w:szCs w:val="24"/>
          <w:rtl/>
          <w:lang w:bidi="fa-IR"/>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sz w:val="24"/>
          <w:szCs w:val="24"/>
          <w:rtl/>
          <w:lang w:bidi="fa-IR"/>
        </w:rPr>
        <w:t xml:space="preserve">فرضیه بازار کارا در جریان تکامل نظری خود، به 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 طور کامل و بدون سوگیری در قیمت دارایی‌ها منعکس می‌شوند؛ و سوم، آنکه در نتیجه این دو، هیچ سرمایه‌گذاری نمی‌تواند با اتکا به اطلاعات گذشته یا تحلیل‌های عمومی، به 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sz w:val="24"/>
          <w:szCs w:val="24"/>
          <w:rtl/>
          <w:lang w:bidi="fa-IR"/>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sz w:val="24"/>
          <w:szCs w:val="24"/>
          <w:rtl/>
          <w:lang w:bidi="fa-IR"/>
        </w:rPr>
        <w:t xml:space="preserve">این ناهنجاری‌ها زمینه را برای ظهور اقتصاد رفتاری </w:t>
      </w:r>
      <w:r>
        <w:rPr>
          <w:rFonts w:ascii="B Nazanin" w:hAnsi="B Nazanin" w:cs="B Nazanin" w:hint="cs"/>
          <w:vertAlign w:val="superscript"/>
          <w:rtl/>
        </w:rPr>
        <w:footnoteReference w:id="5"/>
      </w:r>
      <w:r>
        <w:rPr>
          <w:rFonts w:ascii="B Nazanin" w:hAnsi="B Nazanin" w:cs="B Nazanin" w:hint="cs"/>
          <w:sz w:val="24"/>
          <w:szCs w:val="24"/>
          <w:rtl/>
          <w:lang w:bidi="fa-IR"/>
        </w:rPr>
        <w:t xml:space="preserve"> فراهم کرد؛ حوزه‌ای میان‌رشته‌ای که با ادغام بینش‌های روانشناسی شناختی در تحلیل‌های اقتصادی، نشان داد تصمیمات انسان در محیط‌های واقعی به طور سیستماتیک و قابل پیش‌بینی از عقلانیت محض منحرف می‌شوند (تیلر</w:t>
      </w:r>
      <w:r>
        <w:rPr>
          <w:rFonts w:ascii="B Nazanin" w:hAnsi="B Nazanin" w:cs="B Nazanin" w:hint="cs"/>
          <w:vertAlign w:val="superscript"/>
          <w:rtl/>
        </w:rPr>
        <w:footnoteReference w:id="51"/>
      </w:r>
      <w:r>
        <w:rPr>
          <w:rFonts w:ascii="B Nazanin" w:hAnsi="B Nazanin" w:cs="B Nazanin" w:hint="cs"/>
          <w:sz w:val="24"/>
          <w:szCs w:val="24"/>
          <w:rtl/>
          <w:lang w:bidi="fa-IR"/>
        </w:rPr>
        <w:t xml:space="preserve">، ۲۰۱۶). سنگ بنای این حوزه، نظریه چشم‌انداز </w:t>
      </w:r>
      <w:r>
        <w:rPr>
          <w:rFonts w:ascii="B Nazanin" w:hAnsi="B Nazanin" w:cs="B Nazanin" w:hint="cs"/>
          <w:vertAlign w:val="superscript"/>
          <w:rtl/>
        </w:rPr>
        <w:footnoteReference w:id="6"/>
      </w:r>
      <w:r>
        <w:rPr>
          <w:rFonts w:ascii="B Nazanin" w:hAnsi="B Nazanin" w:cs="B Nazanin" w:hint="cs"/>
          <w:sz w:val="24"/>
          <w:szCs w:val="24"/>
          <w:rtl/>
          <w:lang w:bidi="fa-IR"/>
        </w:rPr>
        <w:t xml:space="preserve"> بود که کانمن و تورسکی</w:t>
      </w:r>
      <w:r>
        <w:rPr>
          <w:rFonts w:ascii="B Nazanin" w:hAnsi="B Nazanin" w:cs="B Nazanin" w:hint="cs"/>
          <w:vertAlign w:val="superscript"/>
          <w:rtl/>
        </w:rPr>
        <w:footnoteReference w:id="52"/>
      </w:r>
      <w:r>
        <w:rPr>
          <w:rFonts w:ascii="B Nazanin" w:hAnsi="B Nazanin" w:cs="B Nazanin" w:hint="cs"/>
          <w:sz w:val="24"/>
          <w:szCs w:val="24"/>
          <w:rtl/>
          <w:lang w:bidi="fa-IR"/>
        </w:rPr>
        <w:t xml:space="preserve"> (۱۹۷۹) آن را ارائه کردند و بر پایه آن، افراد به‌جای ارزیابی سطح نهایی ثروت، تغییرات سود و زیان را نسبت به یک نقطه مرجع ذهنی می‌سنجند و زیان‌گریزی </w:t>
      </w:r>
      <w:r>
        <w:rPr>
          <w:rFonts w:ascii="B Nazanin" w:hAnsi="B Nazanin" w:cs="B Nazanin" w:hint="cs"/>
          <w:vertAlign w:val="superscript"/>
          <w:rtl/>
        </w:rPr>
        <w:footnoteReference w:id="7"/>
      </w:r>
      <w:r>
        <w:rPr>
          <w:rFonts w:ascii="B Nazanin" w:hAnsi="B Nazanin" w:cs="B Nazanin" w:hint="cs"/>
          <w:sz w:val="24"/>
          <w:szCs w:val="24"/>
          <w:rtl/>
          <w:lang w:bidi="fa-IR"/>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vertAlign w:val="superscript"/>
          <w:rtl/>
        </w:rPr>
        <w:footnoteReference w:id="53"/>
      </w:r>
      <w:r>
        <w:rPr>
          <w:rFonts w:ascii="B Nazanin" w:hAnsi="B Nazanin" w:cs="B Nazanin" w:hint="cs"/>
          <w:sz w:val="24"/>
          <w:szCs w:val="24"/>
          <w:rtl/>
          <w:lang w:bidi="fa-IR"/>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sz w:val="24"/>
          <w:szCs w:val="24"/>
          <w:rtl/>
          <w:lang w:bidi="fa-IR"/>
        </w:rPr>
        <w:t xml:space="preserve">یکی از قدرتمندترین فشارهای روانشناختی بر این نسل جدید از سرمایه‌گذاران، ترس از دست دادن فرصت </w:t>
      </w:r>
      <w:r>
        <w:rPr>
          <w:rFonts w:ascii="B Nazanin" w:hAnsi="B Nazanin" w:cs="B Nazanin" w:hint="cs"/>
          <w:vertAlign w:val="superscript"/>
          <w:rtl/>
        </w:rPr>
        <w:footnoteReference w:id="8"/>
      </w:r>
      <w:r>
        <w:rPr>
          <w:rFonts w:ascii="B Nazanin" w:hAnsi="B Nazanin" w:cs="B Nazanin" w:hint="cs"/>
          <w:sz w:val="24"/>
          <w:szCs w:val="24"/>
          <w:rtl/>
          <w:lang w:bidi="fa-IR"/>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vertAlign w:val="superscript"/>
          <w:rtl/>
        </w:rPr>
        <w:footnoteReference w:id="54"/>
      </w:r>
      <w:r>
        <w:rPr>
          <w:rFonts w:ascii="B Nazanin" w:hAnsi="B Nazanin" w:cs="B Nazanin" w:hint="cs"/>
          <w:sz w:val="24"/>
          <w:szCs w:val="24"/>
          <w:rtl/>
          <w:lang w:bidi="fa-IR"/>
        </w:rPr>
        <w:t xml:space="preserve">، ۲۰۲۳). این پدیده ارتباط نزدیکی با رفتار گله‌ای دارد؛ در این رفتار، افراد به جای اتکا به تحلیل شخصی، از اقدامات دیگر معامله‌گران — به 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vertAlign w:val="superscript"/>
          <w:rtl/>
        </w:rPr>
        <w:footnoteReference w:id="55"/>
      </w:r>
      <w:r>
        <w:rPr>
          <w:rFonts w:ascii="B Nazanin" w:hAnsi="B Nazanin" w:cs="B Nazanin" w:hint="cs"/>
          <w:sz w:val="24"/>
          <w:szCs w:val="24"/>
          <w:rtl/>
          <w:lang w:bidi="fa-IR"/>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pPr>
      <w:r>
        <w:rPr>
          <w:rFonts w:ascii="B Nazanin" w:hAnsi="B Nazanin" w:cs="B Nazanin" w:hint="cs"/>
          <w:b/>
          <w:bCs/>
          <w:sz w:val="26"/>
          <w:szCs w:val="26"/>
          <w:rtl/>
          <w:lang w:bidi="fa-IR"/>
        </w:rPr>
        <w:t xml:space="preserve">بافت ویژه اقتصادی و اجتماعی ایران</w:t>
      </w:r>
    </w:p>
    <w:p>
      <w:pPr>
        <w:bidi w:val="1"/>
        <w:spacing w:lineRule="exact" w:line="580" w:after="0"/>
        <w:jc w:val="both"/>
      </w:pPr>
      <w:r>
        <w:rPr>
          <w:rFonts w:ascii="B Nazanin" w:hAnsi="B Nazanin" w:cs="B Nazanin" w:hint="cs"/>
          <w:sz w:val="24"/>
          <w:szCs w:val="24"/>
          <w:rtl/>
          <w:lang w:bidi="fa-IR"/>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sz w:val="24"/>
          <w:szCs w:val="24"/>
          <w:rtl/>
          <w:lang w:bidi="fa-IR"/>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 عنوان یک انتخاب برای افزایش ثروت، بلکه به 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sz w:val="24"/>
          <w:szCs w:val="24"/>
          <w:rtl/>
          <w:lang w:bidi="fa-IR"/>
        </w:rPr>
        <w:t xml:space="preserve">در چنین محیط پرفشار و آشفته‌ای که تصمیم‌گیری‌ها به ناچار باید در فضایی از عدم قطعیت و ابهام صورت پذیرد، ویژگی‌های شخصیتی پایدار افراد، به 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sz w:val="24"/>
          <w:szCs w:val="24"/>
          <w:rtl/>
          <w:lang w:bidi="fa-IR"/>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pPr>
      <w:r>
        <w:rPr>
          <w:rFonts w:ascii="B Nazanin" w:hAnsi="B Nazanin" w:cs="B Nazanin" w:hint="cs"/>
          <w:b/>
          <w:bCs/>
          <w:sz w:val="26"/>
          <w:szCs w:val="26"/>
          <w:rtl/>
          <w:lang w:bidi="fa-IR"/>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vertAlign w:val="superscript"/>
          <w:rtl/>
        </w:rPr>
        <w:footnoteReference w:id="56"/>
      </w:r>
      <w:r>
        <w:rPr>
          <w:rFonts w:ascii="B Nazanin" w:hAnsi="B Nazanin" w:cs="B Nazanin" w:hint="cs"/>
          <w:sz w:val="24"/>
          <w:szCs w:val="24"/>
          <w:rtl/>
          <w:lang w:bidi="fa-IR"/>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vertAlign w:val="superscript"/>
          <w:rtl/>
        </w:rPr>
        <w:footnoteReference w:id="57"/>
      </w:r>
      <w:r>
        <w:rPr>
          <w:rFonts w:ascii="B Nazanin" w:hAnsi="B Nazanin" w:cs="B Nazanin" w:hint="cs"/>
          <w:sz w:val="24"/>
          <w:szCs w:val="24"/>
          <w:rtl/>
          <w:lang w:bidi="fa-IR"/>
        </w:rPr>
        <w:t xml:space="preserve">، ۱۹۷۶).</w:t>
      </w:r>
    </w:p>
    <w:p>
      <w:pPr>
        <w:bidi w:val="1"/>
        <w:spacing w:lineRule="exact" w:line="580" w:after="0"/>
        <w:jc w:val="both"/>
      </w:pPr>
      <w:r>
        <w:rPr>
          <w:rFonts w:ascii="B Nazanin" w:hAnsi="B Nazanin" w:cs="B Nazanin" w:hint="cs"/>
          <w:sz w:val="24"/>
          <w:szCs w:val="24"/>
          <w:rtl/>
          <w:lang w:bidi="fa-IR"/>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 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vertAlign w:val="superscript"/>
          <w:rtl/>
        </w:rPr>
        <w:footnoteReference w:id="58"/>
      </w:r>
      <w:r>
        <w:rPr>
          <w:rFonts w:ascii="B Nazanin" w:hAnsi="B Nazanin" w:cs="B Nazanin" w:hint="cs"/>
          <w:sz w:val="24"/>
          <w:szCs w:val="24"/>
          <w:rtl/>
          <w:lang w:bidi="fa-IR"/>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 عنوان موقعیت‌های تهدیدآمیز همراه باشد (بک و کلارک</w:t>
      </w:r>
      <w:r>
        <w:rPr>
          <w:rFonts w:ascii="B Nazanin" w:hAnsi="B Nazanin" w:cs="B Nazanin" w:hint="cs"/>
          <w:vertAlign w:val="superscript"/>
          <w:rtl/>
        </w:rPr>
        <w:footnoteReference w:id="59"/>
      </w:r>
      <w:r>
        <w:rPr>
          <w:rFonts w:ascii="B Nazanin" w:hAnsi="B Nazanin" w:cs="B Nazanin" w:hint="cs"/>
          <w:sz w:val="24"/>
          <w:szCs w:val="24"/>
          <w:rtl/>
          <w:lang w:bidi="fa-IR"/>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sz w:val="24"/>
          <w:szCs w:val="24"/>
          <w:rtl/>
          <w:lang w:bidi="fa-IR"/>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vertAlign w:val="superscript"/>
          <w:rtl/>
        </w:rPr>
        <w:footnoteReference w:id="60"/>
      </w:r>
      <w:r>
        <w:rPr>
          <w:rFonts w:ascii="B Nazanin" w:hAnsi="B Nazanin" w:cs="B Nazanin" w:hint="cs"/>
          <w:sz w:val="24"/>
          <w:szCs w:val="24"/>
          <w:rtl/>
          <w:lang w:bidi="fa-IR"/>
        </w:rPr>
        <w:t xml:space="preserve">، ۲۰۱۳). بر اساس نظریه کنترل توجه </w:t>
      </w:r>
      <w:r>
        <w:rPr>
          <w:rFonts w:ascii="B Nazanin" w:hAnsi="B Nazanin" w:cs="B Nazanin" w:hint="cs"/>
          <w:vertAlign w:val="superscript"/>
          <w:rtl/>
        </w:rPr>
        <w:footnoteReference w:id="9"/>
      </w:r>
      <w:r>
        <w:rPr>
          <w:rFonts w:ascii="B Nazanin" w:hAnsi="B Nazanin" w:cs="B Nazanin" w:hint="cs"/>
          <w:sz w:val="24"/>
          <w:szCs w:val="24"/>
          <w:rtl/>
          <w:lang w:bidi="fa-IR"/>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vertAlign w:val="superscript"/>
          <w:rtl/>
        </w:rPr>
        <w:footnoteReference w:id="61"/>
      </w:r>
      <w:r>
        <w:rPr>
          <w:rFonts w:ascii="B Nazanin" w:hAnsi="B Nazanin" w:cs="B Nazanin" w:hint="cs"/>
          <w:sz w:val="24"/>
          <w:szCs w:val="24"/>
          <w:rtl/>
          <w:lang w:bidi="fa-IR"/>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vertAlign w:val="superscript"/>
          <w:rtl/>
        </w:rPr>
        <w:footnoteReference w:id="62"/>
      </w:r>
      <w:r>
        <w:rPr>
          <w:rFonts w:ascii="B Nazanin" w:hAnsi="B Nazanin" w:cs="B Nazanin" w:hint="cs"/>
          <w:sz w:val="24"/>
          <w:szCs w:val="24"/>
          <w:rtl/>
          <w:lang w:bidi="fa-IR"/>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sz w:val="24"/>
          <w:szCs w:val="24"/>
          <w:rtl/>
          <w:lang w:bidi="fa-IR"/>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vertAlign w:val="superscript"/>
          <w:rtl/>
        </w:rPr>
        <w:footnoteReference w:id="63"/>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 عنوان یک تفسیر، بلکه به عنوان حقیقتی بدیهی درباره خود و جهان تجربه می‌کند (آرنتز و جیکوب</w:t>
      </w:r>
      <w:r>
        <w:rPr>
          <w:rFonts w:ascii="B Nazanin" w:hAnsi="B Nazanin" w:cs="B Nazanin" w:hint="cs"/>
          <w:vertAlign w:val="superscript"/>
          <w:rtl/>
        </w:rPr>
        <w:footnoteReference w:id="64"/>
      </w:r>
      <w:r>
        <w:rPr>
          <w:rFonts w:ascii="B Nazanin" w:hAnsi="B Nazanin" w:cs="B Nazanin" w:hint="cs"/>
          <w:sz w:val="24"/>
          <w:szCs w:val="24"/>
          <w:rtl/>
          <w:lang w:bidi="fa-IR"/>
        </w:rPr>
        <w:t xml:space="preserve">، ۲۰۱۲). از سوی دیگر، طرحواره‌ها ساختارهایی منفعل نیستند؛ بلکه به 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 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sz w:val="24"/>
          <w:szCs w:val="24"/>
          <w:rtl/>
          <w:lang w:bidi="fa-IR"/>
        </w:rPr>
        <w:t xml:space="preserve">پژوهش‌های گسترده، ارتباط معنادار طرحواره‌های ناسازگار اولیه با انواع رفتارهای خودآسیب‌رسان، به 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vertAlign w:val="superscript"/>
          <w:rtl/>
        </w:rPr>
        <w:footnoteReference w:id="65"/>
      </w:r>
      <w:r>
        <w:rPr>
          <w:rFonts w:ascii="B Nazanin" w:hAnsi="B Nazanin" w:cs="B Nazanin" w:hint="cs"/>
          <w:sz w:val="24"/>
          <w:szCs w:val="24"/>
          <w:rtl/>
          <w:lang w:bidi="fa-IR"/>
        </w:rPr>
        <w:t xml:space="preserve">، ۲۰۱۲؛ لیندبرگ و همکاران</w:t>
      </w:r>
      <w:r>
        <w:rPr>
          <w:rFonts w:ascii="B Nazanin" w:hAnsi="B Nazanin" w:cs="B Nazanin" w:hint="cs"/>
          <w:vertAlign w:val="superscript"/>
          <w:rtl/>
        </w:rPr>
        <w:footnoteReference w:id="66"/>
      </w:r>
      <w:r>
        <w:rPr>
          <w:rFonts w:ascii="B Nazanin" w:hAnsi="B Nazanin" w:cs="B Nazanin" w:hint="cs"/>
          <w:sz w:val="24"/>
          <w:szCs w:val="24"/>
          <w:rtl/>
          <w:lang w:bidi="fa-IR"/>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sz w:val="24"/>
          <w:szCs w:val="24"/>
          <w:rtl/>
          <w:lang w:bidi="fa-IR"/>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sz w:val="24"/>
          <w:szCs w:val="24"/>
          <w:rtl/>
          <w:lang w:bidi="fa-IR"/>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vertAlign w:val="superscript"/>
          <w:rtl/>
        </w:rPr>
        <w:footnoteReference w:id="67"/>
      </w:r>
      <w:r>
        <w:rPr>
          <w:rFonts w:ascii="B Nazanin" w:hAnsi="B Nazanin" w:cs="B Nazanin" w:hint="cs"/>
          <w:sz w:val="24"/>
          <w:szCs w:val="24"/>
          <w:rtl/>
          <w:lang w:bidi="fa-IR"/>
        </w:rPr>
        <w:t xml:space="preserve">، ۲۰۱۰). ابعاد کلیدی این سازه در ادبیات مالی رفتاری چهار موردند: معامله‌گری بیش از حد </w:t>
      </w:r>
      <w:r>
        <w:rPr>
          <w:rFonts w:ascii="B Nazanin" w:hAnsi="B Nazanin" w:cs="B Nazanin" w:hint="cs"/>
          <w:vertAlign w:val="superscript"/>
          <w:rtl/>
        </w:rPr>
        <w:footnoteReference w:id="10"/>
      </w:r>
      <w:r>
        <w:rPr>
          <w:rFonts w:ascii="B Nazanin" w:hAnsi="B Nazanin" w:cs="B Nazanin" w:hint="cs"/>
          <w:sz w:val="24"/>
          <w:szCs w:val="24"/>
          <w:rtl/>
          <w:lang w:bidi="fa-IR"/>
        </w:rPr>
        <w:t xml:space="preserve"> (باربر و اودین</w:t>
      </w:r>
      <w:r>
        <w:rPr>
          <w:rFonts w:ascii="B Nazanin" w:hAnsi="B Nazanin" w:cs="B Nazanin" w:hint="cs"/>
          <w:vertAlign w:val="superscript"/>
          <w:rtl/>
        </w:rPr>
        <w:footnoteReference w:id="68"/>
      </w:r>
      <w:r>
        <w:rPr>
          <w:rFonts w:ascii="B Nazanin" w:hAnsi="B Nazanin" w:cs="B Nazanin" w:hint="cs"/>
          <w:sz w:val="24"/>
          <w:szCs w:val="24"/>
          <w:rtl/>
          <w:lang w:bidi="fa-IR"/>
        </w:rPr>
        <w:t xml:space="preserve">، ۲۰۰۰)؛ اثر گرایش </w:t>
      </w:r>
      <w:r>
        <w:rPr>
          <w:rFonts w:ascii="B Nazanin" w:hAnsi="B Nazanin" w:cs="B Nazanin" w:hint="cs"/>
          <w:vertAlign w:val="superscript"/>
          <w:rtl/>
        </w:rPr>
        <w:footnoteReference w:id="11"/>
      </w:r>
      <w:r>
        <w:rPr>
          <w:rFonts w:ascii="B Nazanin" w:hAnsi="B Nazanin" w:cs="B Nazanin" w:hint="cs"/>
          <w:sz w:val="24"/>
          <w:szCs w:val="24"/>
          <w:rtl/>
          <w:lang w:bidi="fa-IR"/>
        </w:rPr>
        <w:t xml:space="preserve"> (شفرین و استاتمن</w:t>
      </w:r>
      <w:r>
        <w:rPr>
          <w:rFonts w:ascii="B Nazanin" w:hAnsi="B Nazanin" w:cs="B Nazanin" w:hint="cs"/>
          <w:vertAlign w:val="superscript"/>
          <w:rtl/>
        </w:rPr>
        <w:footnoteReference w:id="69"/>
      </w:r>
      <w:r>
        <w:rPr>
          <w:rFonts w:ascii="B Nazanin" w:hAnsi="B Nazanin" w:cs="B Nazanin" w:hint="cs"/>
          <w:sz w:val="24"/>
          <w:szCs w:val="24"/>
          <w:rtl/>
          <w:lang w:bidi="fa-IR"/>
        </w:rPr>
        <w:t xml:space="preserve">، ۱۹۸۵)؛ رفتار گله‌ای </w:t>
      </w:r>
      <w:r>
        <w:rPr>
          <w:rFonts w:ascii="B Nazanin" w:hAnsi="B Nazanin" w:cs="B Nazanin" w:hint="cs"/>
          <w:vertAlign w:val="superscript"/>
          <w:rtl/>
        </w:rPr>
        <w:footnoteReference w:id="12"/>
      </w:r>
      <w:r>
        <w:rPr>
          <w:rFonts w:ascii="B Nazanin" w:hAnsi="B Nazanin" w:cs="B Nazanin" w:hint="cs"/>
          <w:sz w:val="24"/>
          <w:szCs w:val="24"/>
          <w:rtl/>
          <w:lang w:bidi="fa-IR"/>
        </w:rPr>
        <w:t xml:space="preserve"> (هوانگ و سالمون، ۲۰۰۴)؛ و تمرکز ناکافی سبد دارایی (گوتزمن و کومار</w:t>
      </w:r>
      <w:r>
        <w:rPr>
          <w:rFonts w:ascii="B Nazanin" w:hAnsi="B Nazanin" w:cs="B Nazanin" w:hint="cs"/>
          <w:vertAlign w:val="superscript"/>
          <w:rtl/>
        </w:rPr>
        <w:footnoteReference w:id="70"/>
      </w:r>
      <w:r>
        <w:rPr>
          <w:rFonts w:ascii="B Nazanin" w:hAnsi="B Nazanin" w:cs="B Nazanin" w:hint="cs"/>
          <w:sz w:val="24"/>
          <w:szCs w:val="24"/>
          <w:rtl/>
          <w:lang w:bidi="fa-IR"/>
        </w:rPr>
        <w:t xml:space="preserve">، ۲۰۰۸).</w:t>
      </w:r>
    </w:p>
    <w:p>
      <w:pPr>
        <w:bidi w:val="1"/>
        <w:spacing w:lineRule="exact" w:line="580" w:after="0"/>
        <w:jc w:val="both"/>
      </w:pPr>
      <w:r>
        <w:rPr>
          <w:rFonts w:ascii="B Nazanin" w:hAnsi="B Nazanin" w:cs="B Nazanin" w:hint="cs"/>
          <w:sz w:val="24"/>
          <w:szCs w:val="24"/>
          <w:rtl/>
          <w:lang w:bidi="fa-IR"/>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sz w:val="24"/>
          <w:szCs w:val="24"/>
          <w:rtl/>
          <w:lang w:bidi="fa-IR"/>
        </w:rPr>
        <w:t xml:space="preserve">در بُعد رفتار گله‌ای، شواهد نشان می‌دهند که این پدیده به 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به شکل‌گیری حباب‌های قیمتی کاذب و سقوط‌های ناگهانی منجر شود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مجموع این چهار بُعد، هسته اصلی سازه «رفتارهای مالی پرخطر» را در پژوهش حاضر تشکیل می‌دهد و چارچوب سنجش آن را نیز تعیین می‌کند.</w:t>
      </w:r>
    </w:p>
    <w:p>
      <w:pPr>
        <w:pStyle w:val="Heading3"/>
        <w:bidi w:val="1"/>
        <w:jc w:val="right"/>
      </w:pPr>
      <w:r>
        <w:rPr>
          <w:rFonts w:ascii="B Nazanin" w:hAnsi="B Nazanin" w:cs="B Nazanin" w:hint="cs"/>
          <w:b/>
          <w:bCs/>
          <w:sz w:val="26"/>
          <w:szCs w:val="26"/>
          <w:rtl/>
          <w:lang w:bidi="fa-IR"/>
        </w:rPr>
        <w:t xml:space="preserve">شکاف تبیینی: فقدان مدل میانجی‌گر در جامعه معامله‌گران</w:t>
      </w:r>
    </w:p>
    <w:p>
      <w:pPr>
        <w:bidi w:val="1"/>
        <w:spacing w:lineRule="exact" w:line="580" w:after="0"/>
        <w:jc w:val="both"/>
      </w:pPr>
      <w:r>
        <w:rPr>
          <w:rFonts w:ascii="B Nazanin" w:hAnsi="B Nazanin" w:cs="B Nazanin" w:hint="cs"/>
          <w:sz w:val="24"/>
          <w:szCs w:val="24"/>
          <w:rtl/>
          <w:lang w:bidi="fa-IR"/>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 </w:t>
      </w:r>
      <w:r>
        <w:rPr>
          <w:rFonts w:ascii="B Nazanin" w:hAnsi="B Nazanin" w:cs="B Nazanin" w:hint="cs"/>
          <w:vertAlign w:val="superscript"/>
          <w:rtl/>
        </w:rPr>
        <w:footnoteReference w:id="13"/>
      </w:r>
      <w:r>
        <w:rPr>
          <w:rFonts w:ascii="B Nazanin" w:hAnsi="B Nazanin" w:cs="B Nazanin" w:hint="cs"/>
          <w:sz w:val="24"/>
          <w:szCs w:val="24"/>
          <w:rtl/>
          <w:lang w:bidi="fa-IR"/>
        </w:rPr>
        <w:t xml:space="preserve"> (زاکرمن</w:t>
      </w:r>
      <w:r>
        <w:rPr>
          <w:rFonts w:ascii="B Nazanin" w:hAnsi="B Nazanin" w:cs="B Nazanin" w:hint="cs"/>
          <w:vertAlign w:val="superscript"/>
          <w:rtl/>
        </w:rPr>
        <w:footnoteReference w:id="71"/>
      </w:r>
      <w:r>
        <w:rPr>
          <w:rFonts w:ascii="B Nazanin" w:hAnsi="B Nazanin" w:cs="B Nazanin" w:hint="cs"/>
          <w:sz w:val="24"/>
          <w:szCs w:val="24"/>
          <w:rtl/>
          <w:lang w:bidi="fa-IR"/>
        </w:rPr>
        <w:t xml:space="preserve">، ۱۹۹۹) پیشنهاد می‌کند؛ مدلی که در آن اضطراب صفتی به‌عنوان استعداد آسیب‌پذیری، در تعامل با استرس‌های بازار فعال شده و از مجرای فعال‌سازی طرحواره‌ها، رفتار مالی نهایی را هدایت می‌کند.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sz w:val="24"/>
          <w:szCs w:val="24"/>
          <w:rtl/>
          <w:lang w:bidi="fa-IR"/>
        </w:rPr>
        <w:t xml:space="preserve">برای تبیین این تبدیل، پژوهش حاضر به منطق مدل استعداد-استرس تکیه می‌کند (زاکرمن، ۱۹۹۹). بر اساس این مدل، اضطراب صفتی به عنوان یک آسیب‌پذیری پایدار، لزوماً به تنهایی و به 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رفتار مالی نهایی را هدایت می‌کنند.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sz w:val="24"/>
          <w:szCs w:val="24"/>
          <w:rtl/>
          <w:lang w:bidi="fa-IR"/>
        </w:rPr>
        <w:t xml:space="preserve">تمرکز بر جامعه معامله‌گران بازارهای مالی نیز مبتنی بر یک ضرورت روش‌شناختی است: این افراد برخلاف جمعیت عمومی، به 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pPr>
      <w:r>
        <w:rPr>
          <w:rFonts w:ascii="B Nazanin" w:hAnsi="B Nazanin" w:cs="B Nazanin" w:hint="cs"/>
          <w:b/>
          <w:bCs/>
          <w:sz w:val="28"/>
          <w:szCs w:val="28"/>
          <w:rtl/>
          <w:lang w:bidi="fa-IR"/>
        </w:rPr>
        <w:t xml:space="preserve">۱-۳. اهمیت و ضرورت پژوهش</w:t>
      </w:r>
    </w:p>
    <w:p>
      <w:pPr>
        <w:pStyle w:val="Heading3"/>
        <w:bidi w:val="1"/>
        <w:jc w:val="right"/>
      </w:pPr>
      <w:r>
        <w:rPr>
          <w:rFonts w:ascii="B Nazanin" w:hAnsi="B Nazanin" w:cs="B Nazanin" w:hint="cs"/>
          <w:b/>
          <w:bCs/>
          <w:sz w:val="26"/>
          <w:szCs w:val="26"/>
          <w:rtl/>
          <w:lang w:bidi="fa-IR"/>
        </w:rPr>
        <w:t xml:space="preserve">اهمیت نظری</w:t>
      </w:r>
    </w:p>
    <w:p>
      <w:pPr>
        <w:bidi w:val="1"/>
        <w:spacing w:lineRule="exact" w:line="580" w:after="0"/>
        <w:jc w:val="both"/>
      </w:pPr>
      <w:r>
        <w:rPr>
          <w:rFonts w:ascii="B Nazanin" w:hAnsi="B Nazanin" w:cs="B Nazanin" w:hint="cs"/>
          <w:sz w:val="24"/>
          <w:szCs w:val="24"/>
          <w:rtl/>
          <w:lang w:bidi="fa-IR"/>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sz w:val="24"/>
          <w:szCs w:val="24"/>
          <w:rtl/>
          <w:lang w:bidi="fa-IR"/>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علیّتی»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vertAlign w:val="superscript"/>
          <w:rtl/>
        </w:rPr>
        <w:footnoteReference w:id="72"/>
      </w:r>
      <w:r>
        <w:rPr>
          <w:rFonts w:ascii="B Nazanin" w:hAnsi="B Nazanin" w:cs="B Nazanin" w:hint="cs"/>
          <w:sz w:val="24"/>
          <w:szCs w:val="24"/>
          <w:rtl/>
          <w:lang w:bidi="fa-IR"/>
        </w:rPr>
        <w:t xml:space="preserve">، ۲۰۰۱)</w:t>
      </w:r>
    </w:p>
    <w:p>
      <w:pPr>
        <w:bidi w:val="1"/>
        <w:spacing w:lineRule="exact" w:line="580" w:after="0"/>
        <w:jc w:val="both"/>
      </w:pPr>
      <w:r>
        <w:rPr>
          <w:rFonts w:ascii="B Nazanin" w:hAnsi="B Nazanin" w:cs="B Nazanin" w:hint="cs"/>
          <w:sz w:val="24"/>
          <w:szCs w:val="24"/>
          <w:rtl/>
          <w:lang w:bidi="fa-IR"/>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sz w:val="24"/>
          <w:szCs w:val="24"/>
          <w:rtl/>
          <w:lang w:bidi="fa-IR"/>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sz w:val="24"/>
          <w:szCs w:val="24"/>
          <w:rtl/>
          <w:lang w:bidi="fa-IR"/>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pPr>
      <w:r>
        <w:rPr>
          <w:rFonts w:ascii="B Nazanin" w:hAnsi="B Nazanin" w:cs="B Nazanin" w:hint="cs"/>
          <w:b/>
          <w:bCs/>
          <w:sz w:val="26"/>
          <w:szCs w:val="26"/>
          <w:rtl/>
          <w:lang w:bidi="fa-IR"/>
        </w:rPr>
        <w:t xml:space="preserve">اهمیت کاربردی (در سطح معامله‌گران و نهادهای مالی)</w:t>
      </w:r>
    </w:p>
    <w:p>
      <w:pPr>
        <w:bidi w:val="1"/>
        <w:spacing w:lineRule="exact" w:line="580" w:after="0"/>
        <w:jc w:val="both"/>
      </w:pPr>
      <w:r>
        <w:rPr>
          <w:rFonts w:ascii="B Nazanin" w:hAnsi="B Nazanin" w:cs="B Nazanin" w:hint="cs"/>
          <w:sz w:val="24"/>
          <w:szCs w:val="24"/>
          <w:rtl/>
          <w:lang w:bidi="fa-IR"/>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 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sz w:val="24"/>
          <w:szCs w:val="24"/>
          <w:rtl/>
          <w:lang w:bidi="fa-IR"/>
        </w:rPr>
        <w:t xml:space="preserve">نتایج کاربردی این پژوهش، با شناسایی دقیق و مبتنی بر شواهد طرحواره‌های کلیدی و باورهای بنیادین ناکارآمدی که به 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sz w:val="24"/>
          <w:szCs w:val="24"/>
          <w:rtl/>
          <w:lang w:bidi="fa-IR"/>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vertAlign w:val="superscript"/>
          <w:rtl/>
        </w:rPr>
        <w:footnoteReference w:id="73"/>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sz w:val="24"/>
          <w:szCs w:val="24"/>
          <w:rtl/>
          <w:lang w:bidi="fa-IR"/>
        </w:rPr>
        <w:t xml:space="preserve">این اقدام استراتژیک، نه تنها کیفیت آموزش و مهارت‌افزایی سرمایه‌گذاران را ارتقا می‌بخشد، بلکه به 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 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sz w:val="24"/>
          <w:szCs w:val="24"/>
          <w:rtl/>
          <w:lang w:bidi="fa-IR"/>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pPr>
      <w:r>
        <w:rPr>
          <w:rFonts w:ascii="B Nazanin" w:hAnsi="B Nazanin" w:cs="B Nazanin" w:hint="cs"/>
          <w:b/>
          <w:bCs/>
          <w:sz w:val="26"/>
          <w:szCs w:val="26"/>
          <w:rtl/>
          <w:lang w:bidi="fa-IR"/>
        </w:rPr>
        <w:t xml:space="preserve">اهمیت اجتماعی (در سطح سرمایه‌گذاران خرد و خانواده‌ها)</w:t>
      </w:r>
    </w:p>
    <w:p>
      <w:pPr>
        <w:bidi w:val="1"/>
        <w:spacing w:lineRule="exact" w:line="580" w:after="0"/>
        <w:jc w:val="both"/>
      </w:pPr>
      <w:r>
        <w:rPr>
          <w:rFonts w:ascii="B Nazanin" w:hAnsi="B Nazanin" w:cs="B Nazanin" w:hint="cs"/>
          <w:sz w:val="24"/>
          <w:szCs w:val="24"/>
          <w:rtl/>
          <w:lang w:bidi="fa-IR"/>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 ویژه با ظهور پلتفرم‌های دموکراتیک معاملاتی، میلیون‌ها فرد فاقد تجربه و آموزش تخصصی را به 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sz w:val="24"/>
          <w:szCs w:val="24"/>
          <w:rtl/>
          <w:lang w:bidi="fa-IR"/>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مستقیماً بر کیفیت تصمیم‌گیری‌های مالی آن‌ها اثرگذار است.</w:t>
      </w:r>
    </w:p>
    <w:p>
      <w:pPr>
        <w:bidi w:val="1"/>
        <w:spacing w:lineRule="exact" w:line="580" w:after="0"/>
        <w:jc w:val="both"/>
      </w:pPr>
      <w:r>
        <w:rPr>
          <w:rFonts w:ascii="B Nazanin" w:hAnsi="B Nazanin" w:cs="B Nazanin" w:hint="cs"/>
          <w:sz w:val="24"/>
          <w:szCs w:val="24"/>
          <w:rtl/>
          <w:lang w:bidi="fa-IR"/>
        </w:rPr>
        <w:t xml:space="preserve">یافته‌های این پژوهش‌ها حاکی از آن است که اضطراب صفتی بالا در این معامله‌گران جوان، نه تنها منجر به تصمیمات عجولانه می‌شود،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sz w:val="24"/>
          <w:szCs w:val="24"/>
          <w:rtl/>
          <w:lang w:bidi="fa-IR"/>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به اعتیادهای رفتاری مخرب منجر شود (گرال-برونک و همکاران، ۲۰۲۵).</w:t>
      </w:r>
    </w:p>
    <w:p>
      <w:pPr>
        <w:bidi w:val="1"/>
        <w:spacing w:lineRule="exact" w:line="580" w:after="0"/>
        <w:jc w:val="both"/>
      </w:pPr>
      <w:r>
        <w:rPr>
          <w:rFonts w:ascii="B Nazanin" w:hAnsi="B Nazanin" w:cs="B Nazanin" w:hint="cs"/>
          <w:sz w:val="24"/>
          <w:szCs w:val="24"/>
          <w:rtl/>
          <w:lang w:bidi="fa-IR"/>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pPr>
      <w:r>
        <w:rPr>
          <w:rFonts w:ascii="B Nazanin" w:hAnsi="B Nazanin" w:cs="B Nazanin" w:hint="cs"/>
          <w:b/>
          <w:bCs/>
          <w:sz w:val="26"/>
          <w:szCs w:val="26"/>
          <w:rtl/>
          <w:lang w:bidi="fa-IR"/>
        </w:rPr>
        <w:t xml:space="preserve">ضرورت زمینه‌ای (بافت بازارهای مالی ایران)</w:t>
      </w:r>
    </w:p>
    <w:p>
      <w:pPr>
        <w:bidi w:val="1"/>
        <w:spacing w:lineRule="exact" w:line="580" w:after="0"/>
        <w:jc w:val="both"/>
      </w:pPr>
      <w:r>
        <w:rPr>
          <w:rFonts w:ascii="B Nazanin" w:hAnsi="B Nazanin" w:cs="B Nazanin" w:hint="cs"/>
          <w:sz w:val="24"/>
          <w:szCs w:val="24"/>
          <w:rtl/>
          <w:lang w:bidi="fa-IR"/>
        </w:rPr>
        <w:t xml:space="preserve">اما هنگامی که کانون توجه به 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sz w:val="24"/>
          <w:szCs w:val="24"/>
          <w:rtl/>
          <w:lang w:bidi="fa-IR"/>
        </w:rPr>
        <w:t xml:space="preserve">در چنین شرایطی که سرمایه‌گذاری نه به عنوان یک انتخاب برای افزایش ثروت، بلکه به 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sz w:val="24"/>
          <w:szCs w:val="24"/>
          <w:rtl/>
          <w:lang w:bidi="fa-IR"/>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شیوع طرحواره‌های ناسازگار اولیه، به‌ویژه در حوزه‌های حساسیت‌زایی نظیر «بریدگی و طرد» و «اضطراب اجتماعی»، در میان دانشجویان و قشر جوان ایرانی قابل توجه است. این یافته‌ها هشدار می‌دهند که ورود این گروه جمعیتی به بازار سرمایه، بدون حل‌وفصل تعارضات شناختی و هیجانی زیربنایی، می‌تواند به انتقال مستقیم اضطراب‌های بین‌فردی به محیط تصمیم‌گیری مالی و تشدید رفتارهای اجتنابی یا جبرانی در معامله‌گری منجر شود (نوری و هاشمیان، ۱۳۹۶)</w:t>
      </w:r>
    </w:p>
    <w:p>
      <w:pPr>
        <w:bidi w:val="1"/>
        <w:spacing w:lineRule="exact" w:line="580" w:after="0"/>
        <w:jc w:val="both"/>
      </w:pPr>
      <w:r>
        <w:rPr>
          <w:rFonts w:ascii="B Nazanin" w:hAnsi="B Nazanin" w:cs="B Nazanin" w:hint="cs"/>
          <w:sz w:val="24"/>
          <w:szCs w:val="24"/>
          <w:rtl/>
          <w:lang w:bidi="fa-IR"/>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sz w:val="24"/>
          <w:szCs w:val="24"/>
          <w:rtl/>
          <w:lang w:bidi="fa-IR"/>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منجر به شکل‌گیری حباب‌های قیمتی کاذب و سقوط‌های ناگهانی شود.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sz w:val="24"/>
          <w:szCs w:val="24"/>
          <w:rtl/>
          <w:lang w:bidi="fa-IR"/>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به تشدید رفتار توده‌وار و شکل‌گیری حباب‌های قیمتی کاذب می‌انجامد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pPr>
      <w:r>
        <w:rPr>
          <w:rFonts w:ascii="B Nazanin" w:hAnsi="B Nazanin" w:cs="B Nazanin" w:hint="cs"/>
          <w:b/>
          <w:bCs/>
          <w:sz w:val="26"/>
          <w:szCs w:val="26"/>
          <w:rtl/>
          <w:lang w:bidi="fa-IR"/>
        </w:rPr>
        <w:t xml:space="preserve">جمع‌بندی اهمیت و ضرورت پژوهش (پر کردن شکاف تبیینی)</w:t>
      </w:r>
    </w:p>
    <w:p>
      <w:pPr>
        <w:bidi w:val="1"/>
        <w:spacing w:lineRule="exact" w:line="580" w:after="0"/>
        <w:jc w:val="both"/>
      </w:pPr>
      <w:r>
        <w:rPr>
          <w:rFonts w:ascii="B Nazanin" w:hAnsi="B Nazanin" w:cs="B Nazanin" w:hint="cs"/>
          <w:sz w:val="24"/>
          <w:szCs w:val="24"/>
          <w:rtl/>
          <w:lang w:bidi="fa-IR"/>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sz w:val="24"/>
          <w:szCs w:val="24"/>
          <w:rtl/>
          <w:lang w:bidi="fa-IR"/>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pPr>
      <w:r>
        <w:rPr>
          <w:rFonts w:ascii="B Nazanin" w:hAnsi="B Nazanin" w:cs="B Nazanin" w:hint="cs"/>
          <w:b/>
          <w:bCs/>
          <w:sz w:val="28"/>
          <w:szCs w:val="28"/>
          <w:rtl/>
          <w:lang w:bidi="fa-IR"/>
        </w:rPr>
        <w:t xml:space="preserve">۱-۴. اهداف پژوهش</w:t>
      </w:r>
    </w:p>
    <w:p>
      <w:pPr>
        <w:bidi w:val="1"/>
        <w:spacing w:lineRule="exact" w:line="580" w:after="0"/>
        <w:jc w:val="both"/>
      </w:pPr>
      <w:r>
        <w:rPr>
          <w:rFonts w:ascii="B Nazanin" w:hAnsi="B Nazanin" w:cs="B Nazanin" w:hint="cs"/>
          <w:sz w:val="24"/>
          <w:szCs w:val="24"/>
          <w:rtl/>
          <w:lang w:bidi="fa-IR"/>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pPr>
      <w:r>
        <w:rPr>
          <w:rFonts w:ascii="B Nazanin" w:hAnsi="B Nazanin" w:cs="B Nazanin" w:hint="cs"/>
          <w:b/>
          <w:bCs/>
          <w:sz w:val="26"/>
          <w:szCs w:val="26"/>
          <w:rtl/>
          <w:lang w:bidi="fa-IR"/>
        </w:rPr>
        <w:t xml:space="preserve">۱-۴-۱. هدف اصلی</w:t>
      </w:r>
    </w:p>
    <w:p>
      <w:pPr>
        <w:bidi w:val="1"/>
        <w:spacing w:lineRule="exact" w:line="580" w:after="0"/>
        <w:jc w:val="both"/>
      </w:pPr>
      <w:r>
        <w:rPr>
          <w:rFonts w:ascii="B Nazanin" w:hAnsi="B Nazanin" w:cs="B Nazanin" w:hint="cs"/>
          <w:sz w:val="24"/>
          <w:szCs w:val="24"/>
          <w:rtl/>
          <w:lang w:bidi="fa-IR"/>
        </w:rPr>
        <w:t xml:space="preserve">تعیین نقش میانجی‌گر طرحواره‌های ناسازگار اولیه در رابطه بین اضطراب صفتی و رفتارهای مالی پرخطر.</w:t>
      </w:r>
    </w:p>
    <w:p>
      <w:pPr>
        <w:pStyle w:val="Heading3"/>
        <w:bidi w:val="1"/>
        <w:jc w:val="right"/>
      </w:pPr>
      <w:r>
        <w:rPr>
          <w:rFonts w:ascii="B Nazanin" w:hAnsi="B Nazanin" w:cs="B Nazanin" w:hint="cs"/>
          <w:b/>
          <w:bCs/>
          <w:sz w:val="26"/>
          <w:szCs w:val="26"/>
          <w:rtl/>
          <w:lang w:bidi="fa-IR"/>
        </w:rPr>
        <w:t xml:space="preserve">۱-۴-۲. اهداف فرعی</w:t>
      </w:r>
    </w:p>
    <w:p>
      <w:pPr>
        <w:bidi w:val="1"/>
        <w:spacing w:lineRule="exact" w:line="580" w:after="0"/>
        <w:jc w:val="both"/>
      </w:pPr>
      <w:r>
        <w:rPr>
          <w:rFonts w:ascii="B Nazanin" w:hAnsi="B Nazanin" w:cs="B Nazanin" w:hint="cs"/>
          <w:sz w:val="24"/>
          <w:szCs w:val="24"/>
          <w:rtl/>
          <w:lang w:bidi="fa-IR"/>
        </w:rPr>
        <w:t xml:space="preserve">۱. تعیین رابطه بین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۳. تعیین رابطه بین طرحواره‌های ناسازگار اولیه و رفتارهای مالی پرخطر.</w:t>
      </w:r>
    </w:p>
    <w:p>
      <w:pPr>
        <w:pStyle w:val="Heading2"/>
        <w:bidi w:val="1"/>
        <w:jc w:val="right"/>
      </w:pPr>
      <w:r>
        <w:rPr>
          <w:rFonts w:ascii="B Nazanin" w:hAnsi="B Nazanin" w:cs="B Nazanin" w:hint="cs"/>
          <w:b/>
          <w:bCs/>
          <w:sz w:val="28"/>
          <w:szCs w:val="28"/>
          <w:rtl/>
          <w:lang w:bidi="fa-IR"/>
        </w:rPr>
        <w:t xml:space="preserve">۱-۵. فرضیه‌های پژوهش</w:t>
      </w:r>
    </w:p>
    <w:p>
      <w:pPr>
        <w:bidi w:val="1"/>
        <w:spacing w:lineRule="exact" w:line="580" w:after="0"/>
        <w:jc w:val="both"/>
      </w:pPr>
      <w:r>
        <w:rPr>
          <w:rFonts w:ascii="B Nazanin" w:hAnsi="B Nazanin" w:cs="B Nazanin" w:hint="cs"/>
          <w:sz w:val="24"/>
          <w:szCs w:val="24"/>
          <w:rtl/>
          <w:lang w:bidi="fa-IR"/>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sz w:val="24"/>
          <w:szCs w:val="24"/>
          <w:rtl/>
          <w:lang w:bidi="fa-IR"/>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sz w:val="24"/>
          <w:szCs w:val="24"/>
          <w:rtl/>
          <w:lang w:bidi="fa-IR"/>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۴. بین طرحواره‌های ناسازگار اولیه و رفتارهای مالی پرخطر، رابطه مثبت و معناداری وجود دارد.</w:t>
      </w:r>
    </w:p>
    <w:p>
      <w:pPr>
        <w:pStyle w:val="Heading2"/>
        <w:bidi w:val="1"/>
        <w:jc w:val="right"/>
      </w:pPr>
      <w:r>
        <w:rPr>
          <w:rFonts w:ascii="B Nazanin" w:hAnsi="B Nazanin" w:cs="B Nazanin" w:hint="cs"/>
          <w:b/>
          <w:bCs/>
          <w:sz w:val="28"/>
          <w:szCs w:val="28"/>
          <w:rtl/>
          <w:lang w:bidi="fa-IR"/>
        </w:rPr>
        <w:t xml:space="preserve">۱-۶. تعاریف مفهومی و عملیاتی متغیرهای پژوهش</w:t>
      </w:r>
    </w:p>
    <w:p>
      <w:pPr>
        <w:pStyle w:val="Heading3"/>
        <w:bidi w:val="1"/>
        <w:jc w:val="right"/>
      </w:pPr>
      <w:r>
        <w:rPr>
          <w:rFonts w:ascii="B Nazanin" w:hAnsi="B Nazanin" w:cs="B Nazanin" w:hint="cs"/>
          <w:b/>
          <w:bCs/>
          <w:sz w:val="26"/>
          <w:szCs w:val="26"/>
          <w:rtl/>
          <w:lang w:bidi="fa-IR"/>
        </w:rPr>
        <w:t xml:space="preserve">۱-۶-۱. اضطراب صفتی</w:t>
      </w:r>
      <w:r>
        <w:rPr>
          <w:rFonts w:ascii="Times New Roman" w:hAnsi="Times New Roman" w:cs="Times New Roman"/>
          <w:b/>
          <w:bCs/>
          <w:sz w:val="26"/>
          <w:szCs w:val="26"/>
          <w:lang w:val="en-US"/>
        </w:rPr>
        <w:t xml:space="preserve"> (Trait Anxiety)</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اضطراب صفتی یک ویژگی شخصیتی پایدار است که تمایل فرد به درک موقعیت‌های مبهم یا چالش‌برانگیز به 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sz w:val="24"/>
          <w:szCs w:val="24"/>
          <w:rtl/>
          <w:lang w:bidi="fa-IR"/>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 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vertAlign w:val="superscript"/>
          <w:rtl/>
        </w:rPr>
        <w:footnoteReference w:id="74"/>
      </w:r>
      <w:r>
        <w:rPr>
          <w:rFonts w:ascii="B Nazanin" w:hAnsi="B Nazanin" w:cs="B Nazanin" w:hint="cs"/>
          <w:sz w:val="24"/>
          <w:szCs w:val="24"/>
          <w:rtl/>
          <w:lang w:bidi="fa-IR"/>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sz w:val="24"/>
          <w:szCs w:val="24"/>
          <w:rtl/>
          <w:lang w:bidi="fa-IR"/>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 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پژوهش حاضر، منظور از اضطراب صفتی، نمره‌ای است که آزمودنی از پاسخگویی به ۲۰ گویه بخش دوم فرم</w:t>
      </w:r>
      <w:r>
        <w:rPr>
          <w:rFonts w:ascii="Times New Roman" w:hAnsi="Times New Roman" w:cs="Times New Roman"/>
          <w:sz w:val="22"/>
          <w:szCs w:val="22"/>
          <w:lang w:val="en-US"/>
        </w:rPr>
        <w:t xml:space="preserve"> (Y-2) </w:t>
      </w:r>
      <w:r>
        <w:rPr>
          <w:rFonts w:ascii="B Nazanin" w:hAnsi="B Nazanin" w:cs="B Nazanin" w:hint="cs"/>
          <w:sz w:val="24"/>
          <w:szCs w:val="24"/>
          <w:rtl/>
          <w:lang w:bidi="fa-IR"/>
        </w:rPr>
        <w:t xml:space="preserve">پرسشنامه استاندارد اضطراب حالت-صفت اسپیلبرگر </w:t>
      </w:r>
      <w:r>
        <w:rPr>
          <w:rFonts w:ascii="B Nazanin" w:hAnsi="B Nazanin" w:cs="B Nazanin" w:hint="cs"/>
          <w:vertAlign w:val="superscript"/>
          <w:rtl/>
        </w:rPr>
        <w:footnoteReference w:id="14"/>
      </w:r>
      <w:r>
        <w:rPr>
          <w:rFonts w:ascii="B Nazanin" w:hAnsi="B Nazanin" w:cs="B Nazanin" w:hint="cs"/>
          <w:sz w:val="24"/>
          <w:szCs w:val="24"/>
          <w:rtl/>
          <w:lang w:bidi="fa-IR"/>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pPr>
      <w:r>
        <w:rPr>
          <w:rFonts w:ascii="B Nazanin" w:hAnsi="B Nazanin" w:cs="B Nazanin" w:hint="cs"/>
          <w:b/>
          <w:bCs/>
          <w:sz w:val="26"/>
          <w:szCs w:val="26"/>
          <w:rtl/>
          <w:lang w:bidi="fa-IR"/>
        </w:rPr>
        <w:t xml:space="preserve">۱-۶-۲. طرحواره‌های ناسازگار اولیه</w:t>
      </w:r>
      <w:r>
        <w:rPr>
          <w:rFonts w:ascii="Times New Roman" w:hAnsi="Times New Roman" w:cs="Times New Roman"/>
          <w:b/>
          <w:bCs/>
          <w:sz w:val="26"/>
          <w:szCs w:val="26"/>
          <w:lang w:val="en-US"/>
        </w:rPr>
        <w:t xml:space="preserve"> (Early Maladaptive Schemas)</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vertAlign w:val="superscript"/>
          <w:rtl/>
        </w:rPr>
        <w:footnoteReference w:id="75"/>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طرحواره‌های ناسازگار اولیه در حوزه‌هایی سازمان می‌یابند که هسته مشترک آن‌ها ناکامی در ارضای نیازهای هیجانی بنیادین است؛ نیاز هایی مانند امنیت، دلبستگی، خودمختاری، پذیرش و محبت که هرگاه در محیط خانواده به 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 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طرحواره‌های ناسازگار اولیه، نمره‌ای است که آزمودنی از پرسشنامه طرحواره یانگ-فرم کوتاه </w:t>
      </w:r>
      <w:r>
        <w:rPr>
          <w:rFonts w:ascii="B Nazanin" w:hAnsi="B Nazanin" w:cs="B Nazanin" w:hint="cs"/>
          <w:vertAlign w:val="superscript"/>
          <w:rtl/>
        </w:rPr>
        <w:footnoteReference w:id="15"/>
      </w:r>
      <w:r>
        <w:rPr>
          <w:rFonts w:ascii="B Nazanin" w:hAnsi="B Nazanin" w:cs="B Nazanin" w:hint="cs"/>
          <w:sz w:val="24"/>
          <w:szCs w:val="24"/>
          <w:rtl/>
          <w:lang w:bidi="fa-IR"/>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vertAlign w:val="superscript"/>
          <w:rtl/>
        </w:rPr>
        <w:footnoteReference w:id="76"/>
      </w:r>
      <w:r>
        <w:rPr>
          <w:rFonts w:ascii="B Nazanin" w:hAnsi="B Nazanin" w:cs="B Nazanin" w:hint="cs"/>
          <w:sz w:val="24"/>
          <w:szCs w:val="24"/>
          <w:rtl/>
          <w:lang w:bidi="fa-IR"/>
        </w:rPr>
        <w:t xml:space="preserve">، ۱۹۹۸).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pPr>
      <w:r>
        <w:rPr>
          <w:rFonts w:ascii="B Nazanin" w:hAnsi="B Nazanin" w:cs="B Nazanin" w:hint="cs"/>
          <w:b/>
          <w:bCs/>
          <w:sz w:val="26"/>
          <w:szCs w:val="26"/>
          <w:rtl/>
          <w:lang w:bidi="fa-IR"/>
        </w:rPr>
        <w:t xml:space="preserve">۱-۶-۳. رفتارهای مالی پرخطر</w:t>
      </w:r>
      <w:r>
        <w:rPr>
          <w:rFonts w:ascii="Times New Roman" w:hAnsi="Times New Roman" w:cs="Times New Roman"/>
          <w:b/>
          <w:bCs/>
          <w:sz w:val="26"/>
          <w:szCs w:val="26"/>
          <w:lang w:val="en-US"/>
        </w:rPr>
        <w:t xml:space="preserve"> (High-Risk Financial Behaviors)</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sz w:val="24"/>
          <w:szCs w:val="24"/>
          <w:rtl/>
          <w:lang w:bidi="fa-IR"/>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 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sz w:val="24"/>
          <w:szCs w:val="24"/>
          <w:rtl/>
          <w:lang w:bidi="fa-IR"/>
        </w:rPr>
        <w:t xml:space="preserve">تحمل ریسک مالی </w:t>
      </w:r>
      <w:r>
        <w:rPr>
          <w:rFonts w:ascii="B Nazanin" w:hAnsi="B Nazanin" w:cs="B Nazanin" w:hint="cs"/>
          <w:vertAlign w:val="superscript"/>
          <w:rtl/>
        </w:rPr>
        <w:footnoteReference w:id="16"/>
      </w:r>
      <w:r>
        <w:rPr>
          <w:rFonts w:ascii="B Nazanin" w:hAnsi="B Nazanin" w:cs="B Nazanin" w:hint="cs"/>
          <w:sz w:val="24"/>
          <w:szCs w:val="24"/>
          <w:rtl/>
          <w:lang w:bidi="fa-IR"/>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vertAlign w:val="superscript"/>
          <w:rtl/>
        </w:rPr>
        <w:footnoteReference w:id="77"/>
      </w:r>
      <w:r>
        <w:rPr>
          <w:rFonts w:ascii="B Nazanin" w:hAnsi="B Nazanin" w:cs="B Nazanin" w:hint="cs"/>
          <w:sz w:val="24"/>
          <w:szCs w:val="24"/>
          <w:rtl/>
          <w:lang w:bidi="fa-IR"/>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vertAlign w:val="superscript"/>
          <w:rtl/>
        </w:rPr>
        <w:footnoteReference w:id="78"/>
      </w:r>
      <w:r>
        <w:rPr>
          <w:rFonts w:ascii="B Nazanin" w:hAnsi="B Nazanin" w:cs="B Nazanin" w:hint="cs"/>
          <w:sz w:val="24"/>
          <w:szCs w:val="24"/>
          <w:rtl/>
          <w:lang w:bidi="fa-IR"/>
        </w:rPr>
        <w:t xml:space="preserve">، ۲۰۱۷).</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نمره کل این مقیاس بین ۱۳ تا ۴۵ محاسبه می‌شود.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pPr>
      <w:r>
        <w:rPr>
          <w:rFonts w:ascii="B Nazanin" w:hAnsi="B Nazanin" w:cs="B Nazanin" w:hint="cs"/>
          <w:b/>
          <w:bCs/>
          <w:sz w:val="28"/>
          <w:szCs w:val="28"/>
          <w:rtl/>
          <w:lang w:bidi="fa-IR"/>
        </w:rPr>
        <w:t xml:space="preserve">۱-۷. سازمان‌بندی رساله</w:t>
      </w:r>
    </w:p>
    <w:p>
      <w:pPr>
        <w:bidi w:val="1"/>
        <w:spacing w:lineRule="exact" w:line="580" w:after="0"/>
        <w:jc w:val="both"/>
      </w:pPr>
      <w:r>
        <w:rPr>
          <w:rFonts w:ascii="B Nazanin" w:hAnsi="B Nazanin" w:cs="B Nazanin" w:hint="cs"/>
          <w:sz w:val="24"/>
          <w:szCs w:val="24"/>
          <w:rtl/>
          <w:lang w:bidi="fa-IR"/>
        </w:rPr>
        <w:t xml:space="preserve">این رساله در پنج فصل تنظیم شده است؛ فصل‌هایی مجزا و متناسب با فرآیند منطقی اجرای پژوهش. فصل اول به 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2"/>
          <w:footerReference w:type="first" r:id="rId13"/>
          <w:footnotePr>
            <w:numFmt w:val="hindi"/>
            <w:numRestart w:val="eachPage"/>
          </w:footnotePr>
          <w:pgSz w:w="11906" w:h="16838"/>
          <w:pgMar w:top="1701" w:right="2268" w:bottom="1417" w:left="1417" w:header="720" w:footer="567" w:gutter="0"/>
          <w:pgNumType w:numFmt="hindi" w:start="1"/>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دوم</w:t>
      </w:r>
    </w:p>
    <w:p>
      <w:pPr>
        <w:bidi w:val="1"/>
        <w:spacing w:lineRule="exact" w:line="580" w:before="120" w:after="480"/>
        <w:jc w:val="center"/>
      </w:pPr>
      <w:r>
        <w:rPr>
          <w:rFonts w:ascii="B Nazanin" w:hAnsi="B Nazanin" w:cs="B Nazanin" w:hint="cs"/>
          <w:b/>
          <w:bCs/>
          <w:sz w:val="52"/>
          <w:szCs w:val="52"/>
          <w:rtl/>
          <w:lang w:bidi="fa-IR"/>
        </w:rPr>
        <w:t xml:space="preserve">مبانی نظری و پیشینه پژوهش</w:t>
      </w:r>
    </w:p>
    <w:p>
      <w:pPr>
        <w:pStyle w:val="Heading2"/>
        <w:bidi w:val="1"/>
        <w:jc w:val="right"/>
      </w:pPr>
      <w:r>
        <w:rPr>
          <w:rFonts w:ascii="B Nazanin" w:hAnsi="B Nazanin" w:cs="B Nazanin" w:hint="cs"/>
          <w:b/>
          <w:bCs/>
          <w:sz w:val="28"/>
          <w:szCs w:val="28"/>
          <w:rtl/>
          <w:lang w:bidi="fa-IR"/>
        </w:rPr>
        <w:t xml:space="preserve">۲-۱ مقدمه</w:t>
      </w:r>
    </w:p>
    <w:p>
      <w:pPr>
        <w:bidi w:val="1"/>
        <w:spacing w:lineRule="exact" w:line="580" w:after="0"/>
        <w:jc w:val="both"/>
      </w:pPr>
      <w:r>
        <w:rPr>
          <w:rFonts w:ascii="B Nazanin" w:hAnsi="B Nazanin" w:cs="B Nazanin" w:hint="cs"/>
          <w:sz w:val="24"/>
          <w:szCs w:val="24"/>
          <w:rtl/>
          <w:lang w:bidi="fa-IR"/>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 </w:t>
      </w:r>
      <w:r>
        <w:rPr>
          <w:rFonts w:ascii="B Nazanin" w:hAnsi="B Nazanin" w:cs="B Nazanin" w:hint="cs"/>
          <w:vertAlign w:val="superscript"/>
          <w:rtl/>
        </w:rPr>
        <w:footnoteReference w:id="17"/>
      </w:r>
      <w:r>
        <w:rPr>
          <w:rFonts w:ascii="B Nazanin" w:hAnsi="B Nazanin" w:cs="B Nazanin" w:hint="cs"/>
          <w:sz w:val="24"/>
          <w:szCs w:val="24"/>
          <w:rtl/>
          <w:lang w:bidi="fa-IR"/>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sz w:val="24"/>
          <w:szCs w:val="24"/>
          <w:rtl/>
          <w:lang w:bidi="fa-IR"/>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 </w:t>
      </w:r>
      <w:r>
        <w:rPr>
          <w:rFonts w:ascii="B Nazanin" w:hAnsi="B Nazanin" w:cs="B Nazanin" w:hint="cs"/>
          <w:vertAlign w:val="superscript"/>
          <w:rtl/>
        </w:rPr>
        <w:footnoteReference w:id="18"/>
      </w:r>
      <w:r>
        <w:rPr>
          <w:rFonts w:ascii="B Nazanin" w:hAnsi="B Nazanin" w:cs="B Nazanin" w:hint="cs"/>
          <w:sz w:val="24"/>
          <w:szCs w:val="24"/>
          <w:rtl/>
          <w:lang w:bidi="fa-IR"/>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pPr>
      <w:r>
        <w:rPr>
          <w:rFonts w:ascii="B Nazanin" w:hAnsi="B Nazanin" w:cs="B Nazanin" w:hint="cs"/>
          <w:b/>
          <w:bCs/>
          <w:sz w:val="28"/>
          <w:szCs w:val="28"/>
          <w:rtl/>
          <w:lang w:bidi="fa-IR"/>
        </w:rPr>
        <w:t xml:space="preserve">۲-۲ مبانی نظری</w:t>
      </w:r>
    </w:p>
    <w:p>
      <w:pPr>
        <w:pStyle w:val="Heading3"/>
        <w:bidi w:val="1"/>
        <w:jc w:val="right"/>
      </w:pPr>
      <w:r>
        <w:rPr>
          <w:rFonts w:ascii="B Nazanin" w:hAnsi="B Nazanin" w:cs="B Nazanin" w:hint="cs"/>
          <w:b/>
          <w:bCs/>
          <w:sz w:val="26"/>
          <w:szCs w:val="26"/>
          <w:rtl/>
          <w:lang w:bidi="fa-IR"/>
        </w:rPr>
        <w:t xml:space="preserve">۲-۲-۱ اضطراب صفتی</w:t>
      </w:r>
    </w:p>
    <w:p>
      <w:pPr>
        <w:bidi w:val="1"/>
        <w:spacing w:lineRule="exact" w:line="580" w:after="0"/>
        <w:jc w:val="both"/>
      </w:pPr>
      <w:r>
        <w:rPr>
          <w:rFonts w:ascii="B Nazanin" w:hAnsi="B Nazanin" w:cs="B Nazanin" w:hint="cs"/>
          <w:sz w:val="24"/>
          <w:szCs w:val="24"/>
          <w:rtl/>
          <w:lang w:bidi="fa-IR"/>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sz w:val="24"/>
          <w:szCs w:val="24"/>
          <w:rtl/>
          <w:lang w:bidi="fa-IR"/>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sz w:val="24"/>
          <w:szCs w:val="24"/>
          <w:rtl/>
          <w:lang w:bidi="fa-IR"/>
        </w:rPr>
        <w:t xml:space="preserve">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sz w:val="24"/>
          <w:szCs w:val="24"/>
          <w:rtl/>
          <w:lang w:bidi="fa-IR"/>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sz w:val="24"/>
          <w:szCs w:val="24"/>
          <w:rtl/>
          <w:lang w:bidi="fa-IR"/>
        </w:rPr>
        <w:t xml:space="preserve">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sz w:val="24"/>
          <w:szCs w:val="24"/>
          <w:rtl/>
          <w:lang w:bidi="fa-IR"/>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sz w:val="24"/>
          <w:szCs w:val="24"/>
          <w:rtl/>
          <w:lang w:bidi="fa-IR"/>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sz w:val="24"/>
          <w:szCs w:val="24"/>
          <w:rtl/>
          <w:lang w:bidi="fa-IR"/>
        </w:rPr>
        <w:t xml:space="preserve">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sz w:val="24"/>
          <w:szCs w:val="24"/>
          <w:rtl/>
          <w:lang w:bidi="fa-IR"/>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vertAlign w:val="superscript"/>
          <w:rtl/>
        </w:rPr>
        <w:footnoteReference w:id="79"/>
      </w:r>
      <w:r>
        <w:rPr>
          <w:rFonts w:ascii="B Nazanin" w:hAnsi="B Nazanin" w:cs="B Nazanin" w:hint="cs"/>
          <w:sz w:val="24"/>
          <w:szCs w:val="24"/>
          <w:rtl/>
          <w:lang w:bidi="fa-IR"/>
        </w:rPr>
        <w:t xml:space="preserve">، ۲۰۲۱).</w:t>
      </w:r>
    </w:p>
    <w:p>
      <w:pPr>
        <w:bidi w:val="1"/>
        <w:spacing w:lineRule="exact" w:line="580" w:after="0"/>
        <w:jc w:val="both"/>
      </w:pPr>
      <w:r>
        <w:rPr>
          <w:rFonts w:ascii="B Nazanin" w:hAnsi="B Nazanin" w:cs="B Nazanin" w:hint="cs"/>
          <w:sz w:val="24"/>
          <w:szCs w:val="24"/>
          <w:rtl/>
          <w:lang w:bidi="fa-IR"/>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sz w:val="24"/>
          <w:szCs w:val="24"/>
          <w:rtl/>
          <w:lang w:bidi="fa-IR"/>
        </w:rPr>
        <w:t xml:space="preserve">از منظر ریشه‌شناسی، واژه اضطراب </w:t>
      </w:r>
      <w:r>
        <w:rPr>
          <w:rFonts w:ascii="B Nazanin" w:hAnsi="B Nazanin" w:cs="B Nazanin" w:hint="cs"/>
          <w:vertAlign w:val="superscript"/>
          <w:rtl/>
        </w:rPr>
        <w:footnoteReference w:id="19"/>
      </w:r>
      <w:r>
        <w:rPr>
          <w:rFonts w:ascii="B Nazanin" w:hAnsi="B Nazanin" w:cs="B Nazanin" w:hint="cs"/>
          <w:sz w:val="24"/>
          <w:szCs w:val="24"/>
          <w:rtl/>
          <w:lang w:bidi="fa-IR"/>
        </w:rPr>
        <w:t xml:space="preserve"> ریشه در کلمه لاتین</w:t>
      </w:r>
      <w:r>
        <w:rPr>
          <w:rFonts w:ascii="Times New Roman" w:hAnsi="Times New Roman" w:cs="Times New Roman"/>
          <w:sz w:val="22"/>
          <w:szCs w:val="22"/>
          <w:lang w:val="en-US"/>
        </w:rPr>
        <w:t xml:space="preserve"> Angere </w:t>
      </w:r>
      <w:r>
        <w:rPr>
          <w:rFonts w:ascii="B Nazanin" w:hAnsi="B Nazanin" w:cs="B Nazanin" w:hint="cs"/>
          <w:sz w:val="24"/>
          <w:szCs w:val="24"/>
          <w:rtl/>
          <w:lang w:bidi="fa-IR"/>
        </w:rPr>
        <w:t xml:space="preserve">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vertAlign w:val="superscript"/>
          <w:rtl/>
        </w:rPr>
        <w:footnoteReference w:id="80"/>
      </w:r>
      <w:r>
        <w:rPr>
          <w:rFonts w:ascii="B Nazanin" w:hAnsi="B Nazanin" w:cs="B Nazanin" w:hint="cs"/>
          <w:sz w:val="24"/>
          <w:szCs w:val="24"/>
          <w:rtl/>
          <w:lang w:bidi="fa-IR"/>
        </w:rPr>
        <w:t xml:space="preserve">، ۲۰۰۲).</w:t>
      </w:r>
    </w:p>
    <w:p>
      <w:pPr>
        <w:bidi w:val="1"/>
        <w:spacing w:lineRule="exact" w:line="580" w:after="0"/>
        <w:jc w:val="both"/>
      </w:pPr>
      <w:r>
        <w:rPr>
          <w:rFonts w:ascii="B Nazanin" w:hAnsi="B Nazanin" w:cs="B Nazanin" w:hint="cs"/>
          <w:sz w:val="24"/>
          <w:szCs w:val="24"/>
          <w:rtl/>
          <w:lang w:bidi="fa-IR"/>
        </w:rPr>
        <w:t xml:space="preserve">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sz w:val="24"/>
          <w:szCs w:val="24"/>
          <w:rtl/>
          <w:lang w:bidi="fa-IR"/>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vertAlign w:val="superscript"/>
          <w:rtl/>
        </w:rPr>
        <w:footnoteReference w:id="81"/>
      </w:r>
      <w:r>
        <w:rPr>
          <w:rFonts w:ascii="B Nazanin" w:hAnsi="B Nazanin" w:cs="B Nazanin" w:hint="cs"/>
          <w:sz w:val="24"/>
          <w:szCs w:val="24"/>
          <w:rtl/>
          <w:lang w:bidi="fa-IR"/>
        </w:rPr>
        <w:t xml:space="preserve">، ۱۹۹۴).</w:t>
      </w:r>
    </w:p>
    <w:p>
      <w:pPr>
        <w:bidi w:val="1"/>
        <w:spacing w:lineRule="exact" w:line="580" w:after="0"/>
        <w:jc w:val="both"/>
      </w:pPr>
      <w:r>
        <w:rPr>
          <w:rFonts w:ascii="B Nazanin" w:hAnsi="B Nazanin" w:cs="B Nazanin" w:hint="cs"/>
          <w:sz w:val="24"/>
          <w:szCs w:val="24"/>
          <w:rtl/>
          <w:lang w:bidi="fa-IR"/>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vertAlign w:val="superscript"/>
          <w:rtl/>
        </w:rPr>
        <w:footnoteReference w:id="82"/>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sz w:val="24"/>
          <w:szCs w:val="24"/>
          <w:rtl/>
          <w:lang w:bidi="fa-IR"/>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vertAlign w:val="superscript"/>
          <w:rtl/>
        </w:rPr>
        <w:footnoteReference w:id="83"/>
      </w:r>
      <w:r>
        <w:rPr>
          <w:rFonts w:ascii="B Nazanin" w:hAnsi="B Nazanin" w:cs="B Nazanin" w:hint="cs"/>
          <w:sz w:val="24"/>
          <w:szCs w:val="24"/>
          <w:rtl/>
          <w:lang w:bidi="fa-IR"/>
        </w:rPr>
        <w:t xml:space="preserve">، ۲۰۰۷).</w:t>
      </w:r>
    </w:p>
    <w:p>
      <w:pPr>
        <w:pStyle w:val="Heading4"/>
        <w:bidi w:val="1"/>
        <w:jc w:val="right"/>
      </w:pPr>
      <w:r>
        <w:rPr>
          <w:rFonts w:ascii="B Nazanin" w:hAnsi="B Nazanin" w:cs="B Nazanin" w:hint="cs"/>
          <w:b/>
          <w:bCs/>
          <w:sz w:val="24"/>
          <w:szCs w:val="24"/>
          <w:rtl/>
          <w:lang w:bidi="fa-IR"/>
        </w:rPr>
        <w:t xml:space="preserve">۲-۲-۱-۱ تمایزهای مفهومی کلیدی</w:t>
      </w:r>
    </w:p>
    <w:p>
      <w:pPr>
        <w:bidi w:val="1"/>
        <w:spacing w:lineRule="exact" w:line="580" w:after="0"/>
        <w:jc w:val="both"/>
      </w:pPr>
      <w:r>
        <w:rPr>
          <w:rFonts w:ascii="B Nazanin" w:hAnsi="B Nazanin" w:cs="B Nazanin" w:hint="cs"/>
          <w:sz w:val="24"/>
          <w:szCs w:val="24"/>
          <w:rtl/>
          <w:lang w:bidi="fa-IR"/>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B Nazanin" w:hAnsi="B Nazanin" w:cs="B Nazanin" w:hint="cs"/>
          <w:b/>
          <w:bCs/>
          <w:sz w:val="24"/>
          <w:szCs w:val="24"/>
          <w:rtl/>
          <w:lang w:bidi="fa-IR"/>
        </w:rPr>
        <w:t xml:space="preserve">تفاوت ترس و اضطراب.</w:t>
      </w:r>
    </w:p>
    <w:p>
      <w:pPr>
        <w:bidi w:val="1"/>
        <w:spacing w:lineRule="exact" w:line="580" w:after="0"/>
        <w:jc w:val="both"/>
      </w:pPr>
      <w:r>
        <w:rPr>
          <w:rFonts w:ascii="B Nazanin" w:hAnsi="B Nazanin" w:cs="B Nazanin" w:hint="cs"/>
          <w:sz w:val="24"/>
          <w:szCs w:val="24"/>
          <w:rtl/>
          <w:lang w:bidi="fa-IR"/>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vertAlign w:val="superscript"/>
          <w:rtl/>
        </w:rPr>
        <w:footnoteReference w:id="84"/>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sz w:val="24"/>
          <w:szCs w:val="24"/>
          <w:rtl/>
          <w:lang w:bidi="fa-IR"/>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sz w:val="24"/>
          <w:szCs w:val="24"/>
          <w:rtl/>
          <w:lang w:bidi="fa-IR"/>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 </w:t>
      </w:r>
      <w:r>
        <w:rPr>
          <w:rFonts w:ascii="B Nazanin" w:hAnsi="B Nazanin" w:cs="B Nazanin" w:hint="cs"/>
          <w:vertAlign w:val="superscript"/>
          <w:rtl/>
        </w:rPr>
        <w:footnoteReference w:id="20"/>
      </w:r>
      <w:r>
        <w:rPr>
          <w:rFonts w:ascii="B Nazanin" w:hAnsi="B Nazanin" w:cs="B Nazanin" w:hint="cs"/>
          <w:sz w:val="24"/>
          <w:szCs w:val="24"/>
          <w:rtl/>
          <w:lang w:bidi="fa-IR"/>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b/>
          <w:bCs/>
          <w:sz w:val="24"/>
          <w:szCs w:val="24"/>
          <w:rtl/>
          <w:lang w:bidi="fa-IR"/>
        </w:rPr>
        <w:t xml:space="preserve">تفاوت اضطراب بهنجار و مرضی.</w:t>
      </w:r>
    </w:p>
    <w:p>
      <w:pPr>
        <w:bidi w:val="1"/>
        <w:spacing w:lineRule="exact" w:line="580" w:after="0"/>
        <w:jc w:val="both"/>
      </w:pPr>
      <w:r>
        <w:rPr>
          <w:rFonts w:ascii="B Nazanin" w:hAnsi="B Nazanin" w:cs="B Nazanin" w:hint="cs"/>
          <w:sz w:val="24"/>
          <w:szCs w:val="24"/>
          <w:rtl/>
          <w:lang w:bidi="fa-IR"/>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sz w:val="24"/>
          <w:szCs w:val="24"/>
          <w:rtl/>
          <w:lang w:bidi="fa-IR"/>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sz w:val="24"/>
          <w:szCs w:val="24"/>
          <w:rtl/>
          <w:lang w:bidi="fa-IR"/>
        </w:rPr>
        <w:t xml:space="preserve">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w:t>
      </w:r>
      <w:r>
        <w:rPr>
          <w:rFonts w:ascii="B Nazanin" w:hAnsi="B Nazanin" w:cs="B Nazanin" w:hint="cs"/>
          <w:vertAlign w:val="superscript"/>
          <w:rtl/>
        </w:rPr>
        <w:footnoteReference w:id="85"/>
      </w:r>
      <w:r>
        <w:rPr>
          <w:rFonts w:ascii="B Nazanin" w:hAnsi="B Nazanin" w:cs="B Nazanin" w:hint="cs"/>
          <w:sz w:val="24"/>
          <w:szCs w:val="24"/>
          <w:rtl/>
          <w:lang w:bidi="fa-IR"/>
        </w:rPr>
        <w:t xml:space="preserve">، ۲۰۱۳). برای یک معامله‌گر، این اختلال می‌تواند خود را به شکل «فلج تحلیلی» (ناتوانی درتمرکز و تصمیم‌گیری) (گامبتی و گیوسبرتی</w:t>
      </w:r>
      <w:r>
        <w:rPr>
          <w:rFonts w:ascii="B Nazanin" w:hAnsi="B Nazanin" w:cs="B Nazanin" w:hint="cs"/>
          <w:vertAlign w:val="superscript"/>
          <w:rtl/>
        </w:rPr>
        <w:footnoteReference w:id="86"/>
      </w:r>
      <w:r>
        <w:rPr>
          <w:rFonts w:ascii="B Nazanin" w:hAnsi="B Nazanin" w:cs="B Nazanin" w:hint="cs"/>
          <w:sz w:val="24"/>
          <w:szCs w:val="24"/>
          <w:rtl/>
          <w:lang w:bidi="fa-IR"/>
        </w:rPr>
        <w:t xml:space="preserve">، ۲۰۱۲).، «اجتناب از بازار» (ترس از انجام هرگونه معامله) یا برعکس(لو و همکاران</w:t>
      </w:r>
      <w:r>
        <w:rPr>
          <w:rFonts w:ascii="B Nazanin" w:hAnsi="B Nazanin" w:cs="B Nazanin" w:hint="cs"/>
          <w:vertAlign w:val="superscript"/>
          <w:rtl/>
        </w:rPr>
        <w:footnoteReference w:id="87"/>
      </w:r>
      <w:r>
        <w:rPr>
          <w:rFonts w:ascii="B Nazanin" w:hAnsi="B Nazanin" w:cs="B Nazanin" w:hint="cs"/>
          <w:sz w:val="24"/>
          <w:szCs w:val="24"/>
          <w:rtl/>
          <w:lang w:bidi="fa-IR"/>
        </w:rPr>
        <w:t xml:space="preserve">،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pStyle w:val="Heading4"/>
        <w:bidi w:val="1"/>
        <w:jc w:val="right"/>
      </w:pPr>
      <w:r>
        <w:rPr>
          <w:rFonts w:ascii="B Nazanin" w:hAnsi="B Nazanin" w:cs="B Nazanin" w:hint="cs"/>
          <w:b/>
          <w:bCs/>
          <w:sz w:val="24"/>
          <w:szCs w:val="24"/>
          <w:rtl/>
          <w:lang w:bidi="fa-IR"/>
        </w:rPr>
        <w:t xml:space="preserve">۲-۲-۱-۲ مبانی زیست‌شناختی و عصب‌شناختی اضطراب</w:t>
      </w:r>
    </w:p>
    <w:p>
      <w:pPr>
        <w:bidi w:val="1"/>
        <w:spacing w:lineRule="exact" w:line="580" w:after="0"/>
        <w:jc w:val="both"/>
      </w:pPr>
      <w:r>
        <w:rPr>
          <w:rFonts w:ascii="B Nazanin" w:hAnsi="B Nazanin" w:cs="B Nazanin" w:hint="cs"/>
          <w:sz w:val="24"/>
          <w:szCs w:val="24"/>
          <w:rtl/>
          <w:lang w:bidi="fa-IR"/>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b/>
          <w:bCs/>
          <w:sz w:val="24"/>
          <w:szCs w:val="24"/>
          <w:rtl/>
          <w:lang w:bidi="fa-IR"/>
        </w:rPr>
        <w:t xml:space="preserve">ساختارهای مغزی درگیر در اضطراب.</w:t>
      </w:r>
    </w:p>
    <w:p>
      <w:pPr>
        <w:bidi w:val="1"/>
        <w:spacing w:lineRule="exact" w:line="580" w:after="0"/>
        <w:jc w:val="both"/>
      </w:pPr>
      <w:r>
        <w:rPr>
          <w:rFonts w:ascii="B Nazanin" w:hAnsi="B Nazanin" w:cs="B Nazanin" w:hint="cs"/>
          <w:sz w:val="24"/>
          <w:szCs w:val="24"/>
          <w:rtl/>
          <w:lang w:bidi="fa-IR"/>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sz w:val="24"/>
          <w:szCs w:val="24"/>
          <w:rtl/>
          <w:lang w:bidi="fa-IR"/>
        </w:rPr>
        <w:t xml:space="preserve">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sz w:val="24"/>
          <w:szCs w:val="24"/>
          <w:rtl/>
          <w:lang w:bidi="fa-IR"/>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vertAlign w:val="superscript"/>
          <w:rtl/>
        </w:rPr>
        <w:footnoteReference w:id="88"/>
      </w:r>
      <w:r>
        <w:rPr>
          <w:rFonts w:ascii="B Nazanin" w:hAnsi="B Nazanin" w:cs="B Nazanin" w:hint="cs"/>
          <w:sz w:val="24"/>
          <w:szCs w:val="24"/>
          <w:rtl/>
          <w:lang w:bidi="fa-IR"/>
        </w:rPr>
        <w:t xml:space="preserve">، ۲۰۰۶).</w:t>
      </w:r>
    </w:p>
    <w:p>
      <w:pPr>
        <w:bidi w:val="1"/>
        <w:spacing w:lineRule="exact" w:line="580" w:after="0"/>
        <w:jc w:val="both"/>
      </w:pPr>
      <w:r>
        <w:rPr>
          <w:rFonts w:ascii="B Nazanin" w:hAnsi="B Nazanin" w:cs="B Nazanin" w:hint="cs"/>
          <w:sz w:val="24"/>
          <w:szCs w:val="24"/>
          <w:rtl/>
          <w:lang w:bidi="fa-IR"/>
        </w:rPr>
        <w:t xml:space="preserve">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b/>
          <w:bCs/>
          <w:sz w:val="24"/>
          <w:szCs w:val="24"/>
          <w:rtl/>
          <w:lang w:bidi="fa-IR"/>
        </w:rPr>
        <w:t xml:space="preserve">نقش انتقال‌دهنده‌های عصبی.</w:t>
      </w:r>
    </w:p>
    <w:p>
      <w:pPr>
        <w:bidi w:val="1"/>
        <w:spacing w:lineRule="exact" w:line="580" w:after="0"/>
        <w:jc w:val="both"/>
      </w:pPr>
      <w:r>
        <w:rPr>
          <w:rFonts w:ascii="B Nazanin" w:hAnsi="B Nazanin" w:cs="B Nazanin" w:hint="cs"/>
          <w:sz w:val="24"/>
          <w:szCs w:val="24"/>
          <w:rtl/>
          <w:lang w:bidi="fa-IR"/>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sz w:val="24"/>
          <w:szCs w:val="24"/>
          <w:rtl/>
          <w:lang w:bidi="fa-IR"/>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sz w:val="24"/>
          <w:szCs w:val="24"/>
          <w:rtl/>
          <w:lang w:bidi="fa-IR"/>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 </w:t>
      </w:r>
      <w:r>
        <w:rPr>
          <w:rFonts w:ascii="B Nazanin" w:hAnsi="B Nazanin" w:cs="B Nazanin" w:hint="cs"/>
          <w:vertAlign w:val="superscript"/>
          <w:rtl/>
        </w:rPr>
        <w:footnoteReference w:id="21"/>
      </w:r>
      <w:r>
        <w:rPr>
          <w:rFonts w:ascii="B Nazanin" w:hAnsi="B Nazanin" w:cs="B Nazanin" w:hint="cs"/>
          <w:sz w:val="24"/>
          <w:szCs w:val="24"/>
          <w:rtl/>
          <w:lang w:bidi="fa-IR"/>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w:t>
      </w:r>
      <w:r>
        <w:rPr>
          <w:rFonts w:ascii="Times New Roman" w:hAnsi="Times New Roman" w:cs="Times New Roman"/>
          <w:sz w:val="22"/>
          <w:szCs w:val="22"/>
          <w:lang w:val="en-US"/>
        </w:rPr>
        <w:t xml:space="preserve"> (5-HTTLPR)</w:t>
      </w:r>
      <w:r>
        <w:rPr>
          <w:rFonts w:ascii="B Nazanin" w:hAnsi="B Nazanin" w:cs="B Nazanin" w:hint="cs"/>
          <w:sz w:val="24"/>
          <w:szCs w:val="24"/>
          <w:rtl/>
          <w:lang w:bidi="fa-IR"/>
        </w:rPr>
        <w:t xml:space="preserve">، افراد را به طور ذاتی مستعد اضطراب صفتی بالاتر و رفتارهای مالی ریسک‌گریزتر می‌کند (کوهنن و چیائو</w:t>
      </w:r>
      <w:r>
        <w:rPr>
          <w:rFonts w:ascii="B Nazanin" w:hAnsi="B Nazanin" w:cs="B Nazanin" w:hint="cs"/>
          <w:vertAlign w:val="superscript"/>
          <w:rtl/>
        </w:rPr>
        <w:footnoteReference w:id="89"/>
      </w:r>
      <w:r>
        <w:rPr>
          <w:rFonts w:ascii="B Nazanin" w:hAnsi="B Nazanin" w:cs="B Nazanin" w:hint="cs"/>
          <w:sz w:val="24"/>
          <w:szCs w:val="24"/>
          <w:rtl/>
          <w:lang w:bidi="fa-IR"/>
        </w:rPr>
        <w:t xml:space="preserve">، ۲۰۰۹).</w:t>
      </w:r>
    </w:p>
    <w:p>
      <w:pPr>
        <w:bidi w:val="1"/>
        <w:spacing w:lineRule="exact" w:line="580" w:after="0"/>
        <w:jc w:val="both"/>
      </w:pPr>
      <w:r>
        <w:rPr>
          <w:rFonts w:ascii="B Nazanin" w:hAnsi="B Nazanin" w:cs="B Nazanin" w:hint="cs"/>
          <w:sz w:val="24"/>
          <w:szCs w:val="24"/>
          <w:rtl/>
          <w:lang w:bidi="fa-IR"/>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b/>
          <w:bCs/>
          <w:sz w:val="24"/>
          <w:szCs w:val="24"/>
          <w:rtl/>
          <w:lang w:bidi="fa-IR"/>
        </w:rPr>
        <w:t xml:space="preserve">سیستم عصبی خودمختار و علائم جسمانی.</w:t>
      </w:r>
    </w:p>
    <w:p>
      <w:pPr>
        <w:bidi w:val="1"/>
        <w:spacing w:lineRule="exact" w:line="580" w:after="0"/>
        <w:jc w:val="both"/>
      </w:pPr>
      <w:r>
        <w:rPr>
          <w:rFonts w:ascii="B Nazanin" w:hAnsi="B Nazanin" w:cs="B Nazanin" w:hint="cs"/>
          <w:sz w:val="24"/>
          <w:szCs w:val="24"/>
          <w:rtl/>
          <w:lang w:bidi="fa-IR"/>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 </w:t>
      </w:r>
      <w:r>
        <w:rPr>
          <w:rFonts w:ascii="B Nazanin" w:hAnsi="B Nazanin" w:cs="B Nazanin" w:hint="cs"/>
          <w:vertAlign w:val="superscript"/>
          <w:rtl/>
        </w:rPr>
        <w:footnoteReference w:id="22"/>
      </w:r>
      <w:r>
        <w:rPr>
          <w:rFonts w:ascii="B Nazanin" w:hAnsi="B Nazanin" w:cs="B Nazanin" w:hint="cs"/>
          <w:sz w:val="24"/>
          <w:szCs w:val="24"/>
          <w:rtl/>
          <w:lang w:bidi="fa-IR"/>
        </w:rPr>
        <w:t xml:space="preserve"> است</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 نشان‌دهنده انعطاف‌پذیری سیستم عصبی و توانایی خوب در تنظیم هیجان است. مطالعات نشان داده‌اند که معامله‌گران حرفه‌ای و موفق،</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بالاتری نسبت به معامله‌گران مبتدی دارند، که این امر نشان‌دهنده توانایی فیزیولوژیک آن‌ها در حفظ آرامش تحت فشار است (فنتون-اکریوی و همکاران، ۲۰۱۲).</w:t>
      </w:r>
    </w:p>
    <w:p>
      <w:pPr>
        <w:pStyle w:val="Heading4"/>
        <w:bidi w:val="1"/>
        <w:jc w:val="right"/>
      </w:pPr>
      <w:r>
        <w:rPr>
          <w:rFonts w:ascii="B Nazanin" w:hAnsi="B Nazanin" w:cs="B Nazanin" w:hint="cs"/>
          <w:b/>
          <w:bCs/>
          <w:sz w:val="24"/>
          <w:szCs w:val="24"/>
          <w:rtl/>
          <w:lang w:bidi="fa-IR"/>
        </w:rPr>
        <w:t xml:space="preserve">۲-۲-۱-۳ دیدگاه‌های روانشناختی درباره اضطراب</w:t>
      </w:r>
    </w:p>
    <w:p>
      <w:pPr>
        <w:bidi w:val="1"/>
        <w:spacing w:lineRule="exact" w:line="580" w:after="0"/>
        <w:jc w:val="both"/>
      </w:pPr>
      <w:r>
        <w:rPr>
          <w:rFonts w:ascii="B Nazanin" w:hAnsi="B Nazanin" w:cs="B Nazanin" w:hint="cs"/>
          <w:sz w:val="24"/>
          <w:szCs w:val="24"/>
          <w:rtl/>
          <w:lang w:bidi="fa-IR"/>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b/>
          <w:bCs/>
          <w:sz w:val="24"/>
          <w:szCs w:val="24"/>
          <w:rtl/>
          <w:lang w:bidi="fa-IR"/>
        </w:rPr>
        <w:t xml:space="preserve">دیدگاه روانکاوی.</w:t>
      </w:r>
    </w:p>
    <w:p>
      <w:pPr>
        <w:bidi w:val="1"/>
        <w:spacing w:lineRule="exact" w:line="580" w:after="0"/>
        <w:jc w:val="both"/>
      </w:pPr>
      <w:r>
        <w:rPr>
          <w:rFonts w:ascii="B Nazanin" w:hAnsi="B Nazanin" w:cs="B Nazanin" w:hint="cs"/>
          <w:sz w:val="24"/>
          <w:szCs w:val="24"/>
          <w:rtl/>
          <w:lang w:bidi="fa-IR"/>
        </w:rPr>
        <w:t xml:space="preserve">در نظریه روانکاوی کلاسیک، زیگموند فروید</w:t>
      </w:r>
      <w:r>
        <w:rPr>
          <w:rFonts w:ascii="B Nazanin" w:hAnsi="B Nazanin" w:cs="B Nazanin" w:hint="cs"/>
          <w:vertAlign w:val="superscript"/>
          <w:rtl/>
        </w:rPr>
        <w:footnoteReference w:id="90"/>
      </w:r>
      <w:r>
        <w:rPr>
          <w:rFonts w:ascii="B Nazanin" w:hAnsi="B Nazanin" w:cs="B Nazanin" w:hint="cs"/>
          <w:sz w:val="24"/>
          <w:szCs w:val="24"/>
          <w:rtl/>
          <w:lang w:bidi="fa-IR"/>
        </w:rPr>
        <w:t xml:space="preserve">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sz w:val="24"/>
          <w:szCs w:val="24"/>
          <w:rtl/>
          <w:lang w:bidi="fa-IR"/>
        </w:rPr>
        <w:t xml:space="preserve">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رفتاری (یادگیری).</w:t>
      </w:r>
    </w:p>
    <w:p>
      <w:pPr>
        <w:bidi w:val="1"/>
        <w:spacing w:lineRule="exact" w:line="580" w:after="0"/>
        <w:jc w:val="both"/>
      </w:pPr>
      <w:r>
        <w:rPr>
          <w:rFonts w:ascii="B Nazanin" w:hAnsi="B Nazanin" w:cs="B Nazanin" w:hint="cs"/>
          <w:sz w:val="24"/>
          <w:szCs w:val="24"/>
          <w:rtl/>
          <w:lang w:bidi="fa-IR"/>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sz w:val="24"/>
          <w:szCs w:val="24"/>
          <w:rtl/>
          <w:lang w:bidi="fa-IR"/>
        </w:rPr>
        <w:t xml:space="preserve">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sz w:val="24"/>
          <w:szCs w:val="24"/>
          <w:rtl/>
          <w:lang w:bidi="fa-IR"/>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b/>
          <w:bCs/>
          <w:sz w:val="24"/>
          <w:szCs w:val="24"/>
          <w:rtl/>
          <w:lang w:bidi="fa-IR"/>
        </w:rPr>
        <w:t xml:space="preserve">دیدگاه شناختی.</w:t>
      </w:r>
    </w:p>
    <w:p>
      <w:pPr>
        <w:bidi w:val="1"/>
        <w:spacing w:lineRule="exact" w:line="580" w:after="0"/>
        <w:jc w:val="both"/>
      </w:pPr>
      <w:r>
        <w:rPr>
          <w:rFonts w:ascii="B Nazanin" w:hAnsi="B Nazanin" w:cs="B Nazanin" w:hint="cs"/>
          <w:sz w:val="24"/>
          <w:szCs w:val="24"/>
          <w:rtl/>
          <w:lang w:bidi="fa-IR"/>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vertAlign w:val="superscript"/>
          <w:rtl/>
        </w:rPr>
        <w:footnoteReference w:id="91"/>
      </w:r>
      <w:r>
        <w:rPr>
          <w:rFonts w:ascii="B Nazanin" w:hAnsi="B Nazanin" w:cs="B Nazanin" w:hint="cs"/>
          <w:sz w:val="24"/>
          <w:szCs w:val="24"/>
          <w:rtl/>
          <w:lang w:bidi="fa-IR"/>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vertAlign w:val="superscript"/>
          <w:rtl/>
        </w:rPr>
        <w:footnoteReference w:id="92"/>
      </w:r>
      <w:r>
        <w:rPr>
          <w:rFonts w:ascii="B Nazanin" w:hAnsi="B Nazanin" w:cs="B Nazanin" w:hint="cs"/>
          <w:sz w:val="24"/>
          <w:szCs w:val="24"/>
          <w:rtl/>
          <w:lang w:bidi="fa-IR"/>
        </w:rPr>
        <w:t xml:space="preserve">، ۱۹۹۸)</w:t>
      </w:r>
    </w:p>
    <w:p>
      <w:pPr>
        <w:bidi w:val="1"/>
        <w:spacing w:lineRule="exact" w:line="580" w:after="0"/>
        <w:jc w:val="both"/>
      </w:pPr>
      <w:r>
        <w:rPr>
          <w:rFonts w:ascii="B Nazanin" w:hAnsi="B Nazanin" w:cs="B Nazanin" w:hint="cs"/>
          <w:sz w:val="24"/>
          <w:szCs w:val="24"/>
          <w:rtl/>
          <w:lang w:bidi="fa-IR"/>
        </w:rPr>
        <w:t xml:space="preserve">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sz w:val="24"/>
          <w:szCs w:val="24"/>
          <w:rtl/>
          <w:lang w:bidi="fa-IR"/>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sz w:val="24"/>
          <w:szCs w:val="24"/>
          <w:rtl/>
          <w:lang w:bidi="fa-IR"/>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sz w:val="24"/>
          <w:szCs w:val="24"/>
          <w:rtl/>
          <w:lang w:bidi="fa-IR"/>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وجودی (اگزیستانسیال).</w:t>
      </w:r>
    </w:p>
    <w:p>
      <w:pPr>
        <w:bidi w:val="1"/>
        <w:spacing w:lineRule="exact" w:line="580" w:after="0"/>
        <w:jc w:val="both"/>
      </w:pPr>
      <w:r>
        <w:rPr>
          <w:rFonts w:ascii="B Nazanin" w:hAnsi="B Nazanin" w:cs="B Nazanin" w:hint="cs"/>
          <w:sz w:val="24"/>
          <w:szCs w:val="24"/>
          <w:rtl/>
          <w:lang w:bidi="fa-IR"/>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vertAlign w:val="superscript"/>
          <w:rtl/>
        </w:rPr>
        <w:footnoteReference w:id="93"/>
      </w:r>
      <w:r>
        <w:rPr>
          <w:rFonts w:ascii="B Nazanin" w:hAnsi="B Nazanin" w:cs="B Nazanin" w:hint="cs"/>
          <w:sz w:val="24"/>
          <w:szCs w:val="24"/>
          <w:rtl/>
          <w:lang w:bidi="fa-IR"/>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vertAlign w:val="superscript"/>
          <w:rtl/>
        </w:rPr>
        <w:footnoteReference w:id="94"/>
      </w:r>
      <w:r>
        <w:rPr>
          <w:rFonts w:ascii="B Nazanin" w:hAnsi="B Nazanin" w:cs="B Nazanin" w:hint="cs"/>
          <w:sz w:val="24"/>
          <w:szCs w:val="24"/>
          <w:rtl/>
          <w:lang w:bidi="fa-IR"/>
        </w:rPr>
        <w:t xml:space="preserve">، ۱۹۸۰).</w:t>
      </w:r>
    </w:p>
    <w:p>
      <w:pPr>
        <w:pStyle w:val="Heading4"/>
        <w:bidi w:val="1"/>
        <w:jc w:val="right"/>
      </w:pPr>
      <w:r>
        <w:rPr>
          <w:rFonts w:ascii="B Nazanin" w:hAnsi="B Nazanin" w:cs="B Nazanin" w:hint="cs"/>
          <w:b/>
          <w:bCs/>
          <w:sz w:val="24"/>
          <w:szCs w:val="24"/>
          <w:rtl/>
          <w:lang w:bidi="fa-IR"/>
        </w:rPr>
        <w:t xml:space="preserve">۲-۲-۱-۴ جمع‌بندی: جایگاه اضطراب صفتی در تصمیم‌گیری مالی</w:t>
      </w:r>
    </w:p>
    <w:p>
      <w:pPr>
        <w:bidi w:val="1"/>
        <w:spacing w:lineRule="exact" w:line="580" w:after="0"/>
        <w:jc w:val="both"/>
      </w:pPr>
      <w:r>
        <w:rPr>
          <w:rFonts w:ascii="B Nazanin" w:hAnsi="B Nazanin" w:cs="B Nazanin" w:hint="cs"/>
          <w:sz w:val="24"/>
          <w:szCs w:val="24"/>
          <w:rtl/>
          <w:lang w:bidi="fa-IR"/>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sz w:val="24"/>
          <w:szCs w:val="24"/>
          <w:rtl/>
          <w:lang w:bidi="fa-IR"/>
        </w:rPr>
        <w:t xml:space="preserve">یکی از مجراهای اصلی اثرگذاری اضطراب صفتی بر رفتار مالی، تحریف نظام‌مند ادراک ریسک </w:t>
      </w:r>
      <w:r>
        <w:rPr>
          <w:rFonts w:ascii="B Nazanin" w:hAnsi="B Nazanin" w:cs="B Nazanin" w:hint="cs"/>
          <w:vertAlign w:val="superscript"/>
          <w:rtl/>
        </w:rPr>
        <w:footnoteReference w:id="23"/>
      </w:r>
      <w:r>
        <w:rPr>
          <w:rFonts w:ascii="B Nazanin" w:hAnsi="B Nazanin" w:cs="B Nazanin" w:hint="cs"/>
          <w:sz w:val="24"/>
          <w:szCs w:val="24"/>
          <w:rtl/>
          <w:lang w:bidi="fa-IR"/>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sz w:val="24"/>
          <w:szCs w:val="24"/>
          <w:rtl/>
          <w:lang w:bidi="fa-IR"/>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vertAlign w:val="superscript"/>
          <w:rtl/>
        </w:rPr>
        <w:footnoteReference w:id="95"/>
      </w:r>
      <w:r>
        <w:rPr>
          <w:rFonts w:ascii="B Nazanin" w:hAnsi="B Nazanin" w:cs="B Nazanin" w:hint="cs"/>
          <w:sz w:val="24"/>
          <w:szCs w:val="24"/>
          <w:rtl/>
          <w:lang w:bidi="fa-IR"/>
        </w:rPr>
        <w:t xml:space="preserve">، ۲۰۲۲) و شواهد حاکی از آن است که اضطراب مالی به کاهش نگهداری دارایی‌های پرخطر از سوی سرمایه‌گذاران حقیقی منجر می‌شود (آن، لی و وو</w:t>
      </w:r>
      <w:r>
        <w:rPr>
          <w:rFonts w:ascii="B Nazanin" w:hAnsi="B Nazanin" w:cs="B Nazanin" w:hint="cs"/>
          <w:vertAlign w:val="superscript"/>
          <w:rtl/>
        </w:rPr>
        <w:footnoteReference w:id="96"/>
      </w:r>
      <w:r>
        <w:rPr>
          <w:rFonts w:ascii="B Nazanin" w:hAnsi="B Nazanin" w:cs="B Nazanin" w:hint="cs"/>
          <w:sz w:val="24"/>
          <w:szCs w:val="24"/>
          <w:rtl/>
          <w:lang w:bidi="fa-IR"/>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sz w:val="24"/>
          <w:szCs w:val="24"/>
          <w:rtl/>
          <w:lang w:bidi="fa-IR"/>
        </w:rPr>
        <w:t xml:space="preserve">فراتر از جهت‌گیری انتخاب‌ها، اضطراب صفتی بر کیفیت فرایند تصمیم‌گیری </w:t>
      </w:r>
      <w:r>
        <w:rPr>
          <w:rFonts w:ascii="B Nazanin" w:hAnsi="B Nazanin" w:cs="B Nazanin" w:hint="cs"/>
          <w:vertAlign w:val="superscript"/>
          <w:rtl/>
        </w:rPr>
        <w:footnoteReference w:id="24"/>
      </w:r>
      <w:r>
        <w:rPr>
          <w:rFonts w:ascii="B Nazanin" w:hAnsi="B Nazanin" w:cs="B Nazanin" w:hint="cs"/>
          <w:sz w:val="24"/>
          <w:szCs w:val="24"/>
          <w:rtl/>
          <w:lang w:bidi="fa-IR"/>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sz w:val="24"/>
          <w:szCs w:val="24"/>
          <w:rtl/>
          <w:lang w:bidi="fa-IR"/>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pPr>
      <w:r>
        <w:rPr>
          <w:rFonts w:ascii="B Nazanin" w:hAnsi="B Nazanin" w:cs="B Nazanin" w:hint="cs"/>
          <w:b/>
          <w:bCs/>
          <w:sz w:val="26"/>
          <w:szCs w:val="26"/>
          <w:rtl/>
          <w:lang w:bidi="fa-IR"/>
        </w:rPr>
        <w:t xml:space="preserve">۲-۲-۲ طرحواره‌های ناسازگار اولیه</w:t>
      </w:r>
    </w:p>
    <w:p>
      <w:pPr>
        <w:bidi w:val="1"/>
        <w:spacing w:lineRule="exact" w:line="580" w:after="0"/>
        <w:jc w:val="both"/>
      </w:pPr>
      <w:r>
        <w:rPr>
          <w:rFonts w:ascii="B Nazanin" w:hAnsi="B Nazanin" w:cs="B Nazanin" w:hint="cs"/>
          <w:sz w:val="24"/>
          <w:szCs w:val="24"/>
          <w:rtl/>
          <w:lang w:bidi="fa-IR"/>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sz w:val="24"/>
          <w:szCs w:val="24"/>
          <w:rtl/>
          <w:lang w:bidi="fa-IR"/>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sz w:val="24"/>
          <w:szCs w:val="24"/>
          <w:rtl/>
          <w:lang w:bidi="fa-IR"/>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sz w:val="24"/>
          <w:szCs w:val="24"/>
          <w:rtl/>
          <w:lang w:bidi="fa-IR"/>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sz w:val="24"/>
          <w:szCs w:val="24"/>
          <w:rtl/>
          <w:lang w:bidi="fa-IR"/>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sz w:val="24"/>
          <w:szCs w:val="24"/>
          <w:rtl/>
          <w:lang w:bidi="fa-IR"/>
        </w:rPr>
        <w:t xml:space="preserve">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sz w:val="24"/>
          <w:szCs w:val="24"/>
          <w:rtl/>
          <w:lang w:bidi="fa-IR"/>
        </w:rPr>
        <w:t xml:space="preserve">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w:t>
      </w:r>
      <w:r>
        <w:rPr>
          <w:rFonts w:ascii="B Nazanin" w:hAnsi="B Nazanin" w:cs="B Nazanin" w:hint="cs"/>
          <w:vertAlign w:val="superscript"/>
          <w:rtl/>
        </w:rPr>
        <w:footnoteReference w:id="97"/>
      </w:r>
      <w:r>
        <w:rPr>
          <w:rFonts w:ascii="B Nazanin" w:hAnsi="B Nazanin" w:cs="B Nazanin" w:hint="cs"/>
          <w:sz w:val="24"/>
          <w:szCs w:val="24"/>
          <w:rtl/>
          <w:lang w:bidi="fa-IR"/>
        </w:rPr>
        <w:t xml:space="preserve">، ۲۰۲۳).</w:t>
      </w:r>
    </w:p>
    <w:p>
      <w:pPr>
        <w:bidi w:val="1"/>
        <w:spacing w:lineRule="exact" w:line="580" w:after="0"/>
        <w:jc w:val="both"/>
      </w:pPr>
      <w:r>
        <w:rPr>
          <w:rFonts w:ascii="B Nazanin" w:hAnsi="B Nazanin" w:cs="B Nazanin" w:hint="cs"/>
          <w:sz w:val="24"/>
          <w:szCs w:val="24"/>
          <w:rtl/>
          <w:lang w:bidi="fa-IR"/>
        </w:rPr>
        <w:t xml:space="preserve">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sz w:val="24"/>
          <w:szCs w:val="24"/>
          <w:rtl/>
          <w:lang w:bidi="fa-IR"/>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pStyle w:val="Heading4"/>
        <w:bidi w:val="1"/>
        <w:jc w:val="right"/>
      </w:pPr>
      <w:r>
        <w:rPr>
          <w:rFonts w:ascii="B Nazanin" w:hAnsi="B Nazanin" w:cs="B Nazanin" w:hint="cs"/>
          <w:b/>
          <w:bCs/>
          <w:sz w:val="24"/>
          <w:szCs w:val="24"/>
          <w:rtl/>
          <w:lang w:bidi="fa-IR"/>
        </w:rPr>
        <w:t xml:space="preserve">۲-۲-۲-۱ حوزه‌ها و طرحواره‌های ناسازگار اولیه و سبک‌های مقابله‌ای</w:t>
      </w:r>
    </w:p>
    <w:p>
      <w:pPr>
        <w:bidi w:val="1"/>
        <w:spacing w:lineRule="exact" w:line="580" w:after="0"/>
        <w:jc w:val="both"/>
      </w:pPr>
      <w:r>
        <w:rPr>
          <w:rFonts w:ascii="B Nazanin" w:hAnsi="B Nazanin" w:cs="B Nazanin" w:hint="cs"/>
          <w:sz w:val="24"/>
          <w:szCs w:val="24"/>
          <w:rtl/>
          <w:lang w:bidi="fa-IR"/>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 </w:t>
      </w:r>
      <w:r>
        <w:rPr>
          <w:rFonts w:ascii="B Nazanin" w:hAnsi="B Nazanin" w:cs="B Nazanin" w:hint="cs"/>
          <w:vertAlign w:val="superscript"/>
          <w:rtl/>
        </w:rPr>
        <w:footnoteReference w:id="25"/>
      </w:r>
      <w:r>
        <w:rPr>
          <w:rFonts w:ascii="B Nazanin" w:hAnsi="B Nazanin" w:cs="B Nazanin" w:hint="cs"/>
          <w:sz w:val="24"/>
          <w:szCs w:val="24"/>
          <w:rtl/>
          <w:lang w:bidi="fa-IR"/>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B Nazanin" w:hAnsi="B Nazanin" w:cs="B Nazanin" w:hint="cs"/>
          <w:b/>
          <w:bCs/>
          <w:sz w:val="24"/>
          <w:szCs w:val="24"/>
          <w:rtl/>
          <w:lang w:bidi="fa-IR"/>
        </w:rPr>
        <w:t xml:space="preserve">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حوزه (فارسی / انگلیسی)</w:t>
            </w:r>
          </w:p>
        </w:tc>
        <w:tc>
          <w:tcPr>
            <w:tcW w:type="dxa" w:w="2740"/>
          </w:tcPr>
          <w:p>
            <w:pPr>
              <w:bidi w:val="1"/>
              <w:jc w:val="center"/>
            </w:pPr>
            <w:r/>
            <w:r>
              <w:rPr>
                <w:rFonts w:ascii="B Nazanin" w:hAnsi="B Nazanin" w:cs="B Nazanin" w:hint="cs"/>
                <w:b/>
                <w:bCs/>
                <w:sz w:val="22"/>
                <w:szCs w:val="22"/>
                <w:rtl/>
                <w:lang w:bidi="fa-IR"/>
              </w:rPr>
              <w:t xml:space="preserve">نیاز هیجانی بنیادین برآورده‌نشده</w:t>
            </w:r>
          </w:p>
        </w:tc>
        <w:tc>
          <w:tcPr>
            <w:tcW w:type="dxa" w:w="2740"/>
          </w:tcPr>
          <w:p>
            <w:pPr>
              <w:bidi w:val="1"/>
              <w:jc w:val="center"/>
            </w:pPr>
            <w:r/>
            <w:r>
              <w:rPr>
                <w:rFonts w:ascii="B Nazanin" w:hAnsi="B Nazanin" w:cs="B Nazanin" w:hint="cs"/>
                <w:b/>
                <w:bCs/>
                <w:sz w:val="22"/>
                <w:szCs w:val="22"/>
                <w:rtl/>
                <w:lang w:bidi="fa-IR"/>
              </w:rPr>
              <w:t xml:space="preserve">طرحواره‌های حوزه</w:t>
            </w:r>
          </w:p>
        </w:tc>
      </w:tr>
      <w:tr>
        <w:tc>
          <w:tcPr>
            <w:tcW w:type="dxa" w:w="2740"/>
          </w:tcPr>
          <w:p>
            <w:pPr>
              <w:bidi w:val="1"/>
              <w:jc w:val="both"/>
            </w:pPr>
            <w:r/>
            <w:r>
              <w:rPr>
                <w:rFonts w:ascii="B Nazanin" w:hAnsi="B Nazanin" w:cs="B Nazanin" w:hint="cs"/>
                <w:sz w:val="22"/>
                <w:szCs w:val="22"/>
                <w:rtl/>
                <w:lang w:bidi="fa-IR"/>
              </w:rPr>
              <w:t xml:space="preserve">۱. بریدگی و طرد</w:t>
            </w:r>
            <w:r>
              <w:rPr>
                <w:rFonts w:ascii="Times New Roman" w:hAnsi="Times New Roman" w:cs="Times New Roman"/>
                <w:sz w:val="20"/>
                <w:szCs w:val="20"/>
                <w:lang w:val="en-US"/>
              </w:rPr>
              <w:t xml:space="preserve"> (Disconnection and Rejection)</w:t>
            </w:r>
          </w:p>
        </w:tc>
        <w:tc>
          <w:tcPr>
            <w:tcW w:type="dxa" w:w="2740"/>
          </w:tcPr>
          <w:p>
            <w:pPr>
              <w:bidi w:val="1"/>
              <w:jc w:val="both"/>
            </w:pPr>
            <w:r/>
            <w:r>
              <w:rPr>
                <w:rFonts w:ascii="B Nazanin" w:hAnsi="B Nazanin" w:cs="B Nazanin" w:hint="cs"/>
                <w:sz w:val="22"/>
                <w:szCs w:val="22"/>
                <w:rtl/>
                <w:lang w:bidi="fa-IR"/>
              </w:rPr>
              <w:t xml:space="preserve">امنیت، دلبستگی پایدار، همدلی، پذیرش و محبت</w:t>
            </w:r>
          </w:p>
        </w:tc>
        <w:tc>
          <w:tcPr>
            <w:tcW w:type="dxa" w:w="2740"/>
          </w:tcPr>
          <w:p>
            <w:pPr>
              <w:bidi w:val="1"/>
              <w:jc w:val="both"/>
            </w:pPr>
            <w:r/>
            <w:r>
              <w:rPr>
                <w:rFonts w:ascii="B Nazanin" w:hAnsi="B Nazanin" w:cs="B Nazanin" w:hint="cs"/>
                <w:sz w:val="22"/>
                <w:szCs w:val="22"/>
                <w:rtl/>
                <w:lang w:bidi="fa-IR"/>
              </w:rPr>
              <w:t xml:space="preserve">رهاشدگی/بی‌ثباتی</w:t>
            </w:r>
            <w:r>
              <w:rPr>
                <w:rFonts w:ascii="Times New Roman" w:hAnsi="Times New Roman" w:cs="Times New Roman"/>
                <w:sz w:val="20"/>
                <w:szCs w:val="20"/>
                <w:lang w:val="en-US"/>
              </w:rPr>
              <w:t xml:space="preserve"> (Abandonment/Instability)</w:t>
            </w:r>
            <w:r>
              <w:rPr>
                <w:rFonts w:ascii="B Nazanin" w:hAnsi="B Nazanin" w:cs="B Nazanin" w:hint="cs"/>
                <w:sz w:val="22"/>
                <w:szCs w:val="22"/>
                <w:rtl/>
                <w:lang w:bidi="fa-IR"/>
              </w:rPr>
              <w:t xml:space="preserve">؛ بی‌اعتمادی/بدرفتاری</w:t>
            </w:r>
            <w:r>
              <w:rPr>
                <w:rFonts w:ascii="Times New Roman" w:hAnsi="Times New Roman" w:cs="Times New Roman"/>
                <w:sz w:val="20"/>
                <w:szCs w:val="20"/>
                <w:lang w:val="en-US"/>
              </w:rPr>
              <w:t xml:space="preserve"> (Mistrust/Abuse)</w:t>
            </w:r>
            <w:r>
              <w:rPr>
                <w:rFonts w:ascii="B Nazanin" w:hAnsi="B Nazanin" w:cs="B Nazanin" w:hint="cs"/>
                <w:sz w:val="22"/>
                <w:szCs w:val="22"/>
                <w:rtl/>
                <w:lang w:bidi="fa-IR"/>
              </w:rPr>
              <w:t xml:space="preserve">؛ محرومیت هیجانی</w:t>
            </w:r>
            <w:r>
              <w:rPr>
                <w:rFonts w:ascii="Times New Roman" w:hAnsi="Times New Roman" w:cs="Times New Roman"/>
                <w:sz w:val="20"/>
                <w:szCs w:val="20"/>
                <w:lang w:val="en-US"/>
              </w:rPr>
              <w:t xml:space="preserve"> (Emotional Deprivation)</w:t>
            </w:r>
            <w:r>
              <w:rPr>
                <w:rFonts w:ascii="B Nazanin" w:hAnsi="B Nazanin" w:cs="B Nazanin" w:hint="cs"/>
                <w:sz w:val="22"/>
                <w:szCs w:val="22"/>
                <w:rtl/>
                <w:lang w:bidi="fa-IR"/>
              </w:rPr>
              <w:t xml:space="preserve">؛ نقص/شرم</w:t>
            </w:r>
            <w:r>
              <w:rPr>
                <w:rFonts w:ascii="Times New Roman" w:hAnsi="Times New Roman" w:cs="Times New Roman"/>
                <w:sz w:val="20"/>
                <w:szCs w:val="20"/>
                <w:lang w:val="en-US"/>
              </w:rPr>
              <w:t xml:space="preserve"> (Defectiveness/Shame)</w:t>
            </w:r>
            <w:r>
              <w:rPr>
                <w:rFonts w:ascii="B Nazanin" w:hAnsi="B Nazanin" w:cs="B Nazanin" w:hint="cs"/>
                <w:sz w:val="22"/>
                <w:szCs w:val="22"/>
                <w:rtl/>
                <w:lang w:bidi="fa-IR"/>
              </w:rPr>
              <w:t xml:space="preserve">؛ انزوای اجتماعی/بیگانگی</w:t>
            </w:r>
            <w:r>
              <w:rPr>
                <w:rFonts w:ascii="Times New Roman" w:hAnsi="Times New Roman" w:cs="Times New Roman"/>
                <w:sz w:val="20"/>
                <w:szCs w:val="20"/>
                <w:lang w:val="en-US"/>
              </w:rPr>
              <w:t xml:space="preserve"> (Social Isolation/Alienation)</w:t>
            </w:r>
          </w:p>
        </w:tc>
      </w:tr>
      <w:tr>
        <w:tc>
          <w:tcPr>
            <w:tcW w:type="dxa" w:w="2740"/>
          </w:tcPr>
          <w:p>
            <w:pPr>
              <w:bidi w:val="1"/>
              <w:jc w:val="both"/>
            </w:pPr>
            <w:r/>
            <w:r>
              <w:rPr>
                <w:rFonts w:ascii="B Nazanin" w:hAnsi="B Nazanin" w:cs="B Nazanin" w:hint="cs"/>
                <w:sz w:val="22"/>
                <w:szCs w:val="22"/>
                <w:rtl/>
                <w:lang w:bidi="fa-IR"/>
              </w:rPr>
              <w:t xml:space="preserve">۲. آسیب‌دیدگی در خودمختاری و عملکرد</w:t>
            </w:r>
            <w:r>
              <w:rPr>
                <w:rFonts w:ascii="Times New Roman" w:hAnsi="Times New Roman" w:cs="Times New Roman"/>
                <w:sz w:val="20"/>
                <w:szCs w:val="20"/>
                <w:lang w:val="en-US"/>
              </w:rPr>
              <w:t xml:space="preserve"> (Impaired Autonomy and Performance)</w:t>
            </w:r>
          </w:p>
        </w:tc>
        <w:tc>
          <w:tcPr>
            <w:tcW w:type="dxa" w:w="2740"/>
          </w:tcPr>
          <w:p>
            <w:pPr>
              <w:bidi w:val="1"/>
              <w:jc w:val="both"/>
            </w:pPr>
            <w:r/>
            <w:r>
              <w:rPr>
                <w:rFonts w:ascii="B Nazanin" w:hAnsi="B Nazanin" w:cs="B Nazanin" w:hint="cs"/>
                <w:sz w:val="22"/>
                <w:szCs w:val="22"/>
                <w:rtl/>
                <w:lang w:bidi="fa-IR"/>
              </w:rPr>
              <w:t xml:space="preserve">خودمختاری، شایستگی و هویت مستقل</w:t>
            </w:r>
          </w:p>
        </w:tc>
        <w:tc>
          <w:tcPr>
            <w:tcW w:type="dxa" w:w="2740"/>
          </w:tcPr>
          <w:p>
            <w:pPr>
              <w:bidi w:val="1"/>
              <w:jc w:val="both"/>
            </w:pPr>
            <w:r/>
            <w:r>
              <w:rPr>
                <w:rFonts w:ascii="B Nazanin" w:hAnsi="B Nazanin" w:cs="B Nazanin" w:hint="cs"/>
                <w:sz w:val="22"/>
                <w:szCs w:val="22"/>
                <w:rtl/>
                <w:lang w:bidi="fa-IR"/>
              </w:rPr>
              <w:t xml:space="preserve">آسیب‌پذیری نسبت به آسیب یا بیماری</w:t>
            </w:r>
            <w:r>
              <w:rPr>
                <w:rFonts w:ascii="Times New Roman" w:hAnsi="Times New Roman" w:cs="Times New Roman"/>
                <w:sz w:val="20"/>
                <w:szCs w:val="20"/>
                <w:lang w:val="en-US"/>
              </w:rPr>
              <w:t xml:space="preserve"> (Vulnerability to Harm or Illness)</w:t>
            </w:r>
            <w:r>
              <w:rPr>
                <w:rFonts w:ascii="B Nazanin" w:hAnsi="B Nazanin" w:cs="B Nazanin" w:hint="cs"/>
                <w:sz w:val="22"/>
                <w:szCs w:val="22"/>
                <w:rtl/>
                <w:lang w:bidi="fa-IR"/>
              </w:rPr>
              <w:t xml:space="preserve">؛ وابستگی/بی‌کفایتی</w:t>
            </w:r>
            <w:r>
              <w:rPr>
                <w:rFonts w:ascii="Times New Roman" w:hAnsi="Times New Roman" w:cs="Times New Roman"/>
                <w:sz w:val="20"/>
                <w:szCs w:val="20"/>
                <w:lang w:val="en-US"/>
              </w:rPr>
              <w:t xml:space="preserve"> (Dependence/Incompetence)</w:t>
            </w:r>
            <w:r>
              <w:rPr>
                <w:rFonts w:ascii="B Nazanin" w:hAnsi="B Nazanin" w:cs="B Nazanin" w:hint="cs"/>
                <w:sz w:val="22"/>
                <w:szCs w:val="22"/>
                <w:rtl/>
                <w:lang w:bidi="fa-IR"/>
              </w:rPr>
              <w:t xml:space="preserve">؛ درهم‌تنیدگی/خویشتن رشدنایافته</w:t>
            </w:r>
            <w:r>
              <w:rPr>
                <w:rFonts w:ascii="Times New Roman" w:hAnsi="Times New Roman" w:cs="Times New Roman"/>
                <w:sz w:val="20"/>
                <w:szCs w:val="20"/>
                <w:lang w:val="en-US"/>
              </w:rPr>
              <w:t xml:space="preserve"> (Enmeshment/Undeveloped Self)</w:t>
            </w:r>
            <w:r>
              <w:rPr>
                <w:rFonts w:ascii="B Nazanin" w:hAnsi="B Nazanin" w:cs="B Nazanin" w:hint="cs"/>
                <w:sz w:val="22"/>
                <w:szCs w:val="22"/>
                <w:rtl/>
                <w:lang w:bidi="fa-IR"/>
              </w:rPr>
              <w:t xml:space="preserve">؛ شکست</w:t>
            </w:r>
            <w:r>
              <w:rPr>
                <w:rFonts w:ascii="Times New Roman" w:hAnsi="Times New Roman" w:cs="Times New Roman"/>
                <w:sz w:val="20"/>
                <w:szCs w:val="20"/>
                <w:lang w:val="en-US"/>
              </w:rPr>
              <w:t xml:space="preserve"> (Failure)</w:t>
            </w:r>
          </w:p>
        </w:tc>
      </w:tr>
      <w:tr>
        <w:tc>
          <w:tcPr>
            <w:tcW w:type="dxa" w:w="2740"/>
          </w:tcPr>
          <w:p>
            <w:pPr>
              <w:bidi w:val="1"/>
              <w:jc w:val="both"/>
            </w:pPr>
            <w:r/>
            <w:r>
              <w:rPr>
                <w:rFonts w:ascii="B Nazanin" w:hAnsi="B Nazanin" w:cs="B Nazanin" w:hint="cs"/>
                <w:sz w:val="22"/>
                <w:szCs w:val="22"/>
                <w:rtl/>
                <w:lang w:bidi="fa-IR"/>
              </w:rPr>
              <w:t xml:space="preserve">۳. محدودیت‌های مختل</w:t>
            </w:r>
            <w:r>
              <w:rPr>
                <w:rFonts w:ascii="Times New Roman" w:hAnsi="Times New Roman" w:cs="Times New Roman"/>
                <w:sz w:val="20"/>
                <w:szCs w:val="20"/>
                <w:lang w:val="en-US"/>
              </w:rPr>
              <w:t xml:space="preserve"> (Impaired Limits)</w:t>
            </w:r>
          </w:p>
        </w:tc>
        <w:tc>
          <w:tcPr>
            <w:tcW w:type="dxa" w:w="2740"/>
          </w:tcPr>
          <w:p>
            <w:pPr>
              <w:bidi w:val="1"/>
              <w:jc w:val="both"/>
            </w:pPr>
            <w:r/>
            <w:r>
              <w:rPr>
                <w:rFonts w:ascii="B Nazanin" w:hAnsi="B Nazanin" w:cs="B Nazanin" w:hint="cs"/>
                <w:sz w:val="22"/>
                <w:szCs w:val="22"/>
                <w:rtl/>
                <w:lang w:bidi="fa-IR"/>
              </w:rPr>
              <w:t xml:space="preserve">محدودیت‌های واقع‌بینانه، خودکنترلی و مسئولیت‌پذیری</w:t>
            </w:r>
          </w:p>
        </w:tc>
        <w:tc>
          <w:tcPr>
            <w:tcW w:type="dxa" w:w="2740"/>
          </w:tcPr>
          <w:p>
            <w:pPr>
              <w:bidi w:val="1"/>
              <w:jc w:val="both"/>
            </w:pPr>
            <w:r/>
            <w:r>
              <w:rPr>
                <w:rFonts w:ascii="B Nazanin" w:hAnsi="B Nazanin" w:cs="B Nazanin" w:hint="cs"/>
                <w:sz w:val="22"/>
                <w:szCs w:val="22"/>
                <w:rtl/>
                <w:lang w:bidi="fa-IR"/>
              </w:rPr>
              <w:t xml:space="preserve">استحقاق/بزرگ‌منشی</w:t>
            </w:r>
            <w:r>
              <w:rPr>
                <w:rFonts w:ascii="Times New Roman" w:hAnsi="Times New Roman" w:cs="Times New Roman"/>
                <w:sz w:val="20"/>
                <w:szCs w:val="20"/>
                <w:lang w:val="en-US"/>
              </w:rPr>
              <w:t xml:space="preserve"> (Entitlement/Grandiosity)</w:t>
            </w:r>
            <w:r>
              <w:rPr>
                <w:rFonts w:ascii="B Nazanin" w:hAnsi="B Nazanin" w:cs="B Nazanin" w:hint="cs"/>
                <w:sz w:val="22"/>
                <w:szCs w:val="22"/>
                <w:rtl/>
                <w:lang w:bidi="fa-IR"/>
              </w:rPr>
              <w:t xml:space="preserve">؛ خویشتن‌داری/خودانضباطی ناکافی</w:t>
            </w:r>
            <w:r>
              <w:rPr>
                <w:rFonts w:ascii="Times New Roman" w:hAnsi="Times New Roman" w:cs="Times New Roman"/>
                <w:sz w:val="20"/>
                <w:szCs w:val="20"/>
                <w:lang w:val="en-US"/>
              </w:rPr>
              <w:t xml:space="preserve"> (Insufficient Self-Control/Self-Discipline)</w:t>
            </w:r>
          </w:p>
        </w:tc>
      </w:tr>
      <w:tr>
        <w:tc>
          <w:tcPr>
            <w:tcW w:type="dxa" w:w="2740"/>
          </w:tcPr>
          <w:p>
            <w:pPr>
              <w:bidi w:val="1"/>
              <w:jc w:val="both"/>
            </w:pPr>
            <w:r/>
            <w:r>
              <w:rPr>
                <w:rFonts w:ascii="B Nazanin" w:hAnsi="B Nazanin" w:cs="B Nazanin" w:hint="cs"/>
                <w:sz w:val="22"/>
                <w:szCs w:val="22"/>
                <w:rtl/>
                <w:lang w:bidi="fa-IR"/>
              </w:rPr>
              <w:t xml:space="preserve">۴. دیگرجهت‌مندی</w:t>
            </w:r>
            <w:r>
              <w:rPr>
                <w:rFonts w:ascii="Times New Roman" w:hAnsi="Times New Roman" w:cs="Times New Roman"/>
                <w:sz w:val="20"/>
                <w:szCs w:val="20"/>
                <w:lang w:val="en-US"/>
              </w:rPr>
              <w:t xml:space="preserve"> (Other-Directedness)</w:t>
            </w:r>
          </w:p>
        </w:tc>
        <w:tc>
          <w:tcPr>
            <w:tcW w:type="dxa" w:w="2740"/>
          </w:tcPr>
          <w:p>
            <w:pPr>
              <w:bidi w:val="1"/>
              <w:jc w:val="both"/>
            </w:pPr>
            <w:r/>
            <w:r>
              <w:rPr>
                <w:rFonts w:ascii="B Nazanin" w:hAnsi="B Nazanin" w:cs="B Nazanin" w:hint="cs"/>
                <w:sz w:val="22"/>
                <w:szCs w:val="22"/>
                <w:rtl/>
                <w:lang w:bidi="fa-IR"/>
              </w:rPr>
              <w:t xml:space="preserve">بیان آزاد نیازها و هیجان‌ها و روابط متقابل</w:t>
            </w:r>
          </w:p>
        </w:tc>
        <w:tc>
          <w:tcPr>
            <w:tcW w:type="dxa" w:w="2740"/>
          </w:tcPr>
          <w:p>
            <w:pPr>
              <w:bidi w:val="1"/>
              <w:jc w:val="both"/>
            </w:pPr>
            <w:r/>
            <w:r>
              <w:rPr>
                <w:rFonts w:ascii="B Nazanin" w:hAnsi="B Nazanin" w:cs="B Nazanin" w:hint="cs"/>
                <w:sz w:val="22"/>
                <w:szCs w:val="22"/>
                <w:rtl/>
                <w:lang w:bidi="fa-IR"/>
              </w:rPr>
              <w:t xml:space="preserve">اطاعت</w:t>
            </w:r>
            <w:r>
              <w:rPr>
                <w:rFonts w:ascii="Times New Roman" w:hAnsi="Times New Roman" w:cs="Times New Roman"/>
                <w:sz w:val="20"/>
                <w:szCs w:val="20"/>
                <w:lang w:val="en-US"/>
              </w:rPr>
              <w:t xml:space="preserve"> (Subjugation)</w:t>
            </w:r>
            <w:r>
              <w:rPr>
                <w:rFonts w:ascii="B Nazanin" w:hAnsi="B Nazanin" w:cs="B Nazanin" w:hint="cs"/>
                <w:sz w:val="22"/>
                <w:szCs w:val="22"/>
                <w:rtl/>
                <w:lang w:bidi="fa-IR"/>
              </w:rPr>
              <w:t xml:space="preserve">؛ ایثار</w:t>
            </w:r>
            <w:r>
              <w:rPr>
                <w:rFonts w:ascii="Times New Roman" w:hAnsi="Times New Roman" w:cs="Times New Roman"/>
                <w:sz w:val="20"/>
                <w:szCs w:val="20"/>
                <w:lang w:val="en-US"/>
              </w:rPr>
              <w:t xml:space="preserve"> (Self-Sacrifice)</w:t>
            </w:r>
            <w:r>
              <w:rPr>
                <w:rFonts w:ascii="B Nazanin" w:hAnsi="B Nazanin" w:cs="B Nazanin" w:hint="cs"/>
                <w:sz w:val="22"/>
                <w:szCs w:val="22"/>
                <w:rtl/>
                <w:lang w:bidi="fa-IR"/>
              </w:rPr>
              <w:t xml:space="preserve">؛ تأییدطلبی/جلب توجه</w:t>
            </w:r>
            <w:r>
              <w:rPr>
                <w:rFonts w:ascii="Times New Roman" w:hAnsi="Times New Roman" w:cs="Times New Roman"/>
                <w:sz w:val="20"/>
                <w:szCs w:val="20"/>
                <w:lang w:val="en-US"/>
              </w:rPr>
              <w:t xml:space="preserve"> (Approval-Seeking/Recognition-Seeking)</w:t>
            </w:r>
          </w:p>
        </w:tc>
      </w:tr>
      <w:tr>
        <w:tc>
          <w:tcPr>
            <w:tcW w:type="dxa" w:w="2740"/>
          </w:tcPr>
          <w:p>
            <w:pPr>
              <w:bidi w:val="1"/>
              <w:jc w:val="both"/>
            </w:pPr>
            <w:r/>
            <w:r>
              <w:rPr>
                <w:rFonts w:ascii="B Nazanin" w:hAnsi="B Nazanin" w:cs="B Nazanin" w:hint="cs"/>
                <w:sz w:val="22"/>
                <w:szCs w:val="22"/>
                <w:rtl/>
                <w:lang w:bidi="fa-IR"/>
              </w:rPr>
              <w:t xml:space="preserve">۵. گوش‌به‌زنگی بیش از حد و بازداری</w:t>
            </w:r>
            <w:r>
              <w:rPr>
                <w:rFonts w:ascii="Times New Roman" w:hAnsi="Times New Roman" w:cs="Times New Roman"/>
                <w:sz w:val="20"/>
                <w:szCs w:val="20"/>
                <w:lang w:val="en-US"/>
              </w:rPr>
              <w:t xml:space="preserve"> (Overvigilance and Inhibition)</w:t>
            </w:r>
          </w:p>
        </w:tc>
        <w:tc>
          <w:tcPr>
            <w:tcW w:type="dxa" w:w="2740"/>
          </w:tcPr>
          <w:p>
            <w:pPr>
              <w:bidi w:val="1"/>
              <w:jc w:val="both"/>
            </w:pPr>
            <w:r/>
            <w:r>
              <w:rPr>
                <w:rFonts w:ascii="B Nazanin" w:hAnsi="B Nazanin" w:cs="B Nazanin" w:hint="cs"/>
                <w:sz w:val="22"/>
                <w:szCs w:val="22"/>
                <w:rtl/>
                <w:lang w:bidi="fa-IR"/>
              </w:rPr>
              <w:t xml:space="preserve">خودانگیختگی، بازی و معیارهای انعطاف‌پذیر</w:t>
            </w:r>
          </w:p>
        </w:tc>
        <w:tc>
          <w:tcPr>
            <w:tcW w:type="dxa" w:w="2740"/>
          </w:tcPr>
          <w:p>
            <w:pPr>
              <w:bidi w:val="1"/>
              <w:jc w:val="both"/>
            </w:pPr>
            <w:r/>
            <w:r>
              <w:rPr>
                <w:rFonts w:ascii="B Nazanin" w:hAnsi="B Nazanin" w:cs="B Nazanin" w:hint="cs"/>
                <w:sz w:val="22"/>
                <w:szCs w:val="22"/>
                <w:rtl/>
                <w:lang w:bidi="fa-IR"/>
              </w:rPr>
              <w:t xml:space="preserve">منفی‌گرایی/بدبینی</w:t>
            </w:r>
            <w:r>
              <w:rPr>
                <w:rFonts w:ascii="Times New Roman" w:hAnsi="Times New Roman" w:cs="Times New Roman"/>
                <w:sz w:val="20"/>
                <w:szCs w:val="20"/>
                <w:lang w:val="en-US"/>
              </w:rPr>
              <w:t xml:space="preserve"> (Negativity/Pessimism)</w:t>
            </w:r>
            <w:r>
              <w:rPr>
                <w:rFonts w:ascii="B Nazanin" w:hAnsi="B Nazanin" w:cs="B Nazanin" w:hint="cs"/>
                <w:sz w:val="22"/>
                <w:szCs w:val="22"/>
                <w:rtl/>
                <w:lang w:bidi="fa-IR"/>
              </w:rPr>
              <w:t xml:space="preserve">؛ بازداری هیجانی</w:t>
            </w:r>
            <w:r>
              <w:rPr>
                <w:rFonts w:ascii="Times New Roman" w:hAnsi="Times New Roman" w:cs="Times New Roman"/>
                <w:sz w:val="20"/>
                <w:szCs w:val="20"/>
                <w:lang w:val="en-US"/>
              </w:rPr>
              <w:t xml:space="preserve"> (Emotional Inhibition)</w:t>
            </w:r>
            <w:r>
              <w:rPr>
                <w:rFonts w:ascii="B Nazanin" w:hAnsi="B Nazanin" w:cs="B Nazanin" w:hint="cs"/>
                <w:sz w:val="22"/>
                <w:szCs w:val="22"/>
                <w:rtl/>
                <w:lang w:bidi="fa-IR"/>
              </w:rPr>
              <w:t xml:space="preserve">؛ معیارهای سرسختانه/کمال‌گرایی افراطی</w:t>
            </w:r>
            <w:r>
              <w:rPr>
                <w:rFonts w:ascii="Times New Roman" w:hAnsi="Times New Roman" w:cs="Times New Roman"/>
                <w:sz w:val="20"/>
                <w:szCs w:val="20"/>
                <w:lang w:val="en-US"/>
              </w:rPr>
              <w:t xml:space="preserve"> (Unrelenting Standards/Hypercriticalness)</w:t>
            </w:r>
            <w:r>
              <w:rPr>
                <w:rFonts w:ascii="B Nazanin" w:hAnsi="B Nazanin" w:cs="B Nazanin" w:hint="cs"/>
                <w:sz w:val="22"/>
                <w:szCs w:val="22"/>
                <w:rtl/>
                <w:lang w:bidi="fa-IR"/>
              </w:rPr>
              <w:t xml:space="preserve">؛ تنبیه‌گری</w:t>
            </w:r>
            <w:r>
              <w:rPr>
                <w:rFonts w:ascii="Times New Roman" w:hAnsi="Times New Roman" w:cs="Times New Roman"/>
                <w:sz w:val="20"/>
                <w:szCs w:val="20"/>
                <w:lang w:val="en-US"/>
              </w:rPr>
              <w:t xml:space="preserve"> (Punitiveness)</w:t>
            </w:r>
          </w:p>
        </w:tc>
      </w:tr>
    </w:tbl>
    <w:p>
      <w:pPr>
        <w:bidi w:val="1"/>
        <w:spacing w:lineRule="exact" w:line="580" w:after="0"/>
        <w:jc w:val="both"/>
      </w:pPr>
      <w:r>
        <w:rPr>
          <w:rFonts w:ascii="B Nazanin" w:hAnsi="B Nazanin" w:cs="B Nazanin" w:hint="cs"/>
          <w:sz w:val="24"/>
          <w:szCs w:val="24"/>
          <w:rtl/>
          <w:lang w:bidi="fa-IR"/>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sz w:val="24"/>
          <w:szCs w:val="24"/>
          <w:rtl/>
          <w:lang w:bidi="fa-IR"/>
        </w:rPr>
        <w:t xml:space="preserve">فعال شدن هر یک از این طرحواره‌ها در بزرگسالی، لزوماً به یک رفتار مشخص و قابل پیش‌بینی منجر نمی‌شود؛ بلکه واکنش رفتاری فرد به سبک مقابله‌ای </w:t>
      </w:r>
      <w:r>
        <w:rPr>
          <w:rFonts w:ascii="B Nazanin" w:hAnsi="B Nazanin" w:cs="B Nazanin" w:hint="cs"/>
          <w:vertAlign w:val="superscript"/>
          <w:rtl/>
        </w:rPr>
        <w:footnoteReference w:id="26"/>
      </w:r>
      <w:r>
        <w:rPr>
          <w:rFonts w:ascii="B Nazanin" w:hAnsi="B Nazanin" w:cs="B Nazanin" w:hint="cs"/>
          <w:sz w:val="24"/>
          <w:szCs w:val="24"/>
          <w:rtl/>
          <w:lang w:bidi="fa-IR"/>
        </w:rPr>
        <w:t xml:space="preserve"> او بستگی دارد. یانگ و همکاران سه سبک مقابله‌ای کلی را شناسایی کرده‌اند: تسلیم </w:t>
      </w:r>
      <w:r>
        <w:rPr>
          <w:rFonts w:ascii="B Nazanin" w:hAnsi="B Nazanin" w:cs="B Nazanin" w:hint="cs"/>
          <w:vertAlign w:val="superscript"/>
          <w:rtl/>
        </w:rPr>
        <w:footnoteReference w:id="27"/>
      </w:r>
      <w:r>
        <w:rPr>
          <w:rFonts w:ascii="B Nazanin" w:hAnsi="B Nazanin" w:cs="B Nazanin" w:hint="cs"/>
          <w:sz w:val="24"/>
          <w:szCs w:val="24"/>
          <w:rtl/>
          <w:lang w:bidi="fa-IR"/>
        </w:rPr>
        <w:t xml:space="preserve">، که در آن فرد پیام طرحواره را می‌پذیرد و تجربه‌های دردناک اولیه را در زندگی بزرگسالی بازتولید می‌کند؛ اجتناب </w:t>
      </w:r>
      <w:r>
        <w:rPr>
          <w:rFonts w:ascii="B Nazanin" w:hAnsi="B Nazanin" w:cs="B Nazanin" w:hint="cs"/>
          <w:vertAlign w:val="superscript"/>
          <w:rtl/>
        </w:rPr>
        <w:footnoteReference w:id="28"/>
      </w:r>
      <w:r>
        <w:rPr>
          <w:rFonts w:ascii="B Nazanin" w:hAnsi="B Nazanin" w:cs="B Nazanin" w:hint="cs"/>
          <w:sz w:val="24"/>
          <w:szCs w:val="24"/>
          <w:rtl/>
          <w:lang w:bidi="fa-IR"/>
        </w:rPr>
        <w:t xml:space="preserve">، که در آن فرد چیدمان زندگی خود را به‌گونه‌ای تنظیم می‌کند که طرحواره فعال نشود و از موقعیت‌ها، افکار و هیجان‌های مرتبط با آن می‌گریزد؛ و جبران افراطی </w:t>
      </w:r>
      <w:r>
        <w:rPr>
          <w:rFonts w:ascii="B Nazanin" w:hAnsi="B Nazanin" w:cs="B Nazanin" w:hint="cs"/>
          <w:vertAlign w:val="superscript"/>
          <w:rtl/>
        </w:rPr>
        <w:footnoteReference w:id="29"/>
      </w:r>
      <w:r>
        <w:rPr>
          <w:rFonts w:ascii="B Nazanin" w:hAnsi="B Nazanin" w:cs="B Nazanin" w:hint="cs"/>
          <w:sz w:val="24"/>
          <w:szCs w:val="24"/>
          <w:rtl/>
          <w:lang w:bidi="fa-IR"/>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sz w:val="24"/>
          <w:szCs w:val="24"/>
          <w:rtl/>
          <w:lang w:bidi="fa-IR"/>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sz w:val="24"/>
          <w:szCs w:val="24"/>
          <w:rtl/>
          <w:lang w:bidi="fa-IR"/>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vertAlign w:val="superscript"/>
          <w:rtl/>
        </w:rPr>
        <w:footnoteReference w:id="98"/>
      </w:r>
      <w:r>
        <w:rPr>
          <w:rFonts w:ascii="B Nazanin" w:hAnsi="B Nazanin" w:cs="B Nazanin" w:hint="cs"/>
          <w:sz w:val="24"/>
          <w:szCs w:val="24"/>
          <w:rtl/>
          <w:lang w:bidi="fa-IR"/>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w:t>
      </w:r>
      <w:r>
        <w:rPr>
          <w:rFonts w:ascii="Times New Roman" w:hAnsi="Times New Roman" w:cs="Times New Roman"/>
          <w:sz w:val="22"/>
          <w:szCs w:val="22"/>
          <w:lang w:val="en-US"/>
        </w:rPr>
        <w:t xml:space="preserve"> (YSQ–L3) </w:t>
      </w:r>
      <w:r>
        <w:rPr>
          <w:rFonts w:ascii="B Nazanin" w:hAnsi="B Nazanin" w:cs="B Nazanin" w:hint="cs"/>
          <w:sz w:val="24"/>
          <w:szCs w:val="24"/>
          <w:rtl/>
          <w:lang w:bidi="fa-IR"/>
        </w:rPr>
        <w:t xml:space="preserve">را در یک مطالعه مقدماتی ارزیابی کردند و شواهدی برای ساختار عاملی این نسخه ارائه دادند (ساژینو و همکاران</w:t>
      </w:r>
      <w:r>
        <w:rPr>
          <w:rFonts w:ascii="B Nazanin" w:hAnsi="B Nazanin" w:cs="B Nazanin" w:hint="cs"/>
          <w:vertAlign w:val="superscript"/>
          <w:rtl/>
        </w:rPr>
        <w:footnoteReference w:id="99"/>
      </w:r>
      <w:r>
        <w:rPr>
          <w:rFonts w:ascii="B Nazanin" w:hAnsi="B Nazanin" w:cs="B Nazanin" w:hint="cs"/>
          <w:sz w:val="24"/>
          <w:szCs w:val="24"/>
          <w:rtl/>
          <w:lang w:bidi="fa-IR"/>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sz w:val="24"/>
          <w:szCs w:val="24"/>
          <w:rtl/>
          <w:lang w:bidi="fa-IR"/>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pPr>
      <w:r>
        <w:rPr>
          <w:rFonts w:ascii="B Nazanin" w:hAnsi="B Nazanin" w:cs="B Nazanin" w:hint="cs"/>
          <w:b/>
          <w:bCs/>
          <w:sz w:val="26"/>
          <w:szCs w:val="26"/>
          <w:rtl/>
          <w:lang w:bidi="fa-IR"/>
        </w:rPr>
        <w:t xml:space="preserve">۲-۲-۳ رفتارهای مالی پرخطر</w:t>
      </w:r>
    </w:p>
    <w:p>
      <w:pPr>
        <w:bidi w:val="1"/>
        <w:spacing w:lineRule="exact" w:line="580" w:after="0"/>
        <w:jc w:val="both"/>
      </w:pPr>
      <w:r>
        <w:rPr>
          <w:rFonts w:ascii="B Nazanin" w:hAnsi="B Nazanin" w:cs="B Nazanin" w:hint="cs"/>
          <w:sz w:val="24"/>
          <w:szCs w:val="24"/>
          <w:rtl/>
          <w:lang w:bidi="fa-IR"/>
        </w:rPr>
        <w:t xml:space="preserve">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B Nazanin" w:hAnsi="B Nazanin" w:cs="B Nazanin" w:hint="cs"/>
          <w:sz w:val="24"/>
          <w:szCs w:val="24"/>
          <w:rtl/>
          <w:lang w:bidi="fa-IR"/>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sz w:val="24"/>
          <w:szCs w:val="24"/>
          <w:rtl/>
          <w:lang w:bidi="fa-IR"/>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sz w:val="24"/>
          <w:szCs w:val="24"/>
          <w:rtl/>
          <w:lang w:bidi="fa-IR"/>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sz w:val="24"/>
          <w:szCs w:val="24"/>
          <w:rtl/>
          <w:lang w:bidi="fa-IR"/>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B Nazanin" w:hAnsi="B Nazanin" w:cs="B Nazanin" w:hint="cs"/>
          <w:sz w:val="24"/>
          <w:szCs w:val="24"/>
          <w:rtl/>
          <w:lang w:bidi="fa-IR"/>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sz w:val="24"/>
          <w:szCs w:val="24"/>
          <w:rtl/>
          <w:lang w:bidi="fa-IR"/>
        </w:rPr>
        <w:t xml:space="preserve">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sz w:val="24"/>
          <w:szCs w:val="24"/>
          <w:rtl/>
          <w:lang w:bidi="fa-IR"/>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sz w:val="24"/>
          <w:szCs w:val="24"/>
          <w:rtl/>
          <w:lang w:bidi="fa-IR"/>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B Nazanin" w:hAnsi="B Nazanin" w:cs="B Nazanin" w:hint="cs"/>
          <w:sz w:val="24"/>
          <w:szCs w:val="24"/>
          <w:rtl/>
          <w:lang w:bidi="fa-IR"/>
        </w:rPr>
        <w:t xml:space="preserve">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sz w:val="24"/>
          <w:szCs w:val="24"/>
          <w:rtl/>
          <w:lang w:bidi="fa-IR"/>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sz w:val="24"/>
          <w:szCs w:val="24"/>
          <w:rtl/>
          <w:lang w:bidi="fa-IR"/>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sz w:val="24"/>
          <w:szCs w:val="24"/>
          <w:rtl/>
          <w:lang w:bidi="fa-IR"/>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B Nazanin" w:hAnsi="B Nazanin" w:cs="B Nazanin" w:hint="cs"/>
          <w:sz w:val="24"/>
          <w:szCs w:val="24"/>
          <w:rtl/>
          <w:lang w:bidi="fa-IR"/>
        </w:rPr>
        <w:t xml:space="preserve">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pStyle w:val="Heading4"/>
        <w:bidi w:val="1"/>
        <w:jc w:val="right"/>
      </w:pPr>
      <w:r>
        <w:rPr>
          <w:rFonts w:ascii="B Nazanin" w:hAnsi="B Nazanin" w:cs="B Nazanin" w:hint="cs"/>
          <w:b/>
          <w:bCs/>
          <w:sz w:val="24"/>
          <w:szCs w:val="24"/>
          <w:rtl/>
          <w:lang w:bidi="fa-IR"/>
        </w:rPr>
        <w:t xml:space="preserve">۲-۲-۳-۱ تحمل ریسک مالی</w:t>
      </w:r>
    </w:p>
    <w:p>
      <w:pPr>
        <w:bidi w:val="1"/>
        <w:spacing w:lineRule="exact" w:line="580" w:after="0"/>
        <w:jc w:val="both"/>
      </w:pPr>
      <w:r>
        <w:rPr>
          <w:rFonts w:ascii="B Nazanin" w:hAnsi="B Nazanin" w:cs="B Nazanin" w:hint="cs"/>
          <w:sz w:val="24"/>
          <w:szCs w:val="24"/>
          <w:rtl/>
          <w:lang w:bidi="fa-IR"/>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 </w:t>
      </w:r>
      <w:r>
        <w:rPr>
          <w:rFonts w:ascii="B Nazanin" w:hAnsi="B Nazanin" w:cs="B Nazanin" w:hint="cs"/>
          <w:vertAlign w:val="superscript"/>
          <w:rtl/>
        </w:rPr>
        <w:footnoteReference w:id="30"/>
      </w:r>
      <w:r>
        <w:rPr>
          <w:rFonts w:ascii="B Nazanin" w:hAnsi="B Nazanin" w:cs="B Nazanin" w:hint="cs"/>
          <w:sz w:val="24"/>
          <w:szCs w:val="24"/>
          <w:rtl/>
          <w:lang w:bidi="fa-IR"/>
        </w:rPr>
        <w:t xml:space="preserve"> و تحمل ذهنی ریسک </w:t>
      </w:r>
      <w:r>
        <w:rPr>
          <w:rFonts w:ascii="B Nazanin" w:hAnsi="B Nazanin" w:cs="B Nazanin" w:hint="cs"/>
          <w:vertAlign w:val="superscript"/>
          <w:rtl/>
        </w:rPr>
        <w:footnoteReference w:id="31"/>
      </w:r>
      <w:r>
        <w:rPr>
          <w:rFonts w:ascii="B Nazanin" w:hAnsi="B Nazanin" w:cs="B Nazanin" w:hint="cs"/>
          <w:sz w:val="24"/>
          <w:szCs w:val="24"/>
          <w:rtl/>
          <w:lang w:bidi="fa-IR"/>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sz w:val="24"/>
          <w:szCs w:val="24"/>
          <w:rtl/>
          <w:lang w:bidi="fa-IR"/>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B Nazanin" w:hAnsi="B Nazanin" w:cs="B Nazanin" w:hint="cs"/>
          <w:sz w:val="24"/>
          <w:szCs w:val="24"/>
          <w:rtl/>
          <w:lang w:bidi="fa-IR"/>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pPr>
      <w:r>
        <w:rPr>
          <w:rFonts w:ascii="B Nazanin" w:hAnsi="B Nazanin" w:cs="B Nazanin" w:hint="cs"/>
          <w:b/>
          <w:bCs/>
          <w:sz w:val="26"/>
          <w:szCs w:val="26"/>
          <w:rtl/>
          <w:lang w:bidi="fa-IR"/>
        </w:rPr>
        <w:t xml:space="preserve">۲-۲-۴ روابط بین متغیرها و مدل نظری میانجی‌گری</w:t>
      </w:r>
    </w:p>
    <w:p>
      <w:pPr>
        <w:bidi w:val="1"/>
        <w:spacing w:lineRule="exact" w:line="580" w:after="0"/>
        <w:jc w:val="both"/>
      </w:pPr>
      <w:r>
        <w:rPr>
          <w:rFonts w:ascii="B Nazanin" w:hAnsi="B Nazanin" w:cs="B Nazanin" w:hint="cs"/>
          <w:sz w:val="24"/>
          <w:szCs w:val="24"/>
          <w:rtl/>
          <w:lang w:bidi="fa-IR"/>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sz w:val="24"/>
          <w:szCs w:val="24"/>
          <w:rtl/>
          <w:lang w:bidi="fa-IR"/>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sz w:val="24"/>
          <w:szCs w:val="24"/>
          <w:rtl/>
          <w:lang w:bidi="fa-IR"/>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B Nazanin" w:hAnsi="B Nazanin" w:cs="B Nazanin" w:hint="cs"/>
          <w:sz w:val="24"/>
          <w:szCs w:val="24"/>
          <w:rtl/>
          <w:lang w:bidi="fa-IR"/>
        </w:rPr>
        <w:t xml:space="preserve">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sz w:val="24"/>
          <w:szCs w:val="24"/>
          <w:rtl/>
          <w:lang w:bidi="fa-IR"/>
        </w:rPr>
        <w:t xml:space="preserve">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pStyle w:val="Heading4"/>
        <w:bidi w:val="1"/>
        <w:jc w:val="right"/>
      </w:pPr>
      <w:r>
        <w:rPr>
          <w:rFonts w:ascii="B Nazanin" w:hAnsi="B Nazanin" w:cs="B Nazanin" w:hint="cs"/>
          <w:b/>
          <w:bCs/>
          <w:sz w:val="24"/>
          <w:szCs w:val="24"/>
          <w:rtl/>
          <w:lang w:bidi="fa-IR"/>
        </w:rPr>
        <w:t xml:space="preserve">۲-۲-۴-۱ سازوکار نظری مدل میانجی‌گری</w:t>
      </w:r>
    </w:p>
    <w:p>
      <w:pPr>
        <w:bidi w:val="1"/>
        <w:spacing w:lineRule="exact" w:line="580" w:after="0"/>
        <w:jc w:val="both"/>
      </w:pPr>
      <w:r>
        <w:rPr>
          <w:rFonts w:ascii="B Nazanin" w:hAnsi="B Nazanin" w:cs="B Nazanin" w:hint="cs"/>
          <w:sz w:val="24"/>
          <w:szCs w:val="24"/>
          <w:rtl/>
          <w:lang w:bidi="fa-IR"/>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vertAlign w:val="superscript"/>
          <w:rtl/>
        </w:rPr>
        <w:footnoteReference w:id="100"/>
      </w:r>
      <w:r>
        <w:rPr>
          <w:rFonts w:ascii="B Nazanin" w:hAnsi="B Nazanin" w:cs="B Nazanin" w:hint="cs"/>
          <w:sz w:val="24"/>
          <w:szCs w:val="24"/>
          <w:rtl/>
          <w:lang w:bidi="fa-IR"/>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sz w:val="24"/>
          <w:szCs w:val="24"/>
          <w:rtl/>
          <w:lang w:bidi="fa-IR"/>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sz w:val="24"/>
          <w:szCs w:val="24"/>
          <w:rtl/>
          <w:lang w:bidi="fa-IR"/>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vertAlign w:val="superscript"/>
          <w:rtl/>
        </w:rPr>
        <w:footnoteReference w:id="101"/>
      </w:r>
      <w:r>
        <w:rPr>
          <w:rFonts w:ascii="B Nazanin" w:hAnsi="B Nazanin" w:cs="B Nazanin" w:hint="cs"/>
          <w:sz w:val="24"/>
          <w:szCs w:val="24"/>
          <w:rtl/>
          <w:lang w:bidi="fa-IR"/>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sz w:val="24"/>
          <w:szCs w:val="24"/>
          <w:rtl/>
          <w:lang w:bidi="fa-IR"/>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 </w:t>
      </w:r>
      <w:r>
        <w:rPr>
          <w:rFonts w:ascii="B Nazanin" w:hAnsi="B Nazanin" w:cs="B Nazanin" w:hint="cs"/>
          <w:vertAlign w:val="superscript"/>
          <w:rtl/>
        </w:rPr>
        <w:footnoteReference w:id="32"/>
      </w:r>
      <w:r>
        <w:rPr>
          <w:rFonts w:ascii="B Nazanin" w:hAnsi="B Nazanin" w:cs="B Nazanin" w:hint="cs"/>
          <w:sz w:val="24"/>
          <w:szCs w:val="24"/>
          <w:rtl/>
          <w:lang w:bidi="fa-IR"/>
        </w:rPr>
        <w:t xml:space="preserve"> برآورد کرد که امکان سنجش هم‌زمان مسیرها و ارزیابی برازش کلی مدل را فراهم می‌آورد، و نیز در چارچوب رگرسیون‌محور با الگوی شماره ۴ ابزار پراسس </w:t>
      </w:r>
      <w:r>
        <w:rPr>
          <w:rFonts w:ascii="B Nazanin" w:hAnsi="B Nazanin" w:cs="B Nazanin" w:hint="cs"/>
          <w:vertAlign w:val="superscript"/>
          <w:rtl/>
        </w:rPr>
        <w:footnoteReference w:id="33"/>
      </w:r>
      <w:r>
        <w:rPr>
          <w:rFonts w:ascii="Times New Roman" w:hAnsi="Times New Roman" w:cs="Times New Roman"/>
          <w:sz w:val="22"/>
          <w:szCs w:val="22"/>
          <w:lang w:val="en-US"/>
        </w:rPr>
        <w:t xml:space="preserve"> (PROCESS Model 4) </w:t>
      </w:r>
      <w:r>
        <w:rPr>
          <w:rFonts w:ascii="B Nazanin" w:hAnsi="B Nazanin" w:cs="B Nazanin" w:hint="cs"/>
          <w:sz w:val="24"/>
          <w:szCs w:val="24"/>
          <w:rtl/>
          <w:lang w:bidi="fa-IR"/>
        </w:rPr>
        <w:t xml:space="preserve">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sz w:val="24"/>
          <w:szCs w:val="24"/>
          <w:rtl/>
          <w:lang w:bidi="fa-IR"/>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pPr>
      <w:r>
        <w:rPr>
          <w:rFonts w:ascii="B Nazanin" w:hAnsi="B Nazanin" w:cs="B Nazanin" w:hint="cs"/>
          <w:b/>
          <w:bCs/>
          <w:sz w:val="28"/>
          <w:szCs w:val="28"/>
          <w:rtl/>
          <w:lang w:bidi="fa-IR"/>
        </w:rPr>
        <w:t xml:space="preserve">۲-۳ پیشینه پژوهشی</w:t>
      </w:r>
    </w:p>
    <w:p>
      <w:pPr>
        <w:pStyle w:val="Heading3"/>
        <w:bidi w:val="1"/>
        <w:jc w:val="right"/>
      </w:pPr>
      <w:r>
        <w:rPr>
          <w:rFonts w:ascii="B Nazanin" w:hAnsi="B Nazanin" w:cs="B Nazanin" w:hint="cs"/>
          <w:b/>
          <w:bCs/>
          <w:sz w:val="26"/>
          <w:szCs w:val="26"/>
          <w:rtl/>
          <w:lang w:bidi="fa-IR"/>
        </w:rPr>
        <w:t xml:space="preserve">۲-۳-۱ پیشینه داخلی</w:t>
      </w:r>
    </w:p>
    <w:p>
      <w:pPr>
        <w:bidi w:val="1"/>
        <w:spacing w:lineRule="exact" w:line="580" w:after="0"/>
        <w:jc w:val="both"/>
      </w:pPr>
      <w:r>
        <w:rPr>
          <w:rFonts w:ascii="B Nazanin" w:hAnsi="B Nazanin" w:cs="B Nazanin" w:hint="cs"/>
          <w:sz w:val="24"/>
          <w:szCs w:val="24"/>
          <w:rtl/>
          <w:lang w:bidi="fa-IR"/>
        </w:rPr>
        <w:t xml:space="preserve">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sz w:val="24"/>
          <w:szCs w:val="24"/>
          <w:rtl/>
          <w:lang w:bidi="fa-IR"/>
        </w:rPr>
        <w:t xml:space="preserve">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sz w:val="24"/>
          <w:szCs w:val="24"/>
          <w:rtl/>
          <w:lang w:bidi="fa-IR"/>
        </w:rPr>
        <w:t xml:space="preserve">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sz w:val="24"/>
          <w:szCs w:val="24"/>
          <w:rtl/>
          <w:lang w:bidi="fa-IR"/>
        </w:rPr>
        <w:t xml:space="preserve">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sz w:val="24"/>
          <w:szCs w:val="24"/>
          <w:rtl/>
          <w:lang w:bidi="fa-IR"/>
        </w:rPr>
        <w:t xml:space="preserve">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jc w:val="right"/>
      </w:pPr>
      <w:r>
        <w:rPr>
          <w:rFonts w:ascii="B Nazanin" w:hAnsi="B Nazanin" w:cs="B Nazanin" w:hint="cs"/>
          <w:b/>
          <w:bCs/>
          <w:sz w:val="26"/>
          <w:szCs w:val="26"/>
          <w:rtl/>
          <w:lang w:bidi="fa-IR"/>
        </w:rPr>
        <w:t xml:space="preserve">۲-۳-۲ پیشینه خارجی</w:t>
      </w:r>
    </w:p>
    <w:p>
      <w:pPr>
        <w:bidi w:val="1"/>
        <w:spacing w:lineRule="exact" w:line="580" w:after="0"/>
        <w:jc w:val="both"/>
      </w:pPr>
      <w:r>
        <w:rPr>
          <w:rFonts w:ascii="B Nazanin" w:hAnsi="B Nazanin" w:cs="B Nazanin" w:hint="cs"/>
          <w:sz w:val="24"/>
          <w:szCs w:val="24"/>
          <w:rtl/>
          <w:lang w:bidi="fa-IR"/>
        </w:rPr>
        <w:t xml:space="preserve">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B Nazanin" w:hAnsi="B Nazanin" w:cs="B Nazanin" w:hint="cs"/>
          <w:sz w:val="24"/>
          <w:szCs w:val="24"/>
          <w:rtl/>
          <w:lang w:bidi="fa-IR"/>
        </w:rPr>
        <w:t xml:space="preserve">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sz w:val="24"/>
          <w:szCs w:val="24"/>
          <w:rtl/>
          <w:lang w:bidi="fa-IR"/>
        </w:rPr>
        <w:t xml:space="preserve">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w:t>
      </w:r>
      <w:r>
        <w:rPr>
          <w:rFonts w:ascii="Times New Roman" w:hAnsi="Times New Roman" w:cs="Times New Roman"/>
          <w:sz w:val="22"/>
          <w:szCs w:val="22"/>
          <w:lang w:val="en-US"/>
        </w:rPr>
        <w:t xml:space="preserve"> (P&lt;0.05) </w:t>
      </w:r>
      <w:r>
        <w:rPr>
          <w:rFonts w:ascii="B Nazanin" w:hAnsi="B Nazanin" w:cs="B Nazanin" w:hint="cs"/>
          <w:sz w:val="24"/>
          <w:szCs w:val="24"/>
          <w:rtl/>
          <w:lang w:bidi="fa-IR"/>
        </w:rPr>
        <w:t xml:space="preserve">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sz w:val="24"/>
          <w:szCs w:val="24"/>
          <w:rtl/>
          <w:lang w:bidi="fa-IR"/>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sz w:val="24"/>
          <w:szCs w:val="24"/>
          <w:rtl/>
          <w:lang w:bidi="fa-IR"/>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 </w:t>
      </w:r>
      <w:r>
        <w:rPr>
          <w:rFonts w:ascii="B Nazanin" w:hAnsi="B Nazanin" w:cs="B Nazanin" w:hint="cs"/>
          <w:vertAlign w:val="superscript"/>
          <w:rtl/>
        </w:rPr>
        <w:footnoteReference w:id="34"/>
      </w:r>
      <w:r>
        <w:rPr>
          <w:rFonts w:ascii="B Nazanin" w:hAnsi="B Nazanin" w:cs="B Nazanin" w:hint="cs"/>
          <w:sz w:val="24"/>
          <w:szCs w:val="24"/>
          <w:rtl/>
          <w:lang w:bidi="fa-IR"/>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B Nazanin" w:hAnsi="B Nazanin" w:cs="B Nazanin" w:hint="cs"/>
          <w:sz w:val="24"/>
          <w:szCs w:val="24"/>
          <w:rtl/>
          <w:lang w:bidi="fa-IR"/>
        </w:rPr>
        <w:t xml:space="preserve">صدیقی ارفعی و همکاران</w:t>
      </w:r>
      <w:r>
        <w:rPr>
          <w:rFonts w:ascii="B Nazanin" w:hAnsi="B Nazanin" w:cs="B Nazanin" w:hint="cs"/>
          <w:vertAlign w:val="superscript"/>
          <w:rtl/>
        </w:rPr>
        <w:footnoteReference w:id="102"/>
      </w:r>
      <w:r>
        <w:rPr>
          <w:rFonts w:ascii="B Nazanin" w:hAnsi="B Nazanin" w:cs="B Nazanin" w:hint="cs"/>
          <w:sz w:val="24"/>
          <w:szCs w:val="24"/>
          <w:rtl/>
          <w:lang w:bidi="fa-IR"/>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B Nazanin" w:hAnsi="B Nazanin" w:cs="B Nazanin" w:hint="cs"/>
          <w:sz w:val="24"/>
          <w:szCs w:val="24"/>
          <w:rtl/>
          <w:lang w:bidi="fa-IR"/>
        </w:rPr>
        <w:t xml:space="preserve">آرنا و همکاران</w:t>
      </w:r>
      <w:r>
        <w:rPr>
          <w:rFonts w:ascii="B Nazanin" w:hAnsi="B Nazanin" w:cs="B Nazanin" w:hint="cs"/>
          <w:vertAlign w:val="superscript"/>
          <w:rtl/>
        </w:rPr>
        <w:footnoteReference w:id="103"/>
      </w:r>
      <w:r>
        <w:rPr>
          <w:rFonts w:ascii="B Nazanin" w:hAnsi="B Nazanin" w:cs="B Nazanin" w:hint="cs"/>
          <w:sz w:val="24"/>
          <w:szCs w:val="24"/>
          <w:rtl/>
          <w:lang w:bidi="fa-IR"/>
        </w:rPr>
        <w:t xml:space="preserve">(۲۰۲۲)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sz w:val="24"/>
          <w:szCs w:val="24"/>
          <w:rtl/>
          <w:lang w:bidi="fa-IR"/>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B Nazanin" w:hAnsi="B Nazanin" w:cs="B Nazanin" w:hint="cs"/>
          <w:sz w:val="24"/>
          <w:szCs w:val="24"/>
          <w:rtl/>
          <w:lang w:bidi="fa-IR"/>
        </w:rPr>
        <w:t xml:space="preserve">آن و همکاران</w:t>
      </w:r>
      <w:r>
        <w:rPr>
          <w:rFonts w:ascii="B Nazanin" w:hAnsi="B Nazanin" w:cs="B Nazanin" w:hint="cs"/>
          <w:vertAlign w:val="superscript"/>
          <w:rtl/>
        </w:rPr>
        <w:footnoteReference w:id="104"/>
      </w:r>
      <w:r>
        <w:rPr>
          <w:rFonts w:ascii="B Nazanin" w:hAnsi="B Nazanin" w:cs="B Nazanin" w:hint="cs"/>
          <w:sz w:val="24"/>
          <w:szCs w:val="24"/>
          <w:rtl/>
          <w:lang w:bidi="fa-IR"/>
        </w:rPr>
        <w:t xml:space="preserve">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B Nazanin" w:hAnsi="B Nazanin" w:cs="B Nazanin" w:hint="cs"/>
          <w:sz w:val="24"/>
          <w:szCs w:val="24"/>
          <w:rtl/>
          <w:lang w:bidi="fa-IR"/>
        </w:rPr>
        <w:t xml:space="preserve">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B Nazanin" w:hAnsi="B Nazanin" w:cs="B Nazanin" w:hint="cs"/>
          <w:sz w:val="24"/>
          <w:szCs w:val="24"/>
          <w:rtl/>
          <w:lang w:bidi="fa-IR"/>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sz w:val="24"/>
          <w:szCs w:val="24"/>
          <w:rtl/>
          <w:lang w:bidi="fa-IR"/>
        </w:rPr>
        <w:t xml:space="preserve">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sz w:val="24"/>
          <w:szCs w:val="24"/>
          <w:rtl/>
          <w:lang w:bidi="fa-IR"/>
        </w:rPr>
        <w:t xml:space="preserve">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sz w:val="24"/>
          <w:szCs w:val="24"/>
          <w:rtl/>
          <w:lang w:bidi="fa-IR"/>
        </w:rPr>
        <w:t xml:space="preserve">رایم و همکاران</w:t>
      </w:r>
      <w:r>
        <w:rPr>
          <w:rFonts w:ascii="B Nazanin" w:hAnsi="B Nazanin" w:cs="B Nazanin" w:hint="cs"/>
          <w:vertAlign w:val="superscript"/>
          <w:rtl/>
        </w:rPr>
        <w:footnoteReference w:id="105"/>
      </w:r>
      <w:r>
        <w:rPr>
          <w:rFonts w:ascii="B Nazanin" w:hAnsi="B Nazanin" w:cs="B Nazanin" w:hint="cs"/>
          <w:sz w:val="24"/>
          <w:szCs w:val="24"/>
          <w:rtl/>
          <w:lang w:bidi="fa-IR"/>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B Nazanin" w:hAnsi="B Nazanin" w:cs="B Nazanin" w:hint="cs"/>
          <w:sz w:val="24"/>
          <w:szCs w:val="24"/>
          <w:rtl/>
          <w:lang w:bidi="fa-IR"/>
        </w:rPr>
        <w:t xml:space="preserve">فنتون-اکریوی و همکاران</w:t>
      </w:r>
      <w:r>
        <w:rPr>
          <w:rFonts w:ascii="B Nazanin" w:hAnsi="B Nazanin" w:cs="B Nazanin" w:hint="cs"/>
          <w:vertAlign w:val="superscript"/>
          <w:rtl/>
        </w:rPr>
        <w:footnoteReference w:id="106"/>
      </w:r>
      <w:r>
        <w:rPr>
          <w:rFonts w:ascii="B Nazanin" w:hAnsi="B Nazanin" w:cs="B Nazanin" w:hint="cs"/>
          <w:sz w:val="24"/>
          <w:szCs w:val="24"/>
          <w:rtl/>
          <w:lang w:bidi="fa-IR"/>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sz w:val="24"/>
          <w:szCs w:val="24"/>
          <w:rtl/>
          <w:lang w:bidi="fa-IR"/>
        </w:rPr>
        <w:t xml:space="preserve">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sz w:val="24"/>
          <w:szCs w:val="24"/>
          <w:rtl/>
          <w:lang w:bidi="fa-IR"/>
        </w:rPr>
        <w:t xml:space="preserve">هالورسن و همکاران</w:t>
      </w:r>
      <w:r>
        <w:rPr>
          <w:rFonts w:ascii="B Nazanin" w:hAnsi="B Nazanin" w:cs="B Nazanin" w:hint="cs"/>
          <w:vertAlign w:val="superscript"/>
          <w:rtl/>
        </w:rPr>
        <w:footnoteReference w:id="107"/>
      </w:r>
      <w:r>
        <w:rPr>
          <w:rFonts w:ascii="B Nazanin" w:hAnsi="B Nazanin" w:cs="B Nazanin" w:hint="cs"/>
          <w:sz w:val="24"/>
          <w:szCs w:val="24"/>
          <w:rtl/>
          <w:lang w:bidi="fa-IR"/>
        </w:rPr>
        <w:t xml:space="preserve">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sz w:val="24"/>
          <w:szCs w:val="24"/>
          <w:rtl/>
          <w:lang w:bidi="fa-IR"/>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sz w:val="24"/>
          <w:szCs w:val="24"/>
          <w:rtl/>
          <w:lang w:bidi="fa-IR"/>
        </w:rPr>
        <w:t xml:space="preserve">لو و رپین</w:t>
      </w:r>
      <w:r>
        <w:rPr>
          <w:rFonts w:ascii="B Nazanin" w:hAnsi="B Nazanin" w:cs="B Nazanin" w:hint="cs"/>
          <w:vertAlign w:val="superscript"/>
          <w:rtl/>
        </w:rPr>
        <w:footnoteReference w:id="108"/>
      </w:r>
      <w:r>
        <w:rPr>
          <w:rFonts w:ascii="B Nazanin" w:hAnsi="B Nazanin" w:cs="B Nazanin" w:hint="cs"/>
          <w:sz w:val="24"/>
          <w:szCs w:val="24"/>
          <w:rtl/>
          <w:lang w:bidi="fa-IR"/>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sz w:val="24"/>
          <w:szCs w:val="24"/>
          <w:rtl/>
          <w:lang w:bidi="fa-IR"/>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sz w:val="24"/>
          <w:szCs w:val="24"/>
          <w:rtl/>
          <w:lang w:bidi="fa-IR"/>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B Nazanin" w:hAnsi="B Nazanin" w:cs="B Nazanin" w:hint="cs"/>
          <w:sz w:val="24"/>
          <w:szCs w:val="24"/>
          <w:rtl/>
          <w:lang w:bidi="fa-IR"/>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jc w:val="right"/>
      </w:pPr>
      <w:r>
        <w:rPr>
          <w:rFonts w:ascii="B Nazanin" w:hAnsi="B Nazanin" w:cs="B Nazanin" w:hint="cs"/>
          <w:b/>
          <w:bCs/>
          <w:sz w:val="26"/>
          <w:szCs w:val="26"/>
          <w:rtl/>
          <w:lang w:bidi="fa-IR"/>
        </w:rPr>
        <w:t xml:space="preserve">۲-۳-۳ جمع‌بندی پیشینه و شکاف پژوهشی</w:t>
      </w:r>
    </w:p>
    <w:p>
      <w:pPr>
        <w:bidi w:val="1"/>
        <w:spacing w:lineRule="exact" w:line="580" w:after="0"/>
        <w:jc w:val="both"/>
      </w:pPr>
      <w:r>
        <w:rPr>
          <w:rFonts w:ascii="B Nazanin" w:hAnsi="B Nazanin" w:cs="B Nazanin" w:hint="cs"/>
          <w:sz w:val="24"/>
          <w:szCs w:val="24"/>
          <w:rtl/>
          <w:lang w:bidi="fa-IR"/>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w:t>
      </w:r>
      <w:r>
        <w:rPr>
          <w:rFonts w:ascii="B Nazanin" w:hAnsi="B Nazanin" w:cs="B Nazanin" w:hint="cs"/>
          <w:vertAlign w:val="superscript"/>
          <w:rtl/>
        </w:rPr>
        <w:footnoteReference w:id="109"/>
      </w:r>
      <w:r>
        <w:rPr>
          <w:rFonts w:ascii="B Nazanin" w:hAnsi="B Nazanin" w:cs="B Nazanin" w:hint="cs"/>
          <w:sz w:val="24"/>
          <w:szCs w:val="24"/>
          <w:rtl/>
          <w:lang w:bidi="fa-IR"/>
        </w:rPr>
        <w:t xml:space="preserve">،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sz w:val="24"/>
          <w:szCs w:val="24"/>
          <w:rtl/>
          <w:lang w:bidi="fa-IR"/>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w:t>
      </w:r>
      <w:r>
        <w:rPr>
          <w:rFonts w:ascii="B Nazanin" w:hAnsi="B Nazanin" w:cs="B Nazanin" w:hint="cs"/>
          <w:vertAlign w:val="superscript"/>
          <w:rtl/>
        </w:rPr>
        <w:footnoteReference w:id="110"/>
      </w:r>
      <w:r>
        <w:rPr>
          <w:rFonts w:ascii="B Nazanin" w:hAnsi="B Nazanin" w:cs="B Nazanin" w:hint="cs"/>
          <w:sz w:val="24"/>
          <w:szCs w:val="24"/>
          <w:rtl/>
          <w:lang w:bidi="fa-IR"/>
        </w:rPr>
        <w:t xml:space="preserve">،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sz w:val="24"/>
          <w:szCs w:val="24"/>
          <w:rtl/>
          <w:lang w:bidi="fa-IR"/>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pPr>
      <w:r>
        <w:rPr>
          <w:rFonts w:ascii="B Nazanin" w:hAnsi="B Nazanin" w:cs="B Nazanin" w:hint="cs"/>
          <w:b/>
          <w:bCs/>
          <w:sz w:val="28"/>
          <w:szCs w:val="28"/>
          <w:rtl/>
          <w:lang w:bidi="fa-IR"/>
        </w:rPr>
        <w:t xml:space="preserve">۲-۴ مدل مفهومی و چارچوب نهایی پژوهش</w:t>
      </w:r>
    </w:p>
    <w:p>
      <w:pPr>
        <w:bidi w:val="1"/>
        <w:spacing w:lineRule="exact" w:line="580" w:after="0"/>
        <w:jc w:val="both"/>
      </w:pPr>
      <w:r>
        <w:rPr>
          <w:rFonts w:ascii="B Nazanin" w:hAnsi="B Nazanin" w:cs="B Nazanin" w:hint="cs"/>
          <w:sz w:val="24"/>
          <w:szCs w:val="24"/>
          <w:rtl/>
          <w:lang w:bidi="fa-IR"/>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w:t>
      </w:r>
      <w:r>
        <w:rPr>
          <w:rFonts w:ascii="Times New Roman" w:hAnsi="Times New Roman" w:cs="Times New Roman"/>
          <w:sz w:val="22"/>
          <w:szCs w:val="22"/>
          <w:lang w:val="en-US"/>
        </w:rPr>
        <w:t xml:space="preserve"> (Y-2) </w:t>
      </w:r>
      <w:r>
        <w:rPr>
          <w:rFonts w:ascii="B Nazanin" w:hAnsi="B Nazanin" w:cs="B Nazanin" w:hint="cs"/>
          <w:sz w:val="24"/>
          <w:szCs w:val="24"/>
          <w:rtl/>
          <w:lang w:bidi="fa-IR"/>
        </w:rPr>
        <w:t xml:space="preserve">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اضطراب صفتی (متغیر مستقل)</w:t>
            </w:r>
          </w:p>
        </w:tc>
        <w:tc>
          <w:tcPr>
            <w:tcW w:type="dxa" w:w="2740"/>
          </w:tcPr>
          <w:p>
            <w:pPr>
              <w:bidi w:val="1"/>
              <w:jc w:val="center"/>
            </w:pPr>
            <w:r/>
            <w:r>
              <w:rPr>
                <w:rFonts w:ascii="B Nazanin" w:hAnsi="B Nazanin" w:cs="B Nazanin" w:hint="cs"/>
                <w:b/>
                <w:bCs/>
                <w:sz w:val="22"/>
                <w:szCs w:val="22"/>
                <w:rtl/>
                <w:lang w:bidi="fa-IR"/>
              </w:rPr>
              <w:t xml:space="preserve">طرحواره‌های ناسازگار اولیه (متغیر میانجی)</w:t>
            </w:r>
          </w:p>
        </w:tc>
        <w:tc>
          <w:tcPr>
            <w:tcW w:type="dxa" w:w="2740"/>
          </w:tcPr>
          <w:p>
            <w:pPr>
              <w:bidi w:val="1"/>
              <w:jc w:val="center"/>
            </w:pPr>
            <w:r/>
            <w:r>
              <w:rPr>
                <w:rFonts w:ascii="B Nazanin" w:hAnsi="B Nazanin" w:cs="B Nazanin" w:hint="cs"/>
                <w:b/>
                <w:bCs/>
                <w:sz w:val="22"/>
                <w:szCs w:val="22"/>
                <w:rtl/>
                <w:lang w:bidi="fa-IR"/>
              </w:rPr>
              <w:t xml:space="preserve">رفتارهای مالی پرخطر (متغیر وابسته)</w:t>
            </w:r>
          </w:p>
        </w:tc>
      </w:tr>
      <w:tr>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a</w:t>
            </w:r>
          </w:p>
        </w:tc>
        <w:tc>
          <w:tcPr>
            <w:tcW w:type="dxa" w:w="2740"/>
          </w:tcPr>
          <w:p>
            <w:pPr>
              <w:bidi w:val="1"/>
              <w:jc w:val="center"/>
            </w:pPr>
            <w:r/>
            <w:r>
              <w:rPr>
                <w:rFonts w:ascii="B Nazanin" w:hAnsi="B Nazanin" w:cs="B Nazanin" w:hint="cs"/>
                <w:sz w:val="22"/>
                <w:szCs w:val="22"/>
                <w:rtl/>
                <w:lang w:bidi="fa-IR"/>
              </w:rPr>
              <w:t xml:space="preserve">مسیر غیرمستقیم</w:t>
            </w:r>
            <w:r>
              <w:rPr>
                <w:rFonts w:ascii="Times New Roman" w:hAnsi="Times New Roman" w:cs="Times New Roman"/>
                <w:sz w:val="20"/>
                <w:szCs w:val="20"/>
                <w:lang w:val="en-US"/>
              </w:rPr>
              <w:t xml:space="preserve"> (a×b)</w:t>
            </w:r>
          </w:p>
        </w:tc>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b</w:t>
            </w:r>
          </w:p>
        </w:tc>
      </w:tr>
    </w:tbl>
    <w:p>
      <w:pPr>
        <w:bidi w:val="1"/>
        <w:spacing w:lineRule="exact" w:line="580" w:before="60" w:after="120"/>
        <w:jc w:val="center"/>
      </w:pPr>
      <w:r>
        <w:rPr>
          <w:rFonts w:ascii="B Nazanin" w:hAnsi="B Nazanin" w:cs="B Nazanin" w:hint="cs"/>
          <w:b/>
          <w:bCs/>
          <w:sz w:val="24"/>
          <w:szCs w:val="24"/>
          <w:rtl/>
          <w:lang w:bidi="fa-IR"/>
        </w:rPr>
        <w:t xml:space="preserve">شکل ۲-۱. مدل مفهومی پژوهش</w:t>
      </w:r>
    </w:p>
    <w:p>
      <w:pPr>
        <w:bidi w:val="1"/>
        <w:spacing w:lineRule="exact" w:line="580" w:after="0"/>
        <w:jc w:val="both"/>
      </w:pPr>
      <w:r>
        <w:rPr>
          <w:rFonts w:ascii="B Nazanin" w:hAnsi="B Nazanin" w:cs="B Nazanin" w:hint="cs"/>
          <w:sz w:val="24"/>
          <w:szCs w:val="24"/>
          <w:rtl/>
          <w:lang w:bidi="fa-IR"/>
        </w:rPr>
        <w:t xml:space="preserve">مسیرهای این مدل به شرح زیر تعریف می‌شوند:</w:t>
      </w:r>
    </w:p>
    <w:p>
      <w:pPr>
        <w:bidi w:val="1"/>
        <w:spacing w:lineRule="exact" w:line="580" w:after="0"/>
        <w:ind w:right="425"/>
        <w:jc w:val="both"/>
      </w:pPr>
      <w:r>
        <w:rPr>
          <w:rFonts w:ascii="B Nazanin" w:hAnsi="B Nazanin" w:cs="B Nazanin" w:hint="cs"/>
          <w:sz w:val="24"/>
          <w:szCs w:val="24"/>
          <w:rtl/>
          <w:lang w:bidi="fa-IR"/>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اضطراب صفتی ← طرحواره‌های ناسازگار اولیه</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طرحواره‌های ناسازگار اولیه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sz w:val="24"/>
          <w:szCs w:val="24"/>
          <w:rtl/>
          <w:lang w:bidi="fa-IR"/>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را آزمون می‌کند. فرضیه فرعی چهارم نیز مقرر می‌دارد که «بین طرحواره‌های ناسازگار اولیه و رفتارهای مالی پرخطر، رابطه مثبت و معناداری وجود دارد» و با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دلالت دارد و آزمون آن، هسته تحلیلی پژوهش حاضر را تشکیل می‌دهد.</w:t>
      </w:r>
    </w:p>
    <w:p>
      <w:pPr>
        <w:bidi w:val="1"/>
        <w:spacing w:lineRule="exact" w:line="580" w:after="0"/>
        <w:jc w:val="both"/>
      </w:pPr>
      <w:r>
        <w:rPr>
          <w:rFonts w:ascii="B Nazanin" w:hAnsi="B Nazanin" w:cs="B Nazanin" w:hint="cs"/>
          <w:sz w:val="24"/>
          <w:szCs w:val="24"/>
          <w:rtl/>
          <w:lang w:bidi="fa-IR"/>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sz w:val="24"/>
          <w:szCs w:val="24"/>
          <w:rtl/>
          <w:lang w:bidi="fa-IR"/>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4"/>
          <w:footerReference w:type="first" r:id="rId15"/>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سوم</w:t>
      </w:r>
    </w:p>
    <w:p>
      <w:pPr>
        <w:bidi w:val="1"/>
        <w:spacing w:lineRule="exact" w:line="580" w:before="120" w:after="480"/>
        <w:jc w:val="center"/>
      </w:pPr>
      <w:r>
        <w:rPr>
          <w:rFonts w:ascii="B Nazanin" w:hAnsi="B Nazanin" w:cs="B Nazanin" w:hint="cs"/>
          <w:b/>
          <w:bCs/>
          <w:sz w:val="52"/>
          <w:szCs w:val="52"/>
          <w:rtl/>
          <w:lang w:bidi="fa-IR"/>
        </w:rPr>
        <w:t xml:space="preserve">روش‌شناسی پژوهش</w:t>
      </w:r>
    </w:p>
    <w:p>
      <w:pPr>
        <w:pStyle w:val="Heading2"/>
        <w:bidi w:val="1"/>
        <w:jc w:val="right"/>
      </w:pPr>
      <w:r>
        <w:rPr>
          <w:rFonts w:ascii="B Nazanin" w:hAnsi="B Nazanin" w:cs="B Nazanin" w:hint="cs"/>
          <w:b/>
          <w:bCs/>
          <w:sz w:val="28"/>
          <w:szCs w:val="28"/>
          <w:rtl/>
          <w:lang w:bidi="fa-IR"/>
        </w:rPr>
        <w:t xml:space="preserve">۳-۱. مقدمه</w:t>
      </w:r>
    </w:p>
    <w:p>
      <w:pPr>
        <w:bidi w:val="1"/>
        <w:spacing w:lineRule="exact" w:line="580" w:after="0"/>
        <w:jc w:val="both"/>
      </w:pPr>
      <w:r>
        <w:rPr>
          <w:rFonts w:ascii="B Nazanin" w:hAnsi="B Nazanin" w:cs="B Nazanin" w:hint="cs"/>
          <w:sz w:val="24"/>
          <w:szCs w:val="24"/>
          <w:rtl/>
          <w:lang w:bidi="fa-IR"/>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jc w:val="right"/>
      </w:pPr>
      <w:r>
        <w:rPr>
          <w:rFonts w:ascii="B Nazanin" w:hAnsi="B Nazanin" w:cs="B Nazanin" w:hint="cs"/>
          <w:b/>
          <w:bCs/>
          <w:sz w:val="28"/>
          <w:szCs w:val="28"/>
          <w:rtl/>
          <w:lang w:bidi="fa-IR"/>
        </w:rPr>
        <w:t xml:space="preserve">۳-۲. طرح پژوهش</w:t>
      </w:r>
    </w:p>
    <w:p>
      <w:pPr>
        <w:bidi w:val="1"/>
        <w:spacing w:lineRule="exact" w:line="580" w:after="0"/>
        <w:jc w:val="both"/>
      </w:pPr>
      <w:r>
        <w:rPr>
          <w:rFonts w:ascii="B Nazanin" w:hAnsi="B Nazanin" w:cs="B Nazanin" w:hint="cs"/>
          <w:sz w:val="24"/>
          <w:szCs w:val="24"/>
          <w:rtl/>
          <w:lang w:bidi="fa-IR"/>
        </w:rPr>
        <w:t xml:space="preserve">پژوهش حاضر از نظر هدف، در زمره پژوهش‌های کاربردی </w:t>
      </w:r>
      <w:r>
        <w:rPr>
          <w:rFonts w:ascii="B Nazanin" w:hAnsi="B Nazanin" w:cs="B Nazanin" w:hint="cs"/>
          <w:vertAlign w:val="superscript"/>
          <w:rtl/>
        </w:rPr>
        <w:footnoteReference w:id="35"/>
      </w:r>
      <w:r>
        <w:rPr>
          <w:rFonts w:ascii="B Nazanin" w:hAnsi="B Nazanin" w:cs="B Nazanin" w:hint="cs"/>
          <w:sz w:val="24"/>
          <w:szCs w:val="24"/>
          <w:rtl/>
          <w:lang w:bidi="fa-IR"/>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sz w:val="24"/>
          <w:szCs w:val="24"/>
          <w:rtl/>
          <w:lang w:bidi="fa-IR"/>
        </w:rPr>
        <w:t xml:space="preserve">از نظر روش گردآوری داده‌ها، این پژوهش توصیفی-همبستگی </w:t>
      </w:r>
      <w:r>
        <w:rPr>
          <w:rFonts w:ascii="B Nazanin" w:hAnsi="B Nazanin" w:cs="B Nazanin" w:hint="cs"/>
          <w:vertAlign w:val="superscript"/>
          <w:rtl/>
        </w:rPr>
        <w:footnoteReference w:id="36"/>
      </w:r>
      <w:r>
        <w:rPr>
          <w:rFonts w:ascii="B Nazanin" w:hAnsi="B Nazanin" w:cs="B Nazanin" w:hint="cs"/>
          <w:sz w:val="24"/>
          <w:szCs w:val="24"/>
          <w:rtl/>
          <w:lang w:bidi="fa-IR"/>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sz w:val="24"/>
          <w:szCs w:val="24"/>
          <w:rtl/>
          <w:lang w:bidi="fa-IR"/>
        </w:rPr>
        <w:t xml:space="preserve">مهم‌تر آنکه، مدل تحلیلی پژوهش از نوع مدل میانجی‌گری </w:t>
      </w:r>
      <w:r>
        <w:rPr>
          <w:rFonts w:ascii="B Nazanin" w:hAnsi="B Nazanin" w:cs="B Nazanin" w:hint="cs"/>
          <w:vertAlign w:val="superscript"/>
          <w:rtl/>
        </w:rPr>
        <w:footnoteReference w:id="37"/>
      </w:r>
      <w:r>
        <w:rPr>
          <w:rFonts w:ascii="B Nazanin" w:hAnsi="B Nazanin" w:cs="B Nazanin" w:hint="cs"/>
          <w:sz w:val="24"/>
          <w:szCs w:val="24"/>
          <w:rtl/>
          <w:lang w:bidi="fa-IR"/>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sz w:val="24"/>
          <w:szCs w:val="24"/>
          <w:rtl/>
          <w:lang w:bidi="fa-IR"/>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sz w:val="24"/>
          <w:szCs w:val="24"/>
          <w:rtl/>
          <w:lang w:bidi="fa-IR"/>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w:t>
      </w:r>
      <w:r>
        <w:rPr>
          <w:rFonts w:ascii="Times New Roman" w:hAnsi="Times New Roman" w:cs="Times New Roman"/>
          <w:sz w:val="22"/>
          <w:szCs w:val="22"/>
          <w:lang w:val="en-US"/>
        </w:rPr>
        <w:t xml:space="preserve"> (PROCESS, Model 4) </w:t>
      </w:r>
      <w:r>
        <w:rPr>
          <w:rFonts w:ascii="B Nazanin" w:hAnsi="B Nazanin" w:cs="B Nazanin" w:hint="cs"/>
          <w:sz w:val="24"/>
          <w:szCs w:val="24"/>
          <w:rtl/>
          <w:lang w:bidi="fa-IR"/>
        </w:rPr>
        <w:t xml:space="preserve">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sz w:val="24"/>
          <w:szCs w:val="24"/>
          <w:rtl/>
          <w:lang w:bidi="fa-IR"/>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pPr>
      <w:r>
        <w:rPr>
          <w:rFonts w:ascii="B Nazanin" w:hAnsi="B Nazanin" w:cs="B Nazanin" w:hint="cs"/>
          <w:b/>
          <w:bCs/>
          <w:sz w:val="28"/>
          <w:szCs w:val="28"/>
          <w:rtl/>
          <w:lang w:bidi="fa-IR"/>
        </w:rPr>
        <w:t xml:space="preserve">۳-۳. جامعه آماری، نمونه و روش نمونه‌گیری</w:t>
      </w:r>
    </w:p>
    <w:p>
      <w:pPr>
        <w:pStyle w:val="Heading3"/>
        <w:bidi w:val="1"/>
        <w:jc w:val="right"/>
      </w:pPr>
      <w:r>
        <w:rPr>
          <w:rFonts w:ascii="B Nazanin" w:hAnsi="B Nazanin" w:cs="B Nazanin" w:hint="cs"/>
          <w:b/>
          <w:bCs/>
          <w:sz w:val="26"/>
          <w:szCs w:val="26"/>
          <w:rtl/>
          <w:lang w:bidi="fa-IR"/>
        </w:rPr>
        <w:t xml:space="preserve">۳-۳-۱. جامعه آماری</w:t>
      </w:r>
    </w:p>
    <w:p>
      <w:pPr>
        <w:bidi w:val="1"/>
        <w:spacing w:lineRule="exact" w:line="580" w:after="0"/>
        <w:jc w:val="both"/>
      </w:pPr>
      <w:r>
        <w:rPr>
          <w:rFonts w:ascii="B Nazanin" w:hAnsi="B Nazanin" w:cs="B Nazanin" w:hint="cs"/>
          <w:sz w:val="24"/>
          <w:szCs w:val="24"/>
          <w:rtl/>
          <w:lang w:bidi="fa-IR"/>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pPr>
      <w:r>
        <w:rPr>
          <w:rFonts w:ascii="B Nazanin" w:hAnsi="B Nazanin" w:cs="B Nazanin" w:hint="cs"/>
          <w:b/>
          <w:bCs/>
          <w:sz w:val="26"/>
          <w:szCs w:val="26"/>
          <w:rtl/>
          <w:lang w:bidi="fa-IR"/>
        </w:rPr>
        <w:t xml:space="preserve">۳-۳-۲. روش نمونه‌گیری و گردآوری داده‌ها</w:t>
      </w:r>
    </w:p>
    <w:p>
      <w:pPr>
        <w:bidi w:val="1"/>
        <w:spacing w:lineRule="exact" w:line="580" w:after="0"/>
        <w:jc w:val="both"/>
      </w:pPr>
      <w:r>
        <w:rPr>
          <w:rFonts w:ascii="B Nazanin" w:hAnsi="B Nazanin" w:cs="B Nazanin" w:hint="cs"/>
          <w:sz w:val="24"/>
          <w:szCs w:val="24"/>
          <w:rtl/>
          <w:lang w:bidi="fa-IR"/>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 </w:t>
      </w:r>
      <w:r>
        <w:rPr>
          <w:rFonts w:ascii="B Nazanin" w:hAnsi="B Nazanin" w:cs="B Nazanin" w:hint="cs"/>
          <w:vertAlign w:val="superscript"/>
          <w:rtl/>
        </w:rPr>
        <w:footnoteReference w:id="38"/>
      </w:r>
      <w:r>
        <w:rPr>
          <w:rFonts w:ascii="B Nazanin" w:hAnsi="B Nazanin" w:cs="B Nazanin" w:hint="cs"/>
          <w:sz w:val="24"/>
          <w:szCs w:val="24"/>
          <w:rtl/>
          <w:lang w:bidi="fa-IR"/>
        </w:rPr>
        <w:t xml:space="preserve"> به همراه روش گلوله‌برفی </w:t>
      </w:r>
      <w:r>
        <w:rPr>
          <w:rFonts w:ascii="B Nazanin" w:hAnsi="B Nazanin" w:cs="B Nazanin" w:hint="cs"/>
          <w:vertAlign w:val="superscript"/>
          <w:rtl/>
        </w:rPr>
        <w:footnoteReference w:id="39"/>
      </w:r>
      <w:r>
        <w:rPr>
          <w:rFonts w:ascii="B Nazanin" w:hAnsi="B Nazanin" w:cs="B Nazanin" w:hint="cs"/>
          <w:sz w:val="24"/>
          <w:szCs w:val="24"/>
          <w:rtl/>
          <w:lang w:bidi="fa-IR"/>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sz w:val="24"/>
          <w:szCs w:val="24"/>
          <w:rtl/>
          <w:lang w:bidi="fa-IR"/>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sz w:val="24"/>
          <w:szCs w:val="24"/>
          <w:rtl/>
          <w:lang w:bidi="fa-IR"/>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pPr>
      <w:r>
        <w:rPr>
          <w:rFonts w:ascii="B Nazanin" w:hAnsi="B Nazanin" w:cs="B Nazanin" w:hint="cs"/>
          <w:b/>
          <w:bCs/>
          <w:sz w:val="26"/>
          <w:szCs w:val="26"/>
          <w:rtl/>
          <w:lang w:bidi="fa-IR"/>
        </w:rPr>
        <w:t xml:space="preserve">۳-۳-۳. حجم نمونه</w:t>
      </w:r>
    </w:p>
    <w:p>
      <w:pPr>
        <w:bidi w:val="1"/>
        <w:spacing w:lineRule="exact" w:line="580" w:after="0"/>
        <w:jc w:val="both"/>
      </w:pPr>
      <w:r>
        <w:rPr>
          <w:rFonts w:ascii="B Nazanin" w:hAnsi="B Nazanin" w:cs="B Nazanin" w:hint="cs"/>
          <w:sz w:val="24"/>
          <w:szCs w:val="24"/>
          <w:rtl/>
          <w:lang w:bidi="fa-IR"/>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vertAlign w:val="superscript"/>
          <w:rtl/>
        </w:rPr>
        <w:footnoteReference w:id="111"/>
      </w:r>
      <w:r>
        <w:rPr>
          <w:rFonts w:ascii="B Nazanin" w:hAnsi="B Nazanin" w:cs="B Nazanin" w:hint="cs"/>
          <w:sz w:val="24"/>
          <w:szCs w:val="24"/>
          <w:rtl/>
          <w:lang w:bidi="fa-IR"/>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pPr>
      <w:r>
        <w:rPr>
          <w:rFonts w:ascii="B Nazanin" w:hAnsi="B Nazanin" w:cs="B Nazanin" w:hint="cs"/>
          <w:b/>
          <w:bCs/>
          <w:sz w:val="26"/>
          <w:szCs w:val="26"/>
          <w:rtl/>
          <w:lang w:bidi="fa-IR"/>
        </w:rPr>
        <w:t xml:space="preserve">۳-۳-۴. ملاک‌های ورود و خروج</w:t>
      </w:r>
    </w:p>
    <w:p>
      <w:pPr>
        <w:bidi w:val="1"/>
        <w:spacing w:lineRule="exact" w:line="580" w:after="0"/>
        <w:jc w:val="both"/>
      </w:pPr>
      <w:r>
        <w:rPr>
          <w:rFonts w:ascii="B Nazanin" w:hAnsi="B Nazanin" w:cs="B Nazanin" w:hint="cs"/>
          <w:b/>
          <w:bCs/>
          <w:sz w:val="24"/>
          <w:szCs w:val="24"/>
          <w:rtl/>
          <w:lang w:bidi="fa-IR"/>
        </w:rPr>
        <w:t xml:space="preserve">ملاک‌های ورود</w:t>
      </w:r>
      <w:r>
        <w:rPr>
          <w:rFonts w:ascii="B Nazanin" w:hAnsi="B Nazanin" w:cs="B Nazanin" w:hint="cs"/>
          <w:sz w:val="24"/>
          <w:szCs w:val="24"/>
          <w:rtl/>
          <w:lang w:bidi="fa-IR"/>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b/>
          <w:bCs/>
          <w:sz w:val="24"/>
          <w:szCs w:val="24"/>
          <w:rtl/>
          <w:lang w:bidi="fa-IR"/>
        </w:rPr>
        <w:t xml:space="preserve">ملاک‌های خروج</w:t>
      </w:r>
      <w:r>
        <w:rPr>
          <w:rFonts w:ascii="B Nazanin" w:hAnsi="B Nazanin" w:cs="B Nazanin" w:hint="cs"/>
          <w:sz w:val="24"/>
          <w:szCs w:val="24"/>
          <w:rtl/>
          <w:lang w:bidi="fa-IR"/>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sz w:val="24"/>
          <w:szCs w:val="24"/>
          <w:rtl/>
          <w:lang w:bidi="fa-IR"/>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pPr>
      <w:r>
        <w:rPr>
          <w:rFonts w:ascii="B Nazanin" w:hAnsi="B Nazanin" w:cs="B Nazanin" w:hint="cs"/>
          <w:b/>
          <w:bCs/>
          <w:sz w:val="28"/>
          <w:szCs w:val="28"/>
          <w:rtl/>
          <w:lang w:bidi="fa-IR"/>
        </w:rPr>
        <w:t xml:space="preserve">۳-۴. ابزارهای اندازه‌گیری</w:t>
      </w:r>
    </w:p>
    <w:p>
      <w:pPr>
        <w:bidi w:val="1"/>
        <w:spacing w:lineRule="exact" w:line="580" w:after="0"/>
        <w:jc w:val="both"/>
      </w:pPr>
      <w:r>
        <w:rPr>
          <w:rFonts w:ascii="B Nazanin" w:hAnsi="B Nazanin" w:cs="B Nazanin" w:hint="cs"/>
          <w:sz w:val="24"/>
          <w:szCs w:val="24"/>
          <w:rtl/>
          <w:lang w:bidi="fa-IR"/>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w:t>
      </w:r>
      <w:r>
        <w:rPr>
          <w:rFonts w:ascii="Times New Roman" w:hAnsi="Times New Roman" w:cs="Times New Roman"/>
          <w:sz w:val="22"/>
          <w:szCs w:val="22"/>
          <w:lang w:val="en-US"/>
        </w:rPr>
        <w:t xml:space="preserve"> (Y-2) </w:t>
      </w:r>
      <w:r>
        <w:rPr>
          <w:rFonts w:ascii="B Nazanin" w:hAnsi="B Nazanin" w:cs="B Nazanin" w:hint="cs"/>
          <w:sz w:val="24"/>
          <w:szCs w:val="24"/>
          <w:rtl/>
          <w:lang w:bidi="fa-IR"/>
        </w:rPr>
        <w:t xml:space="preserve">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pPr>
      <w:r>
        <w:rPr>
          <w:rFonts w:ascii="B Nazanin" w:hAnsi="B Nazanin" w:cs="B Nazanin" w:hint="cs"/>
          <w:b/>
          <w:bCs/>
          <w:sz w:val="26"/>
          <w:szCs w:val="26"/>
          <w:rtl/>
          <w:lang w:bidi="fa-IR"/>
        </w:rPr>
        <w:t xml:space="preserve">۳-۴-۱. پرسشنامه اضطراب حالت-صفت اسپیلبرگر — فرم صفتی</w:t>
      </w:r>
      <w:r>
        <w:rPr>
          <w:rFonts w:ascii="Times New Roman" w:hAnsi="Times New Roman" w:cs="Times New Roman"/>
          <w:b/>
          <w:bCs/>
          <w:sz w:val="26"/>
          <w:szCs w:val="26"/>
          <w:lang w:val="en-US"/>
        </w:rPr>
        <w:t xml:space="preserve"> (STAI-Y2)</w:t>
      </w:r>
    </w:p>
    <w:p>
      <w:pPr>
        <w:bidi w:val="1"/>
        <w:spacing w:lineRule="exact" w:line="580" w:after="0"/>
        <w:jc w:val="both"/>
      </w:pPr>
      <w:r>
        <w:rPr>
          <w:rFonts w:ascii="B Nazanin" w:hAnsi="B Nazanin" w:cs="B Nazanin" w:hint="cs"/>
          <w:sz w:val="24"/>
          <w:szCs w:val="24"/>
          <w:rtl/>
          <w:lang w:bidi="fa-IR"/>
        </w:rPr>
        <w:t xml:space="preserve">پرسشنامه اضطراب حالت-صفت اسپیلبرگر </w:t>
      </w:r>
      <w:r>
        <w:rPr>
          <w:rFonts w:ascii="B Nazanin" w:hAnsi="B Nazanin" w:cs="B Nazanin" w:hint="cs"/>
          <w:vertAlign w:val="superscript"/>
          <w:rtl/>
        </w:rPr>
        <w:footnoteReference w:id="40"/>
      </w:r>
      <w:r>
        <w:rPr>
          <w:rFonts w:ascii="B Nazanin" w:hAnsi="B Nazanin" w:cs="B Nazanin" w:hint="cs"/>
          <w:sz w:val="24"/>
          <w:szCs w:val="24"/>
          <w:rtl/>
          <w:lang w:bidi="fa-IR"/>
        </w:rPr>
        <w:t xml:space="preserve"> در اصل توسط اسپیلبرگر، گورچ و لوشن</w:t>
      </w:r>
      <w:r>
        <w:rPr>
          <w:rFonts w:ascii="B Nazanin" w:hAnsi="B Nazanin" w:cs="B Nazanin" w:hint="cs"/>
          <w:vertAlign w:val="superscript"/>
          <w:rtl/>
        </w:rPr>
        <w:footnoteReference w:id="112"/>
      </w:r>
      <w:r>
        <w:rPr>
          <w:rFonts w:ascii="B Nazanin" w:hAnsi="B Nazanin" w:cs="B Nazanin" w:hint="cs"/>
          <w:sz w:val="24"/>
          <w:szCs w:val="24"/>
          <w:rtl/>
          <w:lang w:bidi="fa-IR"/>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w:t>
      </w:r>
      <w:r>
        <w:rPr>
          <w:rFonts w:ascii="Times New Roman" w:hAnsi="Times New Roman" w:cs="Times New Roman"/>
          <w:sz w:val="22"/>
          <w:szCs w:val="22"/>
          <w:lang w:val="en-US"/>
        </w:rPr>
        <w:t xml:space="preserve"> (Y-2) </w:t>
      </w:r>
      <w:r>
        <w:rPr>
          <w:rFonts w:ascii="B Nazanin" w:hAnsi="B Nazanin" w:cs="B Nazanin" w:hint="cs"/>
          <w:sz w:val="24"/>
          <w:szCs w:val="24"/>
          <w:rtl/>
          <w:lang w:bidi="fa-IR"/>
        </w:rPr>
        <w:t xml:space="preserve">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sz w:val="24"/>
          <w:szCs w:val="24"/>
          <w:rtl/>
          <w:lang w:bidi="fa-IR"/>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sz w:val="24"/>
          <w:szCs w:val="24"/>
          <w:rtl/>
          <w:lang w:bidi="fa-IR"/>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۳-۴-۲. پرسشنامه طرحواره‌های ناسازگار اولیه یانگ — فرم کوتاه</w:t>
      </w:r>
      <w:r>
        <w:rPr>
          <w:rFonts w:ascii="Times New Roman" w:hAnsi="Times New Roman" w:cs="Times New Roman"/>
          <w:b/>
          <w:bCs/>
          <w:sz w:val="26"/>
          <w:szCs w:val="26"/>
          <w:lang w:val="en-US"/>
        </w:rPr>
        <w:t xml:space="preserve"> (YSQ-SF)</w:t>
      </w:r>
    </w:p>
    <w:p>
      <w:pPr>
        <w:bidi w:val="1"/>
        <w:spacing w:lineRule="exact" w:line="580" w:after="0"/>
        <w:jc w:val="both"/>
      </w:pPr>
      <w:r>
        <w:rPr>
          <w:rFonts w:ascii="B Nazanin" w:hAnsi="B Nazanin" w:cs="B Nazanin" w:hint="cs"/>
          <w:sz w:val="24"/>
          <w:szCs w:val="24"/>
          <w:rtl/>
          <w:lang w:bidi="fa-IR"/>
        </w:rPr>
        <w:t xml:space="preserve">پرسشنامه طرحواره یانگ — فرم کوتاه </w:t>
      </w:r>
      <w:r>
        <w:rPr>
          <w:rFonts w:ascii="B Nazanin" w:hAnsi="B Nazanin" w:cs="B Nazanin" w:hint="cs"/>
          <w:vertAlign w:val="superscript"/>
          <w:rtl/>
        </w:rPr>
        <w:footnoteReference w:id="41"/>
      </w:r>
      <w:r>
        <w:rPr>
          <w:rFonts w:ascii="B Nazanin" w:hAnsi="B Nazanin" w:cs="B Nazanin" w:hint="cs"/>
          <w:sz w:val="24"/>
          <w:szCs w:val="24"/>
          <w:rtl/>
          <w:lang w:bidi="fa-IR"/>
        </w:rPr>
        <w:t xml:space="preserve">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sz w:val="24"/>
          <w:szCs w:val="24"/>
          <w:rtl/>
          <w:lang w:bidi="fa-IR"/>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B Nazanin" w:hAnsi="B Nazanin" w:cs="B Nazanin" w:hint="cs"/>
          <w:sz w:val="24"/>
          <w:szCs w:val="24"/>
          <w:rtl/>
          <w:lang w:bidi="fa-IR"/>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۳-۴-۳. مقیاس تحمل ریسک مالی گرابل و لایتون</w:t>
      </w:r>
      <w:r>
        <w:rPr>
          <w:rFonts w:ascii="Times New Roman" w:hAnsi="Times New Roman" w:cs="Times New Roman"/>
          <w:b/>
          <w:bCs/>
          <w:sz w:val="26"/>
          <w:szCs w:val="26"/>
          <w:lang w:val="en-US"/>
        </w:rPr>
        <w:t xml:space="preserve"> (GL-RTS)</w:t>
      </w:r>
    </w:p>
    <w:p>
      <w:pPr>
        <w:bidi w:val="1"/>
        <w:spacing w:lineRule="exact" w:line="580" w:after="0"/>
        <w:jc w:val="both"/>
      </w:pPr>
      <w:r>
        <w:rPr>
          <w:rFonts w:ascii="B Nazanin" w:hAnsi="B Nazanin" w:cs="B Nazanin" w:hint="cs"/>
          <w:sz w:val="24"/>
          <w:szCs w:val="24"/>
          <w:rtl/>
          <w:lang w:bidi="fa-IR"/>
        </w:rPr>
        <w:t xml:space="preserve">مقیاس تحمل ریسک مالی </w:t>
      </w:r>
      <w:r>
        <w:rPr>
          <w:rFonts w:ascii="B Nazanin" w:hAnsi="B Nazanin" w:cs="B Nazanin" w:hint="cs"/>
          <w:vertAlign w:val="superscript"/>
          <w:rtl/>
        </w:rPr>
        <w:footnoteReference w:id="42"/>
      </w:r>
      <w:r>
        <w:rPr>
          <w:rFonts w:ascii="B Nazanin" w:hAnsi="B Nazanin" w:cs="B Nazanin" w:hint="cs"/>
          <w:sz w:val="24"/>
          <w:szCs w:val="24"/>
          <w:rtl/>
          <w:lang w:bidi="fa-IR"/>
        </w:rPr>
        <w:t xml:space="preserve">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sz w:val="24"/>
          <w:szCs w:val="24"/>
          <w:rtl/>
          <w:lang w:bidi="fa-IR"/>
        </w:rPr>
        <w:t xml:space="preserve">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sz w:val="24"/>
          <w:szCs w:val="24"/>
          <w:rtl/>
          <w:lang w:bidi="fa-IR"/>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 </w:t>
      </w:r>
      <w:r>
        <w:rPr>
          <w:rFonts w:ascii="B Nazanin" w:hAnsi="B Nazanin" w:cs="B Nazanin" w:hint="cs"/>
          <w:vertAlign w:val="superscript"/>
          <w:rtl/>
        </w:rPr>
        <w:footnoteReference w:id="43"/>
      </w:r>
      <w:r>
        <w:rPr>
          <w:rFonts w:ascii="B Nazanin" w:hAnsi="B Nazanin" w:cs="B Nazanin" w:hint="cs"/>
          <w:sz w:val="24"/>
          <w:szCs w:val="24"/>
          <w:rtl/>
          <w:lang w:bidi="fa-IR"/>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B Nazanin" w:hAnsi="B Nazanin" w:cs="B Nazanin" w:hint="cs"/>
          <w:sz w:val="24"/>
          <w:szCs w:val="24"/>
          <w:rtl/>
          <w:lang w:bidi="fa-IR"/>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b/>
          <w:bCs/>
          <w:sz w:val="24"/>
          <w:szCs w:val="24"/>
          <w:rtl/>
          <w:lang w:bidi="fa-IR"/>
        </w:rPr>
        <w:t xml:space="preserve">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b/>
                <w:bCs/>
                <w:sz w:val="22"/>
                <w:szCs w:val="22"/>
                <w:rtl/>
                <w:lang w:bidi="fa-IR"/>
              </w:rPr>
              <w:t xml:space="preserve">ابزار</w:t>
            </w:r>
          </w:p>
        </w:tc>
        <w:tc>
          <w:tcPr>
            <w:tcW w:type="dxa" w:w="1644"/>
          </w:tcPr>
          <w:p>
            <w:pPr>
              <w:bidi w:val="1"/>
              <w:jc w:val="center"/>
            </w:pPr>
            <w:r/>
            <w:r>
              <w:rPr>
                <w:rFonts w:ascii="B Nazanin" w:hAnsi="B Nazanin" w:cs="B Nazanin" w:hint="cs"/>
                <w:b/>
                <w:bCs/>
                <w:sz w:val="22"/>
                <w:szCs w:val="22"/>
                <w:rtl/>
                <w:lang w:bidi="fa-IR"/>
              </w:rPr>
              <w:t xml:space="preserve">تعداد گویه</w:t>
            </w:r>
          </w:p>
        </w:tc>
        <w:tc>
          <w:tcPr>
            <w:tcW w:type="dxa" w:w="1644"/>
          </w:tcPr>
          <w:p>
            <w:pPr>
              <w:bidi w:val="1"/>
              <w:jc w:val="center"/>
            </w:pPr>
            <w:r/>
            <w:r>
              <w:rPr>
                <w:rFonts w:ascii="B Nazanin" w:hAnsi="B Nazanin" w:cs="B Nazanin" w:hint="cs"/>
                <w:b/>
                <w:bCs/>
                <w:sz w:val="22"/>
                <w:szCs w:val="22"/>
                <w:rtl/>
                <w:lang w:bidi="fa-IR"/>
              </w:rPr>
              <w:t xml:space="preserve">طیف پاسخ</w:t>
            </w:r>
          </w:p>
        </w:tc>
        <w:tc>
          <w:tcPr>
            <w:tcW w:type="dxa" w:w="1644"/>
          </w:tcPr>
          <w:p>
            <w:pPr>
              <w:bidi w:val="1"/>
              <w:jc w:val="center"/>
            </w:pPr>
            <w:r/>
            <w:r>
              <w:rPr>
                <w:rFonts w:ascii="B Nazanin" w:hAnsi="B Nazanin" w:cs="B Nazanin" w:hint="cs"/>
                <w:b/>
                <w:bCs/>
                <w:sz w:val="22"/>
                <w:szCs w:val="22"/>
                <w:rtl/>
                <w:lang w:bidi="fa-IR"/>
              </w:rPr>
              <w:t xml:space="preserve">دامنه نمره</w:t>
            </w:r>
          </w:p>
        </w:tc>
        <w:tc>
          <w:tcPr>
            <w:tcW w:type="dxa" w:w="1644"/>
          </w:tcPr>
          <w:p>
            <w:pPr>
              <w:bidi w:val="1"/>
              <w:jc w:val="center"/>
            </w:pPr>
            <w:r/>
            <w:r>
              <w:rPr>
                <w:rFonts w:ascii="B Nazanin" w:hAnsi="B Nazanin" w:cs="B Nazanin" w:hint="cs"/>
                <w:b/>
                <w:bCs/>
                <w:sz w:val="22"/>
                <w:szCs w:val="22"/>
                <w:rtl/>
                <w:lang w:bidi="fa-IR"/>
              </w:rPr>
              <w:t xml:space="preserve">نسخه فارسی</w:t>
            </w:r>
          </w:p>
        </w:tc>
      </w:tr>
      <w:tr>
        <w:tc>
          <w:tcPr>
            <w:tcW w:type="dxa" w:w="1644"/>
          </w:tcPr>
          <w:p>
            <w:pPr>
              <w:bidi w:val="1"/>
              <w:jc w:val="both"/>
            </w:pPr>
            <w:r/>
            <w:r>
              <w:rPr>
                <w:rFonts w:ascii="B Nazanin" w:hAnsi="B Nazanin" w:cs="B Nazanin" w:hint="cs"/>
                <w:sz w:val="22"/>
                <w:szCs w:val="22"/>
                <w:rtl/>
                <w:lang w:bidi="fa-IR"/>
              </w:rPr>
              <w:t xml:space="preserve">پرسشنامه اضطراب حالت-صفت اسپیلبرگر — فرم صفتی</w:t>
            </w:r>
            <w:r>
              <w:rPr>
                <w:rFonts w:ascii="Times New Roman" w:hAnsi="Times New Roman" w:cs="Times New Roman"/>
                <w:sz w:val="20"/>
                <w:szCs w:val="20"/>
                <w:lang w:val="en-US"/>
              </w:rPr>
              <w:t xml:space="preserve"> (STAI-Y2)</w:t>
            </w:r>
          </w:p>
        </w:tc>
        <w:tc>
          <w:tcPr>
            <w:tcW w:type="dxa" w:w="1644"/>
          </w:tcPr>
          <w:p>
            <w:pPr>
              <w:bidi w:val="1"/>
              <w:jc w:val="both"/>
            </w:pPr>
            <w:r/>
            <w:r>
              <w:rPr>
                <w:rFonts w:ascii="B Nazanin" w:hAnsi="B Nazanin" w:cs="B Nazanin" w:hint="cs"/>
                <w:sz w:val="22"/>
                <w:szCs w:val="22"/>
                <w:rtl/>
                <w:lang w:bidi="fa-IR"/>
              </w:rPr>
              <w:t xml:space="preserve">۲۰</w:t>
            </w:r>
          </w:p>
        </w:tc>
        <w:tc>
          <w:tcPr>
            <w:tcW w:type="dxa" w:w="1644"/>
          </w:tcPr>
          <w:p>
            <w:pPr>
              <w:bidi w:val="1"/>
              <w:jc w:val="both"/>
            </w:pPr>
            <w:r/>
            <w:r>
              <w:rPr>
                <w:rFonts w:ascii="B Nazanin" w:hAnsi="B Nazanin" w:cs="B Nazanin" w:hint="cs"/>
                <w:sz w:val="22"/>
                <w:szCs w:val="22"/>
                <w:rtl/>
                <w:lang w:bidi="fa-IR"/>
              </w:rPr>
              <w:t xml:space="preserve">لیکرت ۴ درجه‌ای (تقریباً هرگز تا تقریباً همیشه)</w:t>
            </w:r>
          </w:p>
        </w:tc>
        <w:tc>
          <w:tcPr>
            <w:tcW w:type="dxa" w:w="1644"/>
          </w:tcPr>
          <w:p>
            <w:pPr>
              <w:bidi w:val="1"/>
              <w:jc w:val="both"/>
            </w:pPr>
            <w:r/>
            <w:r>
              <w:rPr>
                <w:rFonts w:ascii="B Nazanin" w:hAnsi="B Nazanin" w:cs="B Nazanin" w:hint="cs"/>
                <w:sz w:val="22"/>
                <w:szCs w:val="22"/>
                <w:rtl/>
                <w:lang w:bidi="fa-IR"/>
              </w:rPr>
              <w:t xml:space="preserve">۲۰ تا ۸۰</w:t>
            </w:r>
          </w:p>
        </w:tc>
        <w:tc>
          <w:tcPr>
            <w:tcW w:type="dxa" w:w="1644"/>
          </w:tcPr>
          <w:p>
            <w:pPr>
              <w:bidi w:val="1"/>
              <w:jc w:val="both"/>
            </w:pPr>
            <w:r/>
            <w:r>
              <w:rPr>
                <w:rFonts w:ascii="B Nazanin" w:hAnsi="B Nazanin" w:cs="B Nazanin" w:hint="cs"/>
                <w:sz w:val="22"/>
                <w:szCs w:val="22"/>
                <w:rtl/>
                <w:lang w:bidi="fa-IR"/>
              </w:rPr>
              <w:t xml:space="preserve">بشارت و همکاران (۱۳۹۵)</w:t>
            </w:r>
          </w:p>
        </w:tc>
      </w:tr>
      <w:tr>
        <w:tc>
          <w:tcPr>
            <w:tcW w:type="dxa" w:w="1644"/>
          </w:tcPr>
          <w:p>
            <w:pPr>
              <w:bidi w:val="1"/>
              <w:jc w:val="both"/>
            </w:pPr>
            <w:r/>
            <w:r>
              <w:rPr>
                <w:rFonts w:ascii="B Nazanin" w:hAnsi="B Nazanin" w:cs="B Nazanin" w:hint="cs"/>
                <w:sz w:val="22"/>
                <w:szCs w:val="22"/>
                <w:rtl/>
                <w:lang w:bidi="fa-IR"/>
              </w:rPr>
              <w:t xml:space="preserve">پرسشنامه طرحواره یانگ — فرم کوتاه</w:t>
            </w:r>
            <w:r>
              <w:rPr>
                <w:rFonts w:ascii="Times New Roman" w:hAnsi="Times New Roman" w:cs="Times New Roman"/>
                <w:sz w:val="20"/>
                <w:szCs w:val="20"/>
                <w:lang w:val="en-US"/>
              </w:rPr>
              <w:t xml:space="preserve"> (YSQ-SF)</w:t>
            </w:r>
          </w:p>
        </w:tc>
        <w:tc>
          <w:tcPr>
            <w:tcW w:type="dxa" w:w="1644"/>
          </w:tcPr>
          <w:p>
            <w:pPr>
              <w:bidi w:val="1"/>
              <w:jc w:val="both"/>
            </w:pPr>
            <w:r/>
            <w:r>
              <w:rPr>
                <w:rFonts w:ascii="B Nazanin" w:hAnsi="B Nazanin" w:cs="B Nazanin" w:hint="cs"/>
                <w:sz w:val="22"/>
                <w:szCs w:val="22"/>
                <w:rtl/>
                <w:lang w:bidi="fa-IR"/>
              </w:rPr>
              <w:t xml:space="preserve">۷۵ (۱۵ خرده‌مقیاس × ۵ گویه)</w:t>
            </w:r>
          </w:p>
        </w:tc>
        <w:tc>
          <w:tcPr>
            <w:tcW w:type="dxa" w:w="1644"/>
          </w:tcPr>
          <w:p>
            <w:pPr>
              <w:bidi w:val="1"/>
              <w:jc w:val="both"/>
            </w:pPr>
            <w:r/>
            <w:r>
              <w:rPr>
                <w:rFonts w:ascii="B Nazanin" w:hAnsi="B Nazanin" w:cs="B Nazanin" w:hint="cs"/>
                <w:sz w:val="22"/>
                <w:szCs w:val="22"/>
                <w:rtl/>
                <w:lang w:bidi="fa-IR"/>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sz w:val="22"/>
                <w:szCs w:val="22"/>
                <w:rtl/>
                <w:lang w:bidi="fa-IR"/>
              </w:rPr>
              <w:t xml:space="preserve">۵ تا ۳۰ برای هر طرحواره</w:t>
            </w:r>
          </w:p>
        </w:tc>
        <w:tc>
          <w:tcPr>
            <w:tcW w:type="dxa" w:w="1644"/>
          </w:tcPr>
          <w:p>
            <w:pPr>
              <w:bidi w:val="1"/>
              <w:jc w:val="both"/>
            </w:pPr>
            <w:r/>
            <w:r>
              <w:rPr>
                <w:rFonts w:ascii="B Nazanin" w:hAnsi="B Nazanin" w:cs="B Nazanin" w:hint="cs"/>
                <w:sz w:val="22"/>
                <w:szCs w:val="22"/>
                <w:rtl/>
                <w:lang w:bidi="fa-IR"/>
              </w:rPr>
              <w:t xml:space="preserve">یوسفی (۱۳۹۶)</w:t>
            </w:r>
          </w:p>
        </w:tc>
      </w:tr>
      <w:tr>
        <w:tc>
          <w:tcPr>
            <w:tcW w:type="dxa" w:w="1644"/>
          </w:tcPr>
          <w:p>
            <w:pPr>
              <w:bidi w:val="1"/>
              <w:jc w:val="both"/>
            </w:pPr>
            <w:r/>
            <w:r>
              <w:rPr>
                <w:rFonts w:ascii="B Nazanin" w:hAnsi="B Nazanin" w:cs="B Nazanin" w:hint="cs"/>
                <w:sz w:val="22"/>
                <w:szCs w:val="22"/>
                <w:rtl/>
                <w:lang w:bidi="fa-IR"/>
              </w:rPr>
              <w:t xml:space="preserve">مقیاس تحمل ریسک مالی گرابل و لایتون</w:t>
            </w:r>
            <w:r>
              <w:rPr>
                <w:rFonts w:ascii="Times New Roman" w:hAnsi="Times New Roman" w:cs="Times New Roman"/>
                <w:sz w:val="20"/>
                <w:szCs w:val="20"/>
                <w:lang w:val="en-US"/>
              </w:rPr>
              <w:t xml:space="preserve"> (GL-RTS)</w:t>
            </w:r>
          </w:p>
        </w:tc>
        <w:tc>
          <w:tcPr>
            <w:tcW w:type="dxa" w:w="1644"/>
          </w:tcPr>
          <w:p>
            <w:pPr>
              <w:bidi w:val="1"/>
              <w:jc w:val="both"/>
            </w:pPr>
            <w:r/>
            <w:r>
              <w:rPr>
                <w:rFonts w:ascii="B Nazanin" w:hAnsi="B Nazanin" w:cs="B Nazanin" w:hint="cs"/>
                <w:sz w:val="22"/>
                <w:szCs w:val="22"/>
                <w:rtl/>
                <w:lang w:bidi="fa-IR"/>
              </w:rPr>
              <w:t xml:space="preserve">۱۳</w:t>
            </w:r>
          </w:p>
        </w:tc>
        <w:tc>
          <w:tcPr>
            <w:tcW w:type="dxa" w:w="1644"/>
          </w:tcPr>
          <w:p>
            <w:pPr>
              <w:bidi w:val="1"/>
              <w:jc w:val="both"/>
            </w:pPr>
            <w:r/>
            <w:r>
              <w:rPr>
                <w:rFonts w:ascii="B Nazanin" w:hAnsi="B Nazanin" w:cs="B Nazanin" w:hint="cs"/>
                <w:sz w:val="22"/>
                <w:szCs w:val="22"/>
                <w:rtl/>
                <w:lang w:bidi="fa-IR"/>
              </w:rPr>
              <w:t xml:space="preserve">تک‌گزینه‌ای با ۴ گزینه متنی ویژه هر سؤال</w:t>
            </w:r>
          </w:p>
        </w:tc>
        <w:tc>
          <w:tcPr>
            <w:tcW w:type="dxa" w:w="1644"/>
          </w:tcPr>
          <w:p>
            <w:pPr>
              <w:bidi w:val="1"/>
              <w:jc w:val="both"/>
            </w:pPr>
            <w:r/>
            <w:r>
              <w:rPr>
                <w:rFonts w:ascii="B Nazanin" w:hAnsi="B Nazanin" w:cs="B Nazanin" w:hint="cs"/>
                <w:sz w:val="22"/>
                <w:szCs w:val="22"/>
                <w:rtl/>
                <w:lang w:bidi="fa-IR"/>
              </w:rPr>
              <w:t xml:space="preserve">۱۳ تا ۴۵</w:t>
            </w:r>
          </w:p>
        </w:tc>
        <w:tc>
          <w:tcPr>
            <w:tcW w:type="dxa" w:w="1644"/>
          </w:tcPr>
          <w:p>
            <w:pPr>
              <w:bidi w:val="1"/>
              <w:jc w:val="both"/>
            </w:pPr>
            <w:r/>
            <w:r>
              <w:rPr>
                <w:rFonts w:ascii="B Nazanin" w:hAnsi="B Nazanin" w:cs="B Nazanin" w:hint="cs"/>
                <w:sz w:val="22"/>
                <w:szCs w:val="22"/>
                <w:rtl/>
                <w:lang w:bidi="fa-IR"/>
              </w:rPr>
              <w:t xml:space="preserve">طالبی و همکاران (۱۳۹۸)</w:t>
            </w:r>
          </w:p>
        </w:tc>
      </w:tr>
    </w:tbl>
    <w:p>
      <w:pPr>
        <w:bidi w:val="1"/>
        <w:spacing w:lineRule="exact" w:line="580" w:after="0"/>
        <w:jc w:val="both"/>
      </w:pPr>
      <w:r>
        <w:rPr>
          <w:rFonts w:ascii="B Nazanin" w:hAnsi="B Nazanin" w:cs="B Nazanin" w:hint="cs"/>
          <w:sz w:val="24"/>
          <w:szCs w:val="24"/>
          <w:rtl/>
          <w:lang w:bidi="fa-IR"/>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pPr>
      <w:r>
        <w:rPr>
          <w:rFonts w:ascii="B Nazanin" w:hAnsi="B Nazanin" w:cs="B Nazanin" w:hint="cs"/>
          <w:b/>
          <w:bCs/>
          <w:sz w:val="28"/>
          <w:szCs w:val="28"/>
          <w:rtl/>
          <w:lang w:bidi="fa-IR"/>
        </w:rPr>
        <w:t xml:space="preserve">۳-۵. روش اجرای پژوهش</w:t>
      </w:r>
    </w:p>
    <w:p>
      <w:pPr>
        <w:bidi w:val="1"/>
        <w:spacing w:lineRule="exact" w:line="580" w:after="0"/>
        <w:jc w:val="both"/>
      </w:pPr>
      <w:r>
        <w:rPr>
          <w:rFonts w:ascii="B Nazanin" w:hAnsi="B Nazanin" w:cs="B Nazanin" w:hint="cs"/>
          <w:sz w:val="24"/>
          <w:szCs w:val="24"/>
          <w:rtl/>
          <w:lang w:bidi="fa-IR"/>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sz w:val="24"/>
          <w:szCs w:val="24"/>
          <w:rtl/>
          <w:lang w:bidi="fa-IR"/>
        </w:rPr>
        <w:t xml:space="preserve">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B Nazanin" w:hAnsi="B Nazanin" w:cs="B Nazanin" w:hint="cs"/>
          <w:sz w:val="24"/>
          <w:szCs w:val="24"/>
          <w:rtl/>
          <w:lang w:bidi="fa-IR"/>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sz w:val="24"/>
          <w:szCs w:val="24"/>
          <w:rtl/>
          <w:lang w:bidi="fa-IR"/>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B Nazanin" w:hAnsi="B Nazanin" w:cs="B Nazanin" w:hint="cs"/>
          <w:sz w:val="24"/>
          <w:szCs w:val="24"/>
          <w:rtl/>
          <w:lang w:bidi="fa-IR"/>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sz w:val="24"/>
          <w:szCs w:val="24"/>
          <w:rtl/>
          <w:lang w:bidi="fa-IR"/>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sz w:val="24"/>
          <w:szCs w:val="24"/>
          <w:rtl/>
          <w:lang w:bidi="fa-IR"/>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pPr>
      <w:r>
        <w:rPr>
          <w:rFonts w:ascii="B Nazanin" w:hAnsi="B Nazanin" w:cs="B Nazanin" w:hint="cs"/>
          <w:b/>
          <w:bCs/>
          <w:sz w:val="28"/>
          <w:szCs w:val="28"/>
          <w:rtl/>
          <w:lang w:bidi="fa-IR"/>
        </w:rPr>
        <w:t xml:space="preserve">۳-۶. روش تحلیل داده‌ها</w:t>
      </w:r>
    </w:p>
    <w:p>
      <w:pPr>
        <w:bidi w:val="1"/>
        <w:spacing w:lineRule="exact" w:line="580" w:after="0"/>
        <w:jc w:val="both"/>
      </w:pPr>
      <w:r>
        <w:rPr>
          <w:rFonts w:ascii="B Nazanin" w:hAnsi="B Nazanin" w:cs="B Nazanin" w:hint="cs"/>
          <w:sz w:val="24"/>
          <w:szCs w:val="24"/>
          <w:rtl/>
          <w:lang w:bidi="fa-IR"/>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b/>
          <w:bCs/>
          <w:sz w:val="24"/>
          <w:szCs w:val="24"/>
          <w:rtl/>
          <w:lang w:bidi="fa-IR"/>
        </w:rPr>
        <w:t xml:space="preserve">آماده‌سازی داده‌ها.</w:t>
      </w:r>
      <w:r>
        <w:rPr>
          <w:rFonts w:ascii="B Nazanin" w:hAnsi="B Nazanin" w:cs="B Nazanin" w:hint="cs"/>
          <w:sz w:val="24"/>
          <w:szCs w:val="24"/>
          <w:rtl/>
          <w:lang w:bidi="fa-IR"/>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b/>
          <w:bCs/>
          <w:sz w:val="24"/>
          <w:szCs w:val="24"/>
          <w:rtl/>
          <w:lang w:bidi="fa-IR"/>
        </w:rPr>
        <w:t xml:space="preserve">آمار توصیفی.</w:t>
      </w:r>
      <w:r>
        <w:rPr>
          <w:rFonts w:ascii="B Nazanin" w:hAnsi="B Nazanin" w:cs="B Nazanin" w:hint="cs"/>
          <w:sz w:val="24"/>
          <w:szCs w:val="24"/>
          <w:rtl/>
          <w:lang w:bidi="fa-IR"/>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b/>
          <w:bCs/>
          <w:sz w:val="24"/>
          <w:szCs w:val="24"/>
          <w:rtl/>
          <w:lang w:bidi="fa-IR"/>
        </w:rPr>
        <w:t xml:space="preserve">پایایی ابزارها در نمونه پژوهش.</w:t>
      </w:r>
      <w:r>
        <w:rPr>
          <w:rFonts w:ascii="B Nazanin" w:hAnsi="B Nazanin" w:cs="B Nazanin" w:hint="cs"/>
          <w:sz w:val="24"/>
          <w:szCs w:val="24"/>
          <w:rtl/>
          <w:lang w:bidi="fa-IR"/>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b/>
          <w:bCs/>
          <w:sz w:val="24"/>
          <w:szCs w:val="24"/>
          <w:rtl/>
          <w:lang w:bidi="fa-IR"/>
        </w:rPr>
        <w:t xml:space="preserve">بررسی پیش‌فرض‌های تحلیل.</w:t>
      </w:r>
      <w:r>
        <w:rPr>
          <w:rFonts w:ascii="B Nazanin" w:hAnsi="B Nazanin" w:cs="B Nazanin" w:hint="cs"/>
          <w:sz w:val="24"/>
          <w:szCs w:val="24"/>
          <w:rtl/>
          <w:lang w:bidi="fa-IR"/>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b/>
          <w:bCs/>
          <w:sz w:val="24"/>
          <w:szCs w:val="24"/>
          <w:rtl/>
          <w:lang w:bidi="fa-IR"/>
        </w:rPr>
        <w:t xml:space="preserve">آزمون فرضیه‌های فرعی.</w:t>
      </w:r>
      <w:r>
        <w:rPr>
          <w:rFonts w:ascii="B Nazanin" w:hAnsi="B Nazanin" w:cs="B Nazanin" w:hint="cs"/>
          <w:sz w:val="24"/>
          <w:szCs w:val="24"/>
          <w:rtl/>
          <w:lang w:bidi="fa-IR"/>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b/>
          <w:bCs/>
          <w:sz w:val="24"/>
          <w:szCs w:val="24"/>
          <w:rtl/>
          <w:lang w:bidi="fa-IR"/>
        </w:rPr>
        <w:t xml:space="preserve">آزمون فرضیه اصلی و مدل میانجی‌گری.</w:t>
      </w:r>
      <w:r>
        <w:rPr>
          <w:rFonts w:ascii="B Nazanin" w:hAnsi="B Nazanin" w:cs="B Nazanin" w:hint="cs"/>
          <w:sz w:val="24"/>
          <w:szCs w:val="24"/>
          <w:rtl/>
          <w:lang w:bidi="fa-IR"/>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و الگوی شماره ۴ است که اثرات مستقیم و غیرمستقیم را برآورد می‌کند و معناداری اثر غیرمستقیم 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b/>
          <w:bCs/>
          <w:sz w:val="24"/>
          <w:szCs w:val="24"/>
          <w:rtl/>
          <w:lang w:bidi="fa-IR"/>
        </w:rPr>
        <w:t xml:space="preserve">نرم‌افزارها.</w:t>
      </w:r>
      <w:r>
        <w:rPr>
          <w:rFonts w:ascii="B Nazanin" w:hAnsi="B Nazanin" w:cs="B Nazanin" w:hint="cs"/>
          <w:sz w:val="24"/>
          <w:szCs w:val="24"/>
          <w:rtl/>
          <w:lang w:bidi="fa-IR"/>
        </w:rPr>
        <w:t xml:space="preserve"> تحلیل‌های آماری پژوهش با نرم‌افزار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نسخه ۲۶ و (در صورت امکان)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نسخه ۲۴ انجام می‌شود و برای تحلیل مسیر جایگزین، از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بر بستر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استفاده می‌گردد.</w:t>
      </w:r>
    </w:p>
    <w:p>
      <w:pPr>
        <w:bidi w:val="1"/>
        <w:spacing w:lineRule="exact" w:line="580" w:after="0"/>
        <w:jc w:val="both"/>
      </w:pPr>
      <w:r>
        <w:rPr>
          <w:rFonts w:ascii="B Nazanin" w:hAnsi="B Nazanin" w:cs="B Nazanin" w:hint="cs"/>
          <w:sz w:val="24"/>
          <w:szCs w:val="24"/>
          <w:rtl/>
          <w:lang w:bidi="fa-IR"/>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pPr>
      <w:r>
        <w:rPr>
          <w:rFonts w:ascii="B Nazanin" w:hAnsi="B Nazanin" w:cs="B Nazanin" w:hint="cs"/>
          <w:b/>
          <w:bCs/>
          <w:sz w:val="28"/>
          <w:szCs w:val="28"/>
          <w:rtl/>
          <w:lang w:bidi="fa-IR"/>
        </w:rPr>
        <w:t xml:space="preserve">۳-۷. ملاحظات اخلاقی</w:t>
      </w:r>
    </w:p>
    <w:p>
      <w:pPr>
        <w:bidi w:val="1"/>
        <w:spacing w:lineRule="exact" w:line="580" w:after="0"/>
        <w:jc w:val="both"/>
      </w:pPr>
      <w:r>
        <w:rPr>
          <w:rFonts w:ascii="B Nazanin" w:hAnsi="B Nazanin" w:cs="B Nazanin" w:hint="cs"/>
          <w:sz w:val="24"/>
          <w:szCs w:val="24"/>
          <w:rtl/>
          <w:lang w:bidi="fa-IR"/>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sz w:val="24"/>
          <w:szCs w:val="24"/>
          <w:rtl/>
          <w:lang w:bidi="fa-IR"/>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sz w:val="24"/>
          <w:szCs w:val="24"/>
          <w:rtl/>
          <w:lang w:bidi="fa-IR"/>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sz w:val="24"/>
          <w:szCs w:val="24"/>
          <w:rtl/>
          <w:lang w:bidi="fa-IR"/>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sz w:val="24"/>
          <w:szCs w:val="24"/>
          <w:rtl/>
          <w:lang w:bidi="fa-IR"/>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6"/>
          <w:footerReference w:type="first" r:id="rId17"/>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240" w:after="180"/>
        <w:jc w:val="right"/>
      </w:pPr>
      <w:r>
        <w:rPr>
          <w:rFonts w:ascii="B Nazanin" w:hAnsi="B Nazanin" w:cs="B Nazanin" w:hint="cs"/>
          <w:b/>
          <w:bCs/>
          <w:sz w:val="28"/>
          <w:szCs w:val="28"/>
          <w:rtl/>
          <w:lang w:bidi="fa-IR"/>
        </w:rPr>
        <w:t xml:space="preserve">منابع</w:t>
      </w:r>
    </w:p>
    <w:p>
      <w:pPr>
        <w:bidi w:val="1"/>
        <w:spacing w:lineRule="exact" w:line="580" w:before="180" w:after="60"/>
        <w:jc w:val="right"/>
      </w:pPr>
      <w:r>
        <w:rPr>
          <w:rFonts w:ascii="B Nazanin" w:hAnsi="B Nazanin" w:cs="B Nazanin" w:hint="cs"/>
          <w:b/>
          <w:bCs/>
          <w:sz w:val="28"/>
          <w:szCs w:val="28"/>
          <w:rtl/>
          <w:lang w:bidi="fa-IR"/>
        </w:rPr>
        <w:t xml:space="preserve">الف) منابع فارسی</w:t>
      </w:r>
    </w:p>
    <w:p>
      <w:pPr>
        <w:bidi w:val="1"/>
        <w:spacing w:lineRule="exact" w:line="580" w:after="40"/>
        <w:jc w:val="right"/>
      </w:pPr>
      <w:r>
        <w:rPr>
          <w:rFonts w:ascii="B Nazanin" w:hAnsi="B Nazanin" w:cs="B Nazanin" w:hint="cs"/>
          <w:sz w:val="24"/>
          <w:szCs w:val="24"/>
          <w:rtl/>
          <w:lang w:bidi="fa-IR"/>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sz w:val="24"/>
          <w:szCs w:val="24"/>
          <w:rtl/>
          <w:lang w:bidi="fa-IR"/>
        </w:rPr>
        <w:t xml:space="preserve">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right"/>
      </w:pPr>
      <w:r>
        <w:rPr>
          <w:rFonts w:ascii="B Nazanin" w:hAnsi="B Nazanin" w:cs="B Nazanin" w:hint="cs"/>
          <w:sz w:val="24"/>
          <w:szCs w:val="24"/>
          <w:rtl/>
          <w:lang w:bidi="fa-IR"/>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sz w:val="24"/>
          <w:szCs w:val="24"/>
          <w:rtl/>
          <w:lang w:bidi="fa-IR"/>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sz w:val="24"/>
          <w:szCs w:val="24"/>
          <w:rtl/>
          <w:lang w:bidi="fa-IR"/>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sz w:val="24"/>
          <w:szCs w:val="24"/>
          <w:rtl/>
          <w:lang w:bidi="fa-IR"/>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sz w:val="24"/>
          <w:szCs w:val="24"/>
          <w:rtl/>
          <w:lang w:bidi="fa-IR"/>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sz w:val="24"/>
          <w:szCs w:val="24"/>
          <w:rtl/>
          <w:lang w:bidi="fa-IR"/>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right"/>
      </w:pPr>
      <w:r>
        <w:rPr>
          <w:rFonts w:ascii="B Nazanin" w:hAnsi="B Nazanin" w:cs="B Nazanin" w:hint="cs"/>
          <w:sz w:val="24"/>
          <w:szCs w:val="24"/>
          <w:rtl/>
          <w:lang w:bidi="fa-IR"/>
        </w:rPr>
        <w:t xml:space="preserve">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B Nazanin" w:hAnsi="B Nazanin" w:cs="B Nazanin" w:hint="cs"/>
          <w:b/>
          <w:bCs/>
          <w:sz w:val="28"/>
          <w:szCs w:val="28"/>
          <w:rtl/>
          <w:lang w:bidi="fa-IR"/>
        </w:rPr>
        <w:t xml:space="preserve">ب) منابع لاتین</w:t>
      </w:r>
    </w:p>
    <w:p>
      <w:pPr>
        <w:bidi w:val="0"/>
        <w:spacing w:lineRule="exact" w:line="580" w:after="40"/>
        <w:ind w:left="720" w:hanging="720"/>
        <w:jc w:val="left"/>
      </w:pPr>
      <w:r>
        <w:rPr>
          <w:rFonts w:ascii="Times New Roman" w:hAnsi="Times New Roman" w:cs="Times New Roman"/>
          <w:sz w:val="22"/>
          <w:szCs w:val="22"/>
          <w:lang w:val="en-US"/>
        </w:rPr>
        <w:t xml:space="preserve">American Psychiatric Association. (2013). Diagnostic and statistical manual of mental disorders</w:t>
      </w:r>
    </w:p>
    <w:p>
      <w:pPr>
        <w:bidi w:val="0"/>
        <w:spacing w:lineRule="exact" w:line="580" w:after="40"/>
        <w:ind w:left="720" w:hanging="720"/>
        <w:jc w:val="left"/>
      </w:pPr>
      <w:r>
        <w:rPr>
          <w:rFonts w:ascii="Times New Roman" w:hAnsi="Times New Roman" w:cs="Times New Roman"/>
          <w:sz w:val="22"/>
          <w:szCs w:val="22"/>
          <w:lang w:val="en-US"/>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sz w:val="22"/>
          <w:szCs w:val="22"/>
          <w:lang w:val="en-US"/>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sz w:val="22"/>
          <w:szCs w:val="22"/>
          <w:lang w:val="en-US"/>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sz w:val="22"/>
          <w:szCs w:val="22"/>
          <w:lang w:val="en-US"/>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sz w:val="22"/>
          <w:szCs w:val="22"/>
          <w:lang w:val="en-US"/>
        </w:rPr>
        <w:t xml:space="preserve">Baddeley, A. D., Eysenck, M. W., &amp; Anderson, M. C. (2021). Memory (3rd ed.). Routledge.</w:t>
      </w:r>
    </w:p>
    <w:p>
      <w:pPr>
        <w:bidi w:val="0"/>
        <w:spacing w:lineRule="exact" w:line="580" w:after="40"/>
        <w:ind w:left="720" w:hanging="720"/>
        <w:jc w:val="left"/>
      </w:pPr>
      <w:r>
        <w:rPr>
          <w:rFonts w:ascii="Times New Roman" w:hAnsi="Times New Roman" w:cs="Times New Roman"/>
          <w:sz w:val="22"/>
          <w:szCs w:val="22"/>
          <w:lang w:val="en-US"/>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sz w:val="22"/>
          <w:szCs w:val="22"/>
          <w:lang w:val="en-US"/>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sz w:val="22"/>
          <w:szCs w:val="22"/>
          <w:lang w:val="en-US"/>
        </w:rPr>
        <w:t xml:space="preserve">Barlow, D. H. (2002). Anxiety and its disorders: The nature and treatment of anxiety and panic. Guilford Press.</w:t>
      </w:r>
    </w:p>
    <w:p>
      <w:pPr>
        <w:bidi w:val="0"/>
        <w:spacing w:lineRule="exact" w:line="580" w:after="40"/>
        <w:ind w:left="720" w:hanging="720"/>
        <w:jc w:val="left"/>
      </w:pPr>
      <w:r>
        <w:rPr>
          <w:rFonts w:ascii="Times New Roman" w:hAnsi="Times New Roman" w:cs="Times New Roman"/>
          <w:sz w:val="22"/>
          <w:szCs w:val="22"/>
          <w:lang w:val="en-US"/>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sz w:val="22"/>
          <w:szCs w:val="22"/>
          <w:lang w:val="en-US"/>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sz w:val="22"/>
          <w:szCs w:val="22"/>
          <w:lang w:val="en-US"/>
        </w:rPr>
        <w:t xml:space="preserve">Bishop, S. J. (2007). Neurocognitive mechanisms of anxiety: an integrative account. Trends in Cognitive Sciences, 11(7), 307-316.</w:t>
      </w:r>
    </w:p>
    <w:p>
      <w:pPr>
        <w:bidi w:val="0"/>
        <w:spacing w:lineRule="exact" w:line="580" w:after="40"/>
        <w:ind w:left="720" w:hanging="720"/>
        <w:jc w:val="left"/>
      </w:pPr>
      <w:r>
        <w:rPr>
          <w:rFonts w:ascii="Times New Roman" w:hAnsi="Times New Roman" w:cs="Times New Roman"/>
          <w:sz w:val="22"/>
          <w:szCs w:val="22"/>
          <w:lang w:val="en-US"/>
        </w:rPr>
        <w:t xml:space="preserve">Bodie, Z., Kane, A., &amp; Marcus, A. J. (2018). Investments (11th ed.). McGraw-Hill Education.</w:t>
      </w:r>
    </w:p>
    <w:p>
      <w:pPr>
        <w:bidi w:val="0"/>
        <w:spacing w:lineRule="exact" w:line="580" w:after="40"/>
        <w:ind w:left="720" w:hanging="720"/>
        <w:jc w:val="left"/>
      </w:pPr>
      <w:r>
        <w:rPr>
          <w:rFonts w:ascii="Times New Roman" w:hAnsi="Times New Roman" w:cs="Times New Roman"/>
          <w:sz w:val="22"/>
          <w:szCs w:val="22"/>
          <w:lang w:val="en-US"/>
        </w:rPr>
        <w:t xml:space="preserve">Borkovec, T. D. (1994). The nature, functions, and origins of worry. In G. C. L. Davey &amp; F. Tallis (Eds.), Worrying: Perspectives on theory, assessment and treatment (pp. 5–33). Wiley.</w:t>
      </w:r>
    </w:p>
    <w:p>
      <w:pPr>
        <w:bidi w:val="0"/>
        <w:spacing w:lineRule="exact" w:line="580" w:after="40"/>
        <w:ind w:left="720" w:hanging="720"/>
        <w:jc w:val="left"/>
      </w:pPr>
      <w:r>
        <w:rPr>
          <w:rFonts w:ascii="Times New Roman" w:hAnsi="Times New Roman" w:cs="Times New Roman"/>
          <w:sz w:val="22"/>
          <w:szCs w:val="22"/>
          <w:lang w:val="en-US"/>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sz w:val="22"/>
          <w:szCs w:val="22"/>
          <w:lang w:val="en-US"/>
        </w:rPr>
        <w:t xml:space="preserve">Daniel, K., Hirshleifer, D., &amp; Subrahmanyam, A. (1998). Investor psychology and security market under- and overreactions. The Journal of Finance, 53(6), 1839–1885. https://doi.org/10.1111/0022-1082.00077</w:t>
      </w:r>
    </w:p>
    <w:p>
      <w:pPr>
        <w:bidi w:val="0"/>
        <w:spacing w:lineRule="exact" w:line="580" w:after="40"/>
        <w:ind w:left="720" w:hanging="720"/>
        <w:jc w:val="left"/>
      </w:pPr>
      <w:r>
        <w:rPr>
          <w:rFonts w:ascii="Times New Roman" w:hAnsi="Times New Roman" w:cs="Times New Roman"/>
          <w:sz w:val="22"/>
          <w:szCs w:val="22"/>
          <w:lang w:val="en-US"/>
        </w:rPr>
        <w:t xml:space="preserve">De Martino, B., et al. (2006) Frames, biases, and rational decision-making in the human brain. Science, 313 (5787), 684–687.</w:t>
      </w:r>
    </w:p>
    <w:p>
      <w:pPr>
        <w:bidi w:val="0"/>
        <w:spacing w:lineRule="exact" w:line="580" w:after="40"/>
        <w:ind w:left="720" w:hanging="720"/>
        <w:jc w:val="left"/>
      </w:pPr>
      <w:r>
        <w:rPr>
          <w:rFonts w:ascii="Times New Roman" w:hAnsi="Times New Roman" w:cs="Times New Roman"/>
          <w:sz w:val="22"/>
          <w:szCs w:val="22"/>
          <w:lang w:val="en-US"/>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sz w:val="22"/>
          <w:szCs w:val="22"/>
          <w:lang w:val="en-US"/>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sz w:val="22"/>
          <w:szCs w:val="22"/>
          <w:lang w:val="en-US"/>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5(4), 227-237.</w:t>
      </w:r>
    </w:p>
    <w:p>
      <w:pPr>
        <w:bidi w:val="0"/>
        <w:spacing w:lineRule="exact" w:line="580" w:after="40"/>
        <w:ind w:left="720" w:hanging="720"/>
        <w:jc w:val="left"/>
      </w:pPr>
      <w:r>
        <w:rPr>
          <w:rFonts w:ascii="Times New Roman" w:hAnsi="Times New Roman" w:cs="Times New Roman"/>
          <w:sz w:val="22"/>
          <w:szCs w:val="22"/>
          <w:lang w:val="en-US"/>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sz w:val="22"/>
          <w:szCs w:val="22"/>
          <w:lang w:val="en-US"/>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sz w:val="22"/>
          <w:szCs w:val="22"/>
          <w:lang w:val="en-US"/>
        </w:rPr>
        <w:t xml:space="preserve">Goetzmann, W. N., &amp; Kumar, A. (2008). Equity portfolio diversification. Review of Finance, 12(3), 433-463.</w:t>
      </w:r>
    </w:p>
    <w:p>
      <w:pPr>
        <w:bidi w:val="0"/>
        <w:spacing w:lineRule="exact" w:line="580" w:after="40"/>
        <w:ind w:left="720" w:hanging="720"/>
        <w:jc w:val="left"/>
      </w:pPr>
      <w:r>
        <w:rPr>
          <w:rFonts w:ascii="Times New Roman" w:hAnsi="Times New Roman" w:cs="Times New Roman"/>
          <w:sz w:val="22"/>
          <w:szCs w:val="22"/>
          <w:lang w:val="en-US"/>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sz w:val="22"/>
          <w:szCs w:val="22"/>
          <w:lang w:val="en-US"/>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sz w:val="22"/>
          <w:szCs w:val="22"/>
          <w:lang w:val="en-US"/>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sz w:val="22"/>
          <w:szCs w:val="22"/>
          <w:lang w:val="en-US"/>
        </w:rPr>
        <w:t xml:space="preserve">Grupe, D. W., &amp; Nitschke, J. B. (2013). Uncertainty and anticipation in anxiety: an integrated neurobiological and psychological perspective. Nature Reviews Neuroscience, 14(7), 488-501.</w:t>
      </w:r>
    </w:p>
    <w:p>
      <w:pPr>
        <w:bidi w:val="0"/>
        <w:spacing w:lineRule="exact" w:line="580" w:after="40"/>
        <w:ind w:left="720" w:hanging="720"/>
        <w:jc w:val="left"/>
      </w:pPr>
      <w:r>
        <w:rPr>
          <w:rFonts w:ascii="Times New Roman" w:hAnsi="Times New Roman" w:cs="Times New Roman"/>
          <w:sz w:val="22"/>
          <w:szCs w:val="22"/>
          <w:lang w:val="en-US"/>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sz w:val="22"/>
          <w:szCs w:val="22"/>
          <w:lang w:val="en-US"/>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sz w:val="22"/>
          <w:szCs w:val="22"/>
          <w:lang w:val="en-US"/>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sz w:val="22"/>
          <w:szCs w:val="22"/>
          <w:lang w:val="en-US"/>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sz w:val="22"/>
          <w:szCs w:val="22"/>
          <w:lang w:val="en-US"/>
        </w:rPr>
        <w:t xml:space="preserve">Kahneman, D. (2011). Thinking, fast and slow. Farrar, Straus and Giroux.</w:t>
      </w:r>
    </w:p>
    <w:p>
      <w:pPr>
        <w:bidi w:val="0"/>
        <w:spacing w:lineRule="exact" w:line="580" w:after="40"/>
        <w:ind w:left="720" w:hanging="720"/>
        <w:jc w:val="left"/>
      </w:pPr>
      <w:r>
        <w:rPr>
          <w:rFonts w:ascii="Times New Roman" w:hAnsi="Times New Roman" w:cs="Times New Roman"/>
          <w:sz w:val="22"/>
          <w:szCs w:val="22"/>
          <w:lang w:val="en-US"/>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sz w:val="22"/>
          <w:szCs w:val="22"/>
          <w:lang w:val="en-US"/>
        </w:rPr>
        <w:t xml:space="preserve">Kaplan, H. I., &amp; Sadock, B. J. (2015) Synopsis of Psychiatry: Behavioral Sciences/Clinical Psychiatry. Wolters Kluwer.</w:t>
      </w:r>
    </w:p>
    <w:p>
      <w:pPr>
        <w:bidi w:val="0"/>
        <w:spacing w:lineRule="exact" w:line="580" w:after="40"/>
        <w:ind w:left="720" w:hanging="720"/>
        <w:jc w:val="left"/>
      </w:pPr>
      <w:r>
        <w:rPr>
          <w:rFonts w:ascii="Times New Roman" w:hAnsi="Times New Roman" w:cs="Times New Roman"/>
          <w:sz w:val="22"/>
          <w:szCs w:val="22"/>
          <w:lang w:val="en-US"/>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sz w:val="22"/>
          <w:szCs w:val="22"/>
          <w:lang w:val="en-US"/>
        </w:rPr>
        <w:t xml:space="preserve">Kuhnen, C. M., &amp; Chiao, J. Y. (2009). Genetic determinants of financial risk taking. PLOS ONE, 4 (2), e4362</w:t>
      </w:r>
    </w:p>
    <w:p>
      <w:pPr>
        <w:bidi w:val="0"/>
        <w:spacing w:lineRule="exact" w:line="580" w:after="40"/>
        <w:ind w:left="720" w:hanging="720"/>
        <w:jc w:val="left"/>
      </w:pPr>
      <w:r>
        <w:rPr>
          <w:rFonts w:ascii="Times New Roman" w:hAnsi="Times New Roman" w:cs="Times New Roman"/>
          <w:sz w:val="22"/>
          <w:szCs w:val="22"/>
          <w:lang w:val="en-US"/>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sz w:val="22"/>
          <w:szCs w:val="22"/>
          <w:lang w:val="en-US"/>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sz w:val="22"/>
          <w:szCs w:val="22"/>
          <w:lang w:val="en-US"/>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sz w:val="22"/>
          <w:szCs w:val="22"/>
          <w:lang w:val="en-US"/>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sz w:val="22"/>
          <w:szCs w:val="22"/>
          <w:lang w:val="en-US"/>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sz w:val="22"/>
          <w:szCs w:val="22"/>
          <w:lang w:val="en-US"/>
        </w:rPr>
        <w:t xml:space="preserve">Malkiel, B. G. (2003). The efficient market hypothesis and its critics. Journal of Economic Perspectives, 17(1), 59-82.</w:t>
      </w:r>
    </w:p>
    <w:p>
      <w:pPr>
        <w:bidi w:val="0"/>
        <w:spacing w:lineRule="exact" w:line="580" w:after="40"/>
        <w:ind w:left="720" w:hanging="720"/>
        <w:jc w:val="left"/>
      </w:pPr>
      <w:r>
        <w:rPr>
          <w:rFonts w:ascii="Times New Roman" w:hAnsi="Times New Roman" w:cs="Times New Roman"/>
          <w:sz w:val="22"/>
          <w:szCs w:val="22"/>
          <w:lang w:val="en-US"/>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sz w:val="22"/>
          <w:szCs w:val="22"/>
          <w:lang w:val="en-US"/>
        </w:rPr>
        <w:t xml:space="preserve">Mishkin, F. S. (2019). The economics of money, banking and financial markets (12th ed.). Pearson.</w:t>
      </w:r>
    </w:p>
    <w:p>
      <w:pPr>
        <w:bidi w:val="0"/>
        <w:spacing w:lineRule="exact" w:line="580" w:after="40"/>
        <w:ind w:left="720" w:hanging="720"/>
        <w:jc w:val="left"/>
      </w:pPr>
      <w:r>
        <w:rPr>
          <w:rFonts w:ascii="Times New Roman" w:hAnsi="Times New Roman" w:cs="Times New Roman"/>
          <w:sz w:val="22"/>
          <w:szCs w:val="22"/>
          <w:lang w:val="en-US"/>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sz w:val="22"/>
          <w:szCs w:val="22"/>
          <w:lang w:val="en-US"/>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sz w:val="22"/>
          <w:szCs w:val="22"/>
          <w:lang w:val="en-US"/>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sz w:val="22"/>
          <w:szCs w:val="22"/>
          <w:lang w:val="en-US"/>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sz w:val="22"/>
          <w:szCs w:val="22"/>
          <w:lang w:val="en-US"/>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sz w:val="22"/>
          <w:szCs w:val="22"/>
          <w:lang w:val="en-US"/>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sz w:val="22"/>
          <w:szCs w:val="22"/>
          <w:lang w:val="en-US"/>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sz w:val="22"/>
          <w:szCs w:val="22"/>
          <w:lang w:val="en-US"/>
        </w:rPr>
        <w:t xml:space="preserve">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0"/>
        <w:spacing w:lineRule="exact" w:line="580" w:after="40"/>
        <w:ind w:left="720" w:hanging="720"/>
        <w:jc w:val="left"/>
      </w:pPr>
      <w:r>
        <w:rPr>
          <w:rFonts w:ascii="Times New Roman" w:hAnsi="Times New Roman" w:cs="Times New Roman"/>
          <w:sz w:val="22"/>
          <w:szCs w:val="22"/>
          <w:lang w:val="en-US"/>
        </w:rPr>
        <w:t xml:space="preserve">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0"/>
        <w:spacing w:lineRule="exact" w:line="580" w:after="40"/>
        <w:ind w:left="720" w:hanging="720"/>
        <w:jc w:val="left"/>
      </w:pPr>
      <w:r>
        <w:rPr>
          <w:rFonts w:ascii="Times New Roman" w:hAnsi="Times New Roman" w:cs="Times New Roman"/>
          <w:sz w:val="22"/>
          <w:szCs w:val="22"/>
          <w:lang w:val="en-US"/>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sz w:val="22"/>
          <w:szCs w:val="22"/>
          <w:lang w:val="en-US"/>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sz w:val="22"/>
          <w:szCs w:val="22"/>
          <w:lang w:val="en-US"/>
        </w:rPr>
        <w:t xml:space="preserve">Shiller, R. J. (2015). Irrational exuberance (3rd ed.). Princeton University Press.</w:t>
      </w:r>
    </w:p>
    <w:p>
      <w:pPr>
        <w:bidi w:val="0"/>
        <w:spacing w:lineRule="exact" w:line="580" w:after="40"/>
        <w:ind w:left="720" w:hanging="720"/>
        <w:jc w:val="left"/>
      </w:pPr>
      <w:r>
        <w:rPr>
          <w:rFonts w:ascii="Times New Roman" w:hAnsi="Times New Roman" w:cs="Times New Roman"/>
          <w:sz w:val="22"/>
          <w:szCs w:val="22"/>
          <w:lang w:val="en-US"/>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sz w:val="22"/>
          <w:szCs w:val="22"/>
          <w:lang w:val="en-US"/>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Spielberger, C. D., Gorsuch, R. L., &amp; Lushene, R. E. (1970).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sz w:val="22"/>
          <w:szCs w:val="22"/>
          <w:lang w:val="en-US"/>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sz w:val="22"/>
          <w:szCs w:val="22"/>
          <w:lang w:val="en-US"/>
        </w:rPr>
        <w:t xml:space="preserve">Yalom, I. D. (1980). Existential Psychotherapy. Basic Books</w:t>
      </w:r>
    </w:p>
    <w:p>
      <w:pPr>
        <w:bidi w:val="0"/>
        <w:spacing w:lineRule="exact" w:line="580" w:after="40"/>
        <w:ind w:left="720" w:hanging="720"/>
        <w:jc w:val="left"/>
      </w:pPr>
      <w:r>
        <w:rPr>
          <w:rFonts w:ascii="Times New Roman" w:hAnsi="Times New Roman" w:cs="Times New Roman"/>
          <w:sz w:val="22"/>
          <w:szCs w:val="22"/>
          <w:lang w:val="en-US"/>
        </w:rPr>
        <w:t xml:space="preserve">Young, J. E. (1998). Young Schema Questionnaire - Short Form. Schema Therapy Institute.</w:t>
      </w:r>
    </w:p>
    <w:p>
      <w:pPr>
        <w:bidi w:val="0"/>
        <w:spacing w:lineRule="exact" w:line="580" w:after="40"/>
        <w:ind w:left="720" w:hanging="720"/>
        <w:jc w:val="left"/>
      </w:pPr>
      <w:r>
        <w:rPr>
          <w:rFonts w:ascii="Times New Roman" w:hAnsi="Times New Roman" w:cs="Times New Roman"/>
          <w:sz w:val="22"/>
          <w:szCs w:val="22"/>
          <w:lang w:val="en-US"/>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sz w:val="22"/>
          <w:szCs w:val="22"/>
          <w:lang w:val="en-US"/>
        </w:rPr>
        <w:t xml:space="preserve">Zuckerman, M. (1999). Vulnerability to psychopathology: A biosocial model. American Psychological Association.</w:t>
      </w:r>
    </w:p>
    <w:sectPr w:rsidR="00FC693F" w:rsidRPr="0006063C" w:rsidSect="00034616">
      <w:footerReference w:type="default" r:id="rId18"/>
      <w:footnotePr>
        <w:numFmt w:val="hindi"/>
        <w:numRestart w:val="eachPage"/>
      </w:footnotePr>
      <w:pgSz w:w="11906" w:h="16838"/>
      <w:pgMar w:top="1701" w:right="2268" w:bottom="1417" w:left="1417" w:header="720" w:footer="567" w:gutter="0"/>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notes.xml><?xml version="1.0" encoding="utf-8"?>
<w:footnotes xmlns:w="http://schemas.openxmlformats.org/wordprocessingml/2006/main">
  <w:footnote w:id="-1">
    <w:p>
      <w:r>
        <w:separator/>
      </w:r>
    </w:p>
  </w:footnote>
  <w:footnote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Trait Anxiety</w:t>
      </w:r>
    </w:p>
  </w:footnote>
  <w:footnote w:id="3">
    <w:p>
      <w:pPr>
        <w:bidi w:val="0"/>
      </w:pPr>
      <w:r>
        <w:rPr>
          <w:vertAlign w:val="superscript"/>
        </w:rPr>
        <w:footnoteRef/>
      </w:r>
      <w:r>
        <w:rPr>
          <w:rFonts w:ascii="Times New Roman" w:hAnsi="Times New Roman" w:cs="Times New Roman"/>
          <w:sz w:val="20"/>
          <w:szCs w:val="20"/>
        </w:rPr>
        <w:t xml:space="preserve"> Early Maladaptive Schemas</w:t>
      </w:r>
    </w:p>
  </w:footnote>
  <w:footnote w:id="4">
    <w:p>
      <w:pPr>
        <w:bidi w:val="0"/>
      </w:pPr>
      <w:r>
        <w:rPr>
          <w:vertAlign w:val="superscript"/>
        </w:rPr>
        <w:footnoteRef/>
      </w:r>
      <w:r>
        <w:rPr>
          <w:rFonts w:ascii="Times New Roman" w:hAnsi="Times New Roman" w:cs="Times New Roman"/>
          <w:sz w:val="20"/>
          <w:szCs w:val="20"/>
        </w:rPr>
        <w:t xml:space="preserve"> Efficient Market Hypothesis</w:t>
      </w:r>
    </w:p>
  </w:footnote>
  <w:footnote w:id="5">
    <w:p>
      <w:pPr>
        <w:bidi w:val="0"/>
      </w:pPr>
      <w:r>
        <w:rPr>
          <w:vertAlign w:val="superscript"/>
        </w:rPr>
        <w:footnoteRef/>
      </w:r>
      <w:r>
        <w:rPr>
          <w:rFonts w:ascii="Times New Roman" w:hAnsi="Times New Roman" w:cs="Times New Roman"/>
          <w:sz w:val="20"/>
          <w:szCs w:val="20"/>
        </w:rPr>
        <w:t xml:space="preserve"> Behavioral Economics</w:t>
      </w:r>
    </w:p>
  </w:footnote>
  <w:footnote w:id="6">
    <w:p>
      <w:pPr>
        <w:bidi w:val="0"/>
      </w:pPr>
      <w:r>
        <w:rPr>
          <w:vertAlign w:val="superscript"/>
        </w:rPr>
        <w:footnoteRef/>
      </w:r>
      <w:r>
        <w:rPr>
          <w:rFonts w:ascii="Times New Roman" w:hAnsi="Times New Roman" w:cs="Times New Roman"/>
          <w:sz w:val="20"/>
          <w:szCs w:val="20"/>
        </w:rPr>
        <w:t xml:space="preserve"> Prospect Theory</w:t>
      </w:r>
    </w:p>
  </w:footnote>
  <w:footnote w:id="7">
    <w:p>
      <w:pPr>
        <w:bidi w:val="0"/>
      </w:pPr>
      <w:r>
        <w:rPr>
          <w:vertAlign w:val="superscript"/>
        </w:rPr>
        <w:footnoteRef/>
      </w:r>
      <w:r>
        <w:rPr>
          <w:rFonts w:ascii="Times New Roman" w:hAnsi="Times New Roman" w:cs="Times New Roman"/>
          <w:sz w:val="20"/>
          <w:szCs w:val="20"/>
        </w:rPr>
        <w:t xml:space="preserve"> Loss Aversion</w:t>
      </w:r>
    </w:p>
  </w:footnote>
  <w:footnote w:id="8">
    <w:p>
      <w:pPr>
        <w:bidi w:val="0"/>
      </w:pPr>
      <w:r>
        <w:rPr>
          <w:vertAlign w:val="superscript"/>
        </w:rPr>
        <w:footnoteRef/>
      </w:r>
      <w:r>
        <w:rPr>
          <w:rFonts w:ascii="Times New Roman" w:hAnsi="Times New Roman" w:cs="Times New Roman"/>
          <w:sz w:val="20"/>
          <w:szCs w:val="20"/>
        </w:rPr>
        <w:t xml:space="preserve"> Fear of Missing Out</w:t>
      </w:r>
    </w:p>
  </w:footnote>
  <w:footnote w:id="9">
    <w:p>
      <w:pPr>
        <w:bidi w:val="0"/>
      </w:pPr>
      <w:r>
        <w:rPr>
          <w:vertAlign w:val="superscript"/>
        </w:rPr>
        <w:footnoteRef/>
      </w:r>
      <w:r>
        <w:rPr>
          <w:rFonts w:ascii="Times New Roman" w:hAnsi="Times New Roman" w:cs="Times New Roman"/>
          <w:sz w:val="20"/>
          <w:szCs w:val="20"/>
        </w:rPr>
        <w:t xml:space="preserve"> Attentional Control Theory</w:t>
      </w:r>
    </w:p>
  </w:footnote>
  <w:footnote w:id="10">
    <w:p>
      <w:pPr>
        <w:bidi w:val="0"/>
      </w:pPr>
      <w:r>
        <w:rPr>
          <w:vertAlign w:val="superscript"/>
        </w:rPr>
        <w:footnoteRef/>
      </w:r>
      <w:r>
        <w:rPr>
          <w:rFonts w:ascii="Times New Roman" w:hAnsi="Times New Roman" w:cs="Times New Roman"/>
          <w:sz w:val="20"/>
          <w:szCs w:val="20"/>
        </w:rPr>
        <w:t xml:space="preserve"> Overtrading</w:t>
      </w:r>
    </w:p>
  </w:footnote>
  <w:footnote w:id="11">
    <w:p>
      <w:pPr>
        <w:bidi w:val="0"/>
      </w:pPr>
      <w:r>
        <w:rPr>
          <w:vertAlign w:val="superscript"/>
        </w:rPr>
        <w:footnoteRef/>
      </w:r>
      <w:r>
        <w:rPr>
          <w:rFonts w:ascii="Times New Roman" w:hAnsi="Times New Roman" w:cs="Times New Roman"/>
          <w:sz w:val="20"/>
          <w:szCs w:val="20"/>
        </w:rPr>
        <w:t xml:space="preserve"> Disposition Effect</w:t>
      </w:r>
    </w:p>
  </w:footnote>
  <w:footnote w:id="12">
    <w:p>
      <w:pPr>
        <w:bidi w:val="0"/>
      </w:pPr>
      <w:r>
        <w:rPr>
          <w:vertAlign w:val="superscript"/>
        </w:rPr>
        <w:footnoteRef/>
      </w:r>
      <w:r>
        <w:rPr>
          <w:rFonts w:ascii="Times New Roman" w:hAnsi="Times New Roman" w:cs="Times New Roman"/>
          <w:sz w:val="20"/>
          <w:szCs w:val="20"/>
        </w:rPr>
        <w:t xml:space="preserve"> Herding Behavior</w:t>
      </w:r>
    </w:p>
  </w:footnote>
  <w:footnote w:id="13">
    <w:p>
      <w:pPr>
        <w:bidi w:val="0"/>
      </w:pPr>
      <w:r>
        <w:rPr>
          <w:vertAlign w:val="superscript"/>
        </w:rPr>
        <w:footnoteRef/>
      </w:r>
      <w:r>
        <w:rPr>
          <w:rFonts w:ascii="Times New Roman" w:hAnsi="Times New Roman" w:cs="Times New Roman"/>
          <w:sz w:val="20"/>
          <w:szCs w:val="20"/>
        </w:rPr>
        <w:t xml:space="preserve"> Diathesis-Stress Model</w:t>
      </w:r>
    </w:p>
  </w:footnote>
  <w:footnote w:id="14">
    <w:p>
      <w:pPr>
        <w:bidi w:val="0"/>
      </w:pPr>
      <w:r>
        <w:rPr>
          <w:vertAlign w:val="superscript"/>
        </w:rPr>
        <w:footnoteRef/>
      </w:r>
      <w:r>
        <w:rPr>
          <w:rFonts w:ascii="Times New Roman" w:hAnsi="Times New Roman" w:cs="Times New Roman"/>
          <w:sz w:val="20"/>
          <w:szCs w:val="20"/>
        </w:rPr>
        <w:t xml:space="preserve"> STAI</w:t>
      </w:r>
    </w:p>
  </w:footnote>
  <w:footnote w:id="15">
    <w:p>
      <w:pPr>
        <w:bidi w:val="0"/>
      </w:pPr>
      <w:r>
        <w:rPr>
          <w:vertAlign w:val="superscript"/>
        </w:rPr>
        <w:footnoteRef/>
      </w:r>
      <w:r>
        <w:rPr>
          <w:rFonts w:ascii="Times New Roman" w:hAnsi="Times New Roman" w:cs="Times New Roman"/>
          <w:sz w:val="20"/>
          <w:szCs w:val="20"/>
        </w:rPr>
        <w:t xml:space="preserve">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pPr>
        <w:bidi w:val="0"/>
      </w:pPr>
      <w:r>
        <w:rPr>
          <w:vertAlign w:val="superscript"/>
        </w:rPr>
        <w:footnoteRef/>
      </w:r>
      <w:r>
        <w:rPr>
          <w:rFonts w:ascii="Times New Roman" w:hAnsi="Times New Roman" w:cs="Times New Roman"/>
          <w:sz w:val="20"/>
          <w:szCs w:val="20"/>
        </w:rPr>
        <w:t xml:space="preserve"> SSRIs</w:t>
      </w:r>
    </w:p>
  </w:footnote>
  <w:footnote w:id="22">
    <w:p>
      <w:pPr>
        <w:bidi w:val="0"/>
      </w:pPr>
      <w:r>
        <w:rPr>
          <w:vertAlign w:val="superscript"/>
        </w:rPr>
        <w:footnoteRef/>
      </w:r>
      <w:r>
        <w:rPr>
          <w:rFonts w:ascii="Times New Roman" w:hAnsi="Times New Roman" w:cs="Times New Roman"/>
          <w:sz w:val="20"/>
          <w:szCs w:val="20"/>
        </w:rPr>
        <w:t xml:space="preserve"> HRV</w:t>
      </w:r>
    </w:p>
  </w:footnote>
  <w:footnote w:id="23">
    <w:p>
      <w:pPr>
        <w:bidi w:val="0"/>
      </w:pPr>
      <w:r>
        <w:rPr>
          <w:vertAlign w:val="superscript"/>
        </w:rPr>
        <w:footnoteRef/>
      </w:r>
      <w:r>
        <w:rPr>
          <w:rFonts w:ascii="Times New Roman" w:hAnsi="Times New Roman" w:cs="Times New Roman"/>
          <w:sz w:val="20"/>
          <w:szCs w:val="20"/>
        </w:rPr>
        <w:t xml:space="preserve"> Risk Perception</w:t>
      </w:r>
    </w:p>
  </w:footnote>
  <w:footnote w:id="24">
    <w:p>
      <w:pPr>
        <w:bidi w:val="0"/>
      </w:pPr>
      <w:r>
        <w:rPr>
          <w:vertAlign w:val="superscript"/>
        </w:rPr>
        <w:footnoteRef/>
      </w:r>
      <w:r>
        <w:rPr>
          <w:rFonts w:ascii="Times New Roman" w:hAnsi="Times New Roman" w:cs="Times New Roman"/>
          <w:sz w:val="20"/>
          <w:szCs w:val="20"/>
        </w:rPr>
        <w:t xml:space="preserve"> Decision Quality</w:t>
      </w:r>
    </w:p>
  </w:footnote>
  <w:footnote w:id="25">
    <w:p>
      <w:pPr>
        <w:bidi w:val="0"/>
      </w:pPr>
      <w:r>
        <w:rPr>
          <w:vertAlign w:val="superscript"/>
        </w:rPr>
        <w:footnoteRef/>
      </w:r>
      <w:r>
        <w:rPr>
          <w:rFonts w:ascii="Times New Roman" w:hAnsi="Times New Roman" w:cs="Times New Roman"/>
          <w:sz w:val="20"/>
          <w:szCs w:val="20"/>
        </w:rPr>
        <w:t xml:space="preserve"> Schema Domains</w:t>
      </w:r>
    </w:p>
  </w:footnote>
  <w:footnote w:id="26">
    <w:p>
      <w:pPr>
        <w:bidi w:val="0"/>
      </w:pPr>
      <w:r>
        <w:rPr>
          <w:vertAlign w:val="superscript"/>
        </w:rPr>
        <w:footnoteRef/>
      </w:r>
      <w:r>
        <w:rPr>
          <w:rFonts w:ascii="Times New Roman" w:hAnsi="Times New Roman" w:cs="Times New Roman"/>
          <w:sz w:val="20"/>
          <w:szCs w:val="20"/>
        </w:rPr>
        <w:t xml:space="preserve"> Schema Coping Style</w:t>
      </w:r>
    </w:p>
  </w:footnote>
  <w:footnote w:id="27">
    <w:p>
      <w:pPr>
        <w:bidi w:val="0"/>
      </w:pPr>
      <w:r>
        <w:rPr>
          <w:vertAlign w:val="superscript"/>
        </w:rPr>
        <w:footnoteRef/>
      </w:r>
      <w:r>
        <w:rPr>
          <w:rFonts w:ascii="Times New Roman" w:hAnsi="Times New Roman" w:cs="Times New Roman"/>
          <w:sz w:val="20"/>
          <w:szCs w:val="20"/>
        </w:rPr>
        <w:t xml:space="preserve"> Surrender</w:t>
      </w:r>
    </w:p>
  </w:footnote>
  <w:footnote w:id="28">
    <w:p>
      <w:pPr>
        <w:bidi w:val="0"/>
      </w:pPr>
      <w:r>
        <w:rPr>
          <w:vertAlign w:val="superscript"/>
        </w:rPr>
        <w:footnoteRef/>
      </w:r>
      <w:r>
        <w:rPr>
          <w:rFonts w:ascii="Times New Roman" w:hAnsi="Times New Roman" w:cs="Times New Roman"/>
          <w:sz w:val="20"/>
          <w:szCs w:val="20"/>
        </w:rPr>
        <w:t xml:space="preserve"> Avoidance</w:t>
      </w:r>
    </w:p>
  </w:footnote>
  <w:footnote w:id="29">
    <w:p>
      <w:pPr>
        <w:bidi w:val="0"/>
      </w:pPr>
      <w:r>
        <w:rPr>
          <w:vertAlign w:val="superscript"/>
        </w:rPr>
        <w:footnoteRef/>
      </w:r>
      <w:r>
        <w:rPr>
          <w:rFonts w:ascii="Times New Roman" w:hAnsi="Times New Roman" w:cs="Times New Roman"/>
          <w:sz w:val="20"/>
          <w:szCs w:val="20"/>
        </w:rPr>
        <w:t xml:space="preserve"> Overcompensation</w:t>
      </w:r>
    </w:p>
  </w:footnote>
  <w:footnote w:id="30">
    <w:p>
      <w:pPr>
        <w:bidi w:val="0"/>
      </w:pPr>
      <w:r>
        <w:rPr>
          <w:vertAlign w:val="superscript"/>
        </w:rPr>
        <w:footnoteRef/>
      </w:r>
      <w:r>
        <w:rPr>
          <w:rFonts w:ascii="Times New Roman" w:hAnsi="Times New Roman" w:cs="Times New Roman"/>
          <w:sz w:val="20"/>
          <w:szCs w:val="20"/>
        </w:rPr>
        <w:t xml:space="preserve"> Risk Capacity</w:t>
      </w:r>
    </w:p>
  </w:footnote>
  <w:footnote w:id="31">
    <w:p>
      <w:pPr>
        <w:bidi w:val="0"/>
      </w:pPr>
      <w:r>
        <w:rPr>
          <w:vertAlign w:val="superscript"/>
        </w:rPr>
        <w:footnoteRef/>
      </w:r>
      <w:r>
        <w:rPr>
          <w:rFonts w:ascii="Times New Roman" w:hAnsi="Times New Roman" w:cs="Times New Roman"/>
          <w:sz w:val="20"/>
          <w:szCs w:val="20"/>
        </w:rPr>
        <w:t xml:space="preserve"> Risk Tolerance</w:t>
      </w:r>
    </w:p>
  </w:footnote>
  <w:footnote w:id="32">
    <w:p>
      <w:pPr>
        <w:bidi w:val="0"/>
      </w:pPr>
      <w:r>
        <w:rPr>
          <w:vertAlign w:val="superscript"/>
        </w:rPr>
        <w:footnoteRef/>
      </w:r>
      <w:r>
        <w:rPr>
          <w:rFonts w:ascii="Times New Roman" w:hAnsi="Times New Roman" w:cs="Times New Roman"/>
          <w:sz w:val="20"/>
          <w:szCs w:val="20"/>
        </w:rPr>
        <w:t xml:space="preserve"> Structural Equation Modeling; SEM</w:t>
      </w:r>
    </w:p>
  </w:footnote>
  <w:footnote w:id="33">
    <w:p>
      <w:pPr>
        <w:bidi w:val="0"/>
      </w:pPr>
      <w:r>
        <w:rPr>
          <w:vertAlign w:val="superscript"/>
        </w:rPr>
        <w:footnoteRef/>
      </w:r>
      <w:r>
        <w:rPr>
          <w:rFonts w:ascii="Times New Roman" w:hAnsi="Times New Roman" w:cs="Times New Roman"/>
          <w:sz w:val="20"/>
          <w:szCs w:val="20"/>
        </w:rPr>
        <w:t xml:space="preserve"> PROCESS</w:t>
      </w:r>
    </w:p>
  </w:footnote>
  <w:footnote w:id="34">
    <w:p>
      <w:pPr>
        <w:bidi w:val="0"/>
      </w:pPr>
      <w:r>
        <w:rPr>
          <w:vertAlign w:val="superscript"/>
        </w:rPr>
        <w:footnoteRef/>
      </w:r>
      <w:r>
        <w:rPr>
          <w:rFonts w:ascii="Times New Roman" w:hAnsi="Times New Roman" w:cs="Times New Roman"/>
          <w:sz w:val="20"/>
          <w:szCs w:val="20"/>
        </w:rPr>
        <w:t xml:space="preserve"> CBT</w:t>
      </w:r>
    </w:p>
  </w:footnote>
  <w:footnote w:id="35">
    <w:p>
      <w:pPr>
        <w:bidi w:val="0"/>
      </w:pPr>
      <w:r>
        <w:rPr>
          <w:vertAlign w:val="superscript"/>
        </w:rPr>
        <w:footnoteRef/>
      </w:r>
      <w:r>
        <w:rPr>
          <w:rFonts w:ascii="Times New Roman" w:hAnsi="Times New Roman" w:cs="Times New Roman"/>
          <w:sz w:val="20"/>
          <w:szCs w:val="20"/>
        </w:rPr>
        <w:t xml:space="preserve"> Applied Research</w:t>
      </w:r>
    </w:p>
  </w:footnote>
  <w:footnote w:id="36">
    <w:p>
      <w:pPr>
        <w:bidi w:val="0"/>
      </w:pPr>
      <w:r>
        <w:rPr>
          <w:vertAlign w:val="superscript"/>
        </w:rPr>
        <w:footnoteRef/>
      </w:r>
      <w:r>
        <w:rPr>
          <w:rFonts w:ascii="Times New Roman" w:hAnsi="Times New Roman" w:cs="Times New Roman"/>
          <w:sz w:val="20"/>
          <w:szCs w:val="20"/>
        </w:rPr>
        <w:t xml:space="preserve"> Descriptive-Correlational</w:t>
      </w:r>
    </w:p>
  </w:footnote>
  <w:footnote w:id="37">
    <w:p>
      <w:pPr>
        <w:bidi w:val="0"/>
      </w:pPr>
      <w:r>
        <w:rPr>
          <w:vertAlign w:val="superscript"/>
        </w:rPr>
        <w:footnoteRef/>
      </w:r>
      <w:r>
        <w:rPr>
          <w:rFonts w:ascii="Times New Roman" w:hAnsi="Times New Roman" w:cs="Times New Roman"/>
          <w:sz w:val="20"/>
          <w:szCs w:val="20"/>
        </w:rPr>
        <w:t xml:space="preserve"> Mediation Model</w:t>
      </w:r>
    </w:p>
  </w:footnote>
  <w:footnote w:id="38">
    <w:p>
      <w:pPr>
        <w:bidi w:val="0"/>
      </w:pPr>
      <w:r>
        <w:rPr>
          <w:vertAlign w:val="superscript"/>
        </w:rPr>
        <w:footnoteRef/>
      </w:r>
      <w:r>
        <w:rPr>
          <w:rFonts w:ascii="Times New Roman" w:hAnsi="Times New Roman" w:cs="Times New Roman"/>
          <w:sz w:val="20"/>
          <w:szCs w:val="20"/>
        </w:rPr>
        <w:t xml:space="preserve"> Convenience Sampling</w:t>
      </w:r>
    </w:p>
  </w:footnote>
  <w:footnote w:id="39">
    <w:p>
      <w:pPr>
        <w:bidi w:val="0"/>
      </w:pPr>
      <w:r>
        <w:rPr>
          <w:vertAlign w:val="superscript"/>
        </w:rPr>
        <w:footnoteRef/>
      </w:r>
      <w:r>
        <w:rPr>
          <w:rFonts w:ascii="Times New Roman" w:hAnsi="Times New Roman" w:cs="Times New Roman"/>
          <w:sz w:val="20"/>
          <w:szCs w:val="20"/>
        </w:rPr>
        <w:t xml:space="preserve"> Snowball Sampling</w:t>
      </w:r>
    </w:p>
  </w:footnote>
  <w:footnote w:id="40">
    <w:p>
      <w:pPr>
        <w:bidi w:val="0"/>
      </w:pPr>
      <w:r>
        <w:rPr>
          <w:vertAlign w:val="superscript"/>
        </w:rPr>
        <w:footnoteRef/>
      </w:r>
      <w:r>
        <w:rPr>
          <w:rFonts w:ascii="Times New Roman" w:hAnsi="Times New Roman" w:cs="Times New Roman"/>
          <w:sz w:val="20"/>
          <w:szCs w:val="20"/>
        </w:rPr>
        <w:t xml:space="preserve"> Spielberger State-Trait Anxiety Inventory</w:t>
      </w:r>
    </w:p>
  </w:footnote>
  <w:footnote w:id="41">
    <w:p>
      <w:pPr>
        <w:bidi w:val="0"/>
      </w:pPr>
      <w:r>
        <w:rPr>
          <w:vertAlign w:val="superscript"/>
        </w:rPr>
        <w:footnoteRef/>
      </w:r>
      <w:r>
        <w:rPr>
          <w:rFonts w:ascii="Times New Roman" w:hAnsi="Times New Roman" w:cs="Times New Roman"/>
          <w:sz w:val="20"/>
          <w:szCs w:val="20"/>
        </w:rPr>
        <w:t xml:space="preserve"> Young Schema Questionnaire – Short Form</w:t>
      </w:r>
    </w:p>
  </w:footnote>
  <w:footnote w:id="42">
    <w:p>
      <w:pPr>
        <w:bidi w:val="0"/>
      </w:pPr>
      <w:r>
        <w:rPr>
          <w:vertAlign w:val="superscript"/>
        </w:rPr>
        <w:footnoteRef/>
      </w:r>
      <w:r>
        <w:rPr>
          <w:rFonts w:ascii="Times New Roman" w:hAnsi="Times New Roman" w:cs="Times New Roman"/>
          <w:sz w:val="20"/>
          <w:szCs w:val="20"/>
        </w:rPr>
        <w:t xml:space="preserve"> Financial Risk Tolerance Scale</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 w:id="44">
    <w:p>
      <w:pPr>
        <w:bidi w:val="0"/>
      </w:pPr>
      <w:r>
        <w:rPr>
          <w:vertAlign w:val="superscript"/>
        </w:rPr>
        <w:footnoteRef/>
      </w:r>
      <w:r>
        <w:rPr>
          <w:rFonts w:ascii="Times New Roman" w:hAnsi="Times New Roman" w:cs="Times New Roman"/>
          <w:sz w:val="20"/>
          <w:szCs w:val="20"/>
        </w:rPr>
        <w:t xml:space="preserve"> OECD, 2021</w:t>
      </w:r>
    </w:p>
  </w:footnote>
  <w:footnote w:id="45">
    <w:p>
      <w:pPr>
        <w:bidi w:val="0"/>
      </w:pPr>
      <w:r>
        <w:rPr>
          <w:vertAlign w:val="superscript"/>
        </w:rPr>
        <w:footnoteRef/>
      </w:r>
      <w:r>
        <w:rPr>
          <w:rFonts w:ascii="Times New Roman" w:hAnsi="Times New Roman" w:cs="Times New Roman"/>
          <w:sz w:val="20"/>
          <w:szCs w:val="20"/>
        </w:rPr>
        <w:t xml:space="preserve"> Mahato et al.</w:t>
      </w:r>
    </w:p>
  </w:footnote>
  <w:footnote w:id="46">
    <w:p>
      <w:pPr>
        <w:bidi w:val="0"/>
      </w:pPr>
      <w:r>
        <w:rPr>
          <w:vertAlign w:val="superscript"/>
        </w:rPr>
        <w:footnoteRef/>
      </w:r>
      <w:r>
        <w:rPr>
          <w:rFonts w:ascii="Times New Roman" w:hAnsi="Times New Roman" w:cs="Times New Roman"/>
          <w:sz w:val="20"/>
          <w:szCs w:val="20"/>
        </w:rPr>
        <w:t xml:space="preserve"> Grall-Bronnec et al.</w:t>
      </w:r>
    </w:p>
  </w:footnote>
  <w:footnote w:id="47">
    <w:p>
      <w:pPr>
        <w:bidi w:val="0"/>
      </w:pPr>
      <w:r>
        <w:rPr>
          <w:vertAlign w:val="superscript"/>
        </w:rPr>
        <w:footnoteRef/>
      </w:r>
      <w:r>
        <w:rPr>
          <w:rFonts w:ascii="Times New Roman" w:hAnsi="Times New Roman" w:cs="Times New Roman"/>
          <w:sz w:val="20"/>
          <w:szCs w:val="20"/>
        </w:rPr>
        <w:t xml:space="preserve"> Mishkin</w:t>
      </w:r>
    </w:p>
  </w:footnote>
  <w:footnote w:id="48">
    <w:p>
      <w:pPr>
        <w:bidi w:val="0"/>
      </w:pPr>
      <w:r>
        <w:rPr>
          <w:vertAlign w:val="superscript"/>
        </w:rPr>
        <w:footnoteRef/>
      </w:r>
      <w:r>
        <w:rPr>
          <w:rFonts w:ascii="Times New Roman" w:hAnsi="Times New Roman" w:cs="Times New Roman"/>
          <w:sz w:val="20"/>
          <w:szCs w:val="20"/>
        </w:rPr>
        <w:t xml:space="preserve"> Bodie, Kane, &amp; Marcus</w:t>
      </w:r>
    </w:p>
  </w:footnote>
  <w:footnote w:id="49">
    <w:p>
      <w:pPr>
        <w:bidi w:val="0"/>
      </w:pPr>
      <w:r>
        <w:rPr>
          <w:vertAlign w:val="superscript"/>
        </w:rPr>
        <w:footnoteRef/>
      </w:r>
      <w:r>
        <w:rPr>
          <w:rFonts w:ascii="Times New Roman" w:hAnsi="Times New Roman" w:cs="Times New Roman"/>
          <w:sz w:val="20"/>
          <w:szCs w:val="20"/>
        </w:rPr>
        <w:t xml:space="preserve"> Shiller</w:t>
      </w:r>
    </w:p>
  </w:footnote>
  <w:footnote w:id="50">
    <w:p>
      <w:pPr>
        <w:bidi w:val="0"/>
      </w:pPr>
      <w:r>
        <w:rPr>
          <w:vertAlign w:val="superscript"/>
        </w:rPr>
        <w:footnoteRef/>
      </w:r>
      <w:r>
        <w:rPr>
          <w:rFonts w:ascii="Times New Roman" w:hAnsi="Times New Roman" w:cs="Times New Roman"/>
          <w:sz w:val="20"/>
          <w:szCs w:val="20"/>
        </w:rPr>
        <w:t xml:space="preserve"> Malkiel</w:t>
      </w:r>
    </w:p>
  </w:footnote>
  <w:footnote w:id="51">
    <w:p>
      <w:pPr>
        <w:bidi w:val="0"/>
      </w:pPr>
      <w:r>
        <w:rPr>
          <w:vertAlign w:val="superscript"/>
        </w:rPr>
        <w:footnoteRef/>
      </w:r>
      <w:r>
        <w:rPr>
          <w:rFonts w:ascii="Times New Roman" w:hAnsi="Times New Roman" w:cs="Times New Roman"/>
          <w:sz w:val="20"/>
          <w:szCs w:val="20"/>
        </w:rPr>
        <w:t xml:space="preserve"> Thaler</w:t>
      </w:r>
    </w:p>
  </w:footnote>
  <w:footnote w:id="52">
    <w:p>
      <w:pPr>
        <w:bidi w:val="0"/>
      </w:pPr>
      <w:r>
        <w:rPr>
          <w:vertAlign w:val="superscript"/>
        </w:rPr>
        <w:footnoteRef/>
      </w:r>
      <w:r>
        <w:rPr>
          <w:rFonts w:ascii="Times New Roman" w:hAnsi="Times New Roman" w:cs="Times New Roman"/>
          <w:sz w:val="20"/>
          <w:szCs w:val="20"/>
        </w:rPr>
        <w:t xml:space="preserve"> Kahneman &amp; Tversky</w:t>
      </w:r>
    </w:p>
  </w:footnote>
  <w:footnote w:id="53">
    <w:p>
      <w:pPr>
        <w:bidi w:val="0"/>
      </w:pPr>
      <w:r>
        <w:rPr>
          <w:vertAlign w:val="superscript"/>
        </w:rPr>
        <w:footnoteRef/>
      </w:r>
      <w:r>
        <w:rPr>
          <w:rFonts w:ascii="Times New Roman" w:hAnsi="Times New Roman" w:cs="Times New Roman"/>
          <w:sz w:val="20"/>
          <w:szCs w:val="20"/>
        </w:rPr>
        <w:t xml:space="preserve"> Kahneman</w:t>
      </w:r>
    </w:p>
  </w:footnote>
  <w:footnote w:id="54">
    <w:p>
      <w:pPr>
        <w:bidi w:val="0"/>
      </w:pPr>
      <w:r>
        <w:rPr>
          <w:vertAlign w:val="superscript"/>
        </w:rPr>
        <w:footnoteRef/>
      </w:r>
      <w:r>
        <w:rPr>
          <w:rFonts w:ascii="Times New Roman" w:hAnsi="Times New Roman" w:cs="Times New Roman"/>
          <w:sz w:val="20"/>
          <w:szCs w:val="20"/>
        </w:rPr>
        <w:t xml:space="preserve"> Auer &amp; Schuhmacher</w:t>
      </w:r>
    </w:p>
  </w:footnote>
  <w:footnote w:id="55">
    <w:p>
      <w:pPr>
        <w:bidi w:val="0"/>
      </w:pPr>
      <w:r>
        <w:rPr>
          <w:vertAlign w:val="superscript"/>
        </w:rPr>
        <w:footnoteRef/>
      </w:r>
      <w:r>
        <w:rPr>
          <w:rFonts w:ascii="Times New Roman" w:hAnsi="Times New Roman" w:cs="Times New Roman"/>
          <w:sz w:val="20"/>
          <w:szCs w:val="20"/>
        </w:rPr>
        <w:t xml:space="preserve"> Hwang &amp; Salmon</w:t>
      </w:r>
    </w:p>
  </w:footnote>
  <w:footnote w:id="56">
    <w:p>
      <w:pPr>
        <w:bidi w:val="0"/>
      </w:pPr>
      <w:r>
        <w:rPr>
          <w:vertAlign w:val="superscript"/>
        </w:rPr>
        <w:footnoteRef/>
      </w:r>
      <w:r>
        <w:rPr>
          <w:rFonts w:ascii="Times New Roman" w:hAnsi="Times New Roman" w:cs="Times New Roman"/>
          <w:sz w:val="20"/>
          <w:szCs w:val="20"/>
        </w:rPr>
        <w:t xml:space="preserve"> Spielberger</w:t>
      </w:r>
    </w:p>
  </w:footnote>
  <w:footnote w:id="57">
    <w:p>
      <w:pPr>
        <w:bidi w:val="0"/>
      </w:pPr>
      <w:r>
        <w:rPr>
          <w:vertAlign w:val="superscript"/>
        </w:rPr>
        <w:footnoteRef/>
      </w:r>
      <w:r>
        <w:rPr>
          <w:rFonts w:ascii="Times New Roman" w:hAnsi="Times New Roman" w:cs="Times New Roman"/>
          <w:sz w:val="20"/>
          <w:szCs w:val="20"/>
        </w:rPr>
        <w:t xml:space="preserve"> Beck</w:t>
      </w:r>
    </w:p>
  </w:footnote>
  <w:footnote w:id="58">
    <w:p>
      <w:pPr>
        <w:bidi w:val="0"/>
      </w:pPr>
      <w:r>
        <w:rPr>
          <w:vertAlign w:val="superscript"/>
        </w:rPr>
        <w:footnoteRef/>
      </w:r>
      <w:r>
        <w:rPr>
          <w:rFonts w:ascii="Times New Roman" w:hAnsi="Times New Roman" w:cs="Times New Roman"/>
          <w:sz w:val="20"/>
          <w:szCs w:val="20"/>
        </w:rPr>
        <w:t xml:space="preserve"> Bishop</w:t>
      </w:r>
    </w:p>
  </w:footnote>
  <w:footnote w:id="59">
    <w:p>
      <w:pPr>
        <w:bidi w:val="0"/>
      </w:pPr>
      <w:r>
        <w:rPr>
          <w:vertAlign w:val="superscript"/>
        </w:rPr>
        <w:footnoteRef/>
      </w:r>
      <w:r>
        <w:rPr>
          <w:rFonts w:ascii="Times New Roman" w:hAnsi="Times New Roman" w:cs="Times New Roman"/>
          <w:sz w:val="20"/>
          <w:szCs w:val="20"/>
        </w:rPr>
        <w:t xml:space="preserve"> Beck &amp; Clark</w:t>
      </w:r>
    </w:p>
  </w:footnote>
  <w:footnote w:id="60">
    <w:p>
      <w:pPr>
        <w:bidi w:val="0"/>
      </w:pPr>
      <w:r>
        <w:rPr>
          <w:vertAlign w:val="superscript"/>
        </w:rPr>
        <w:footnoteRef/>
      </w:r>
      <w:r>
        <w:rPr>
          <w:rFonts w:ascii="Times New Roman" w:hAnsi="Times New Roman" w:cs="Times New Roman"/>
          <w:sz w:val="20"/>
          <w:szCs w:val="20"/>
        </w:rPr>
        <w:t xml:space="preserve"> Grupe &amp; Nitschke</w:t>
      </w:r>
    </w:p>
  </w:footnote>
  <w:footnote w:id="61">
    <w:p>
      <w:pPr>
        <w:bidi w:val="0"/>
      </w:pPr>
      <w:r>
        <w:rPr>
          <w:vertAlign w:val="superscript"/>
        </w:rPr>
        <w:footnoteRef/>
      </w:r>
      <w:r>
        <w:rPr>
          <w:rFonts w:ascii="Times New Roman" w:hAnsi="Times New Roman" w:cs="Times New Roman"/>
          <w:sz w:val="20"/>
          <w:szCs w:val="20"/>
        </w:rPr>
        <w:t xml:space="preserve"> Eysenck et al.</w:t>
      </w:r>
    </w:p>
  </w:footnote>
  <w:footnote w:id="62">
    <w:p>
      <w:pPr>
        <w:bidi w:val="0"/>
      </w:pPr>
      <w:r>
        <w:rPr>
          <w:vertAlign w:val="superscript"/>
        </w:rPr>
        <w:footnoteRef/>
      </w:r>
      <w:r>
        <w:rPr>
          <w:rFonts w:ascii="Times New Roman" w:hAnsi="Times New Roman" w:cs="Times New Roman"/>
          <w:sz w:val="20"/>
          <w:szCs w:val="20"/>
        </w:rPr>
        <w:t xml:space="preserve"> Baddeley, Eysenck, &amp; Anderson</w:t>
      </w:r>
    </w:p>
  </w:footnote>
  <w:footnote w:id="63">
    <w:p>
      <w:pPr>
        <w:bidi w:val="0"/>
      </w:pPr>
      <w:r>
        <w:rPr>
          <w:vertAlign w:val="superscript"/>
        </w:rPr>
        <w:footnoteRef/>
      </w:r>
      <w:r>
        <w:rPr>
          <w:rFonts w:ascii="Times New Roman" w:hAnsi="Times New Roman" w:cs="Times New Roman"/>
          <w:sz w:val="20"/>
          <w:szCs w:val="20"/>
        </w:rPr>
        <w:t xml:space="preserve"> Young et al.</w:t>
      </w:r>
    </w:p>
  </w:footnote>
  <w:footnote w:id="64">
    <w:p>
      <w:pPr>
        <w:bidi w:val="0"/>
      </w:pPr>
      <w:r>
        <w:rPr>
          <w:vertAlign w:val="superscript"/>
        </w:rPr>
        <w:footnoteRef/>
      </w:r>
      <w:r>
        <w:rPr>
          <w:rFonts w:ascii="Times New Roman" w:hAnsi="Times New Roman" w:cs="Times New Roman"/>
          <w:sz w:val="20"/>
          <w:szCs w:val="20"/>
        </w:rPr>
        <w:t xml:space="preserve"> Arntz &amp; Jacob</w:t>
      </w:r>
    </w:p>
  </w:footnote>
  <w:footnote w:id="65">
    <w:p>
      <w:pPr>
        <w:bidi w:val="0"/>
      </w:pPr>
      <w:r>
        <w:rPr>
          <w:vertAlign w:val="superscript"/>
        </w:rPr>
        <w:footnoteRef/>
      </w:r>
      <w:r>
        <w:rPr>
          <w:rFonts w:ascii="Times New Roman" w:hAnsi="Times New Roman" w:cs="Times New Roman"/>
          <w:sz w:val="20"/>
          <w:szCs w:val="20"/>
        </w:rPr>
        <w:t xml:space="preserve"> Shorey et al.</w:t>
      </w:r>
    </w:p>
  </w:footnote>
  <w:footnote w:id="66">
    <w:p>
      <w:pPr>
        <w:bidi w:val="0"/>
      </w:pPr>
      <w:r>
        <w:rPr>
          <w:vertAlign w:val="superscript"/>
        </w:rPr>
        <w:footnoteRef/>
      </w:r>
      <w:r>
        <w:rPr>
          <w:rFonts w:ascii="Times New Roman" w:hAnsi="Times New Roman" w:cs="Times New Roman"/>
          <w:sz w:val="20"/>
          <w:szCs w:val="20"/>
        </w:rPr>
        <w:t xml:space="preserve"> Lindberg et al.</w:t>
      </w:r>
    </w:p>
  </w:footnote>
  <w:footnote w:id="67">
    <w:p>
      <w:pPr>
        <w:bidi w:val="0"/>
      </w:pPr>
      <w:r>
        <w:rPr>
          <w:vertAlign w:val="superscript"/>
        </w:rPr>
        <w:footnoteRef/>
      </w:r>
      <w:r>
        <w:rPr>
          <w:rFonts w:ascii="Times New Roman" w:hAnsi="Times New Roman" w:cs="Times New Roman"/>
          <w:sz w:val="20"/>
          <w:szCs w:val="20"/>
        </w:rPr>
        <w:t xml:space="preserve"> Baker &amp; Nofsinger</w:t>
      </w:r>
    </w:p>
  </w:footnote>
  <w:footnote w:id="68">
    <w:p>
      <w:pPr>
        <w:bidi w:val="0"/>
      </w:pPr>
      <w:r>
        <w:rPr>
          <w:vertAlign w:val="superscript"/>
        </w:rPr>
        <w:footnoteRef/>
      </w:r>
      <w:r>
        <w:rPr>
          <w:rFonts w:ascii="Times New Roman" w:hAnsi="Times New Roman" w:cs="Times New Roman"/>
          <w:sz w:val="20"/>
          <w:szCs w:val="20"/>
        </w:rPr>
        <w:t xml:space="preserve"> Barber &amp; Odean</w:t>
      </w:r>
    </w:p>
  </w:footnote>
  <w:footnote w:id="69">
    <w:p>
      <w:pPr>
        <w:bidi w:val="0"/>
      </w:pPr>
      <w:r>
        <w:rPr>
          <w:vertAlign w:val="superscript"/>
        </w:rPr>
        <w:footnoteRef/>
      </w:r>
      <w:r>
        <w:rPr>
          <w:rFonts w:ascii="Times New Roman" w:hAnsi="Times New Roman" w:cs="Times New Roman"/>
          <w:sz w:val="20"/>
          <w:szCs w:val="20"/>
        </w:rPr>
        <w:t xml:space="preserve"> Shefrin &amp; Statman</w:t>
      </w:r>
    </w:p>
  </w:footnote>
  <w:footnote w:id="70">
    <w:p>
      <w:pPr>
        <w:bidi w:val="0"/>
      </w:pPr>
      <w:r>
        <w:rPr>
          <w:vertAlign w:val="superscript"/>
        </w:rPr>
        <w:footnoteRef/>
      </w:r>
      <w:r>
        <w:rPr>
          <w:rFonts w:ascii="Times New Roman" w:hAnsi="Times New Roman" w:cs="Times New Roman"/>
          <w:sz w:val="20"/>
          <w:szCs w:val="20"/>
        </w:rPr>
        <w:t xml:space="preserve"> Goetzmann &amp; Kumar</w:t>
      </w:r>
    </w:p>
  </w:footnote>
  <w:footnote w:id="71">
    <w:p>
      <w:pPr>
        <w:bidi w:val="0"/>
      </w:pPr>
      <w:r>
        <w:rPr>
          <w:vertAlign w:val="superscript"/>
        </w:rPr>
        <w:footnoteRef/>
      </w:r>
      <w:r>
        <w:rPr>
          <w:rFonts w:ascii="Times New Roman" w:hAnsi="Times New Roman" w:cs="Times New Roman"/>
          <w:sz w:val="20"/>
          <w:szCs w:val="20"/>
        </w:rPr>
        <w:t xml:space="preserve"> Zuckerman</w:t>
      </w:r>
    </w:p>
  </w:footnote>
  <w:footnote w:id="72">
    <w:p>
      <w:pPr>
        <w:bidi w:val="0"/>
      </w:pPr>
      <w:r>
        <w:rPr>
          <w:vertAlign w:val="superscript"/>
        </w:rPr>
        <w:footnoteRef/>
      </w:r>
      <w:r>
        <w:rPr>
          <w:rFonts w:ascii="Times New Roman" w:hAnsi="Times New Roman" w:cs="Times New Roman"/>
          <w:sz w:val="20"/>
          <w:szCs w:val="20"/>
        </w:rPr>
        <w:t xml:space="preserve"> Lauriola &amp; Levin</w:t>
      </w:r>
    </w:p>
  </w:footnote>
  <w:footnote w:id="73">
    <w:p>
      <w:pPr>
        <w:bidi w:val="0"/>
      </w:pPr>
      <w:r>
        <w:rPr>
          <w:vertAlign w:val="superscript"/>
        </w:rPr>
        <w:footnoteRef/>
      </w:r>
      <w:r>
        <w:rPr>
          <w:rFonts w:ascii="Times New Roman" w:hAnsi="Times New Roman" w:cs="Times New Roman"/>
          <w:sz w:val="20"/>
          <w:szCs w:val="20"/>
        </w:rPr>
        <w:t xml:space="preserve"> Fenton-O'Creevy et al., 2012</w:t>
      </w:r>
    </w:p>
  </w:footnote>
  <w:footnote w:id="74">
    <w:p>
      <w:pPr>
        <w:bidi w:val="0"/>
      </w:pPr>
      <w:r>
        <w:rPr>
          <w:vertAlign w:val="superscript"/>
        </w:rPr>
        <w:footnoteRef/>
      </w:r>
      <w:r>
        <w:rPr>
          <w:rFonts w:ascii="Times New Roman" w:hAnsi="Times New Roman" w:cs="Times New Roman"/>
          <w:sz w:val="20"/>
          <w:szCs w:val="20"/>
        </w:rPr>
        <w:t xml:space="preserve"> Maner &amp; Schmidt</w:t>
      </w:r>
    </w:p>
  </w:footnote>
  <w:footnote w:id="75">
    <w:p>
      <w:pPr>
        <w:bidi w:val="0"/>
      </w:pPr>
      <w:r>
        <w:rPr>
          <w:vertAlign w:val="superscript"/>
        </w:rPr>
        <w:footnoteRef/>
      </w:r>
      <w:r>
        <w:rPr>
          <w:rFonts w:ascii="Times New Roman" w:hAnsi="Times New Roman" w:cs="Times New Roman"/>
          <w:sz w:val="20"/>
          <w:szCs w:val="20"/>
        </w:rPr>
        <w:t xml:space="preserve"> Young, Klosko, &amp; Weishaar</w:t>
      </w:r>
    </w:p>
  </w:footnote>
  <w:footnote w:id="76">
    <w:p>
      <w:pPr>
        <w:bidi w:val="0"/>
      </w:pPr>
      <w:r>
        <w:rPr>
          <w:vertAlign w:val="superscript"/>
        </w:rPr>
        <w:footnoteRef/>
      </w:r>
      <w:r>
        <w:rPr>
          <w:rFonts w:ascii="Times New Roman" w:hAnsi="Times New Roman" w:cs="Times New Roman"/>
          <w:sz w:val="20"/>
          <w:szCs w:val="20"/>
        </w:rPr>
        <w:t xml:space="preserve"> Young</w:t>
      </w:r>
    </w:p>
  </w:footnote>
  <w:footnote w:id="77">
    <w:p>
      <w:pPr>
        <w:bidi w:val="0"/>
      </w:pPr>
      <w:r>
        <w:rPr>
          <w:vertAlign w:val="superscript"/>
        </w:rPr>
        <w:footnoteRef/>
      </w:r>
      <w:r>
        <w:rPr>
          <w:rFonts w:ascii="Times New Roman" w:hAnsi="Times New Roman" w:cs="Times New Roman"/>
          <w:sz w:val="20"/>
          <w:szCs w:val="20"/>
        </w:rPr>
        <w:t xml:space="preserve"> Grable &amp; Lytton</w:t>
      </w:r>
    </w:p>
  </w:footnote>
  <w:footnote w:id="78">
    <w:p>
      <w:pPr>
        <w:bidi w:val="0"/>
      </w:pPr>
      <w:r>
        <w:rPr>
          <w:vertAlign w:val="superscript"/>
        </w:rPr>
        <w:footnoteRef/>
      </w:r>
      <w:r>
        <w:rPr>
          <w:rFonts w:ascii="Times New Roman" w:hAnsi="Times New Roman" w:cs="Times New Roman"/>
          <w:sz w:val="20"/>
          <w:szCs w:val="20"/>
        </w:rPr>
        <w:t xml:space="preserve"> Grable</w:t>
      </w:r>
    </w:p>
  </w:footnote>
  <w:footnote w:id="79">
    <w:p>
      <w:pPr>
        <w:bidi w:val="0"/>
      </w:pPr>
      <w:r>
        <w:rPr>
          <w:vertAlign w:val="superscript"/>
        </w:rPr>
        <w:footnoteRef/>
      </w:r>
      <w:r>
        <w:rPr>
          <w:rFonts w:ascii="Times New Roman" w:hAnsi="Times New Roman" w:cs="Times New Roman"/>
          <w:sz w:val="20"/>
          <w:szCs w:val="20"/>
        </w:rPr>
        <w:t xml:space="preserve"> Baddeley et al.</w:t>
      </w:r>
    </w:p>
  </w:footnote>
  <w:footnote w:id="80">
    <w:p>
      <w:pPr>
        <w:bidi w:val="0"/>
      </w:pPr>
      <w:r>
        <w:rPr>
          <w:vertAlign w:val="superscript"/>
        </w:rPr>
        <w:footnoteRef/>
      </w:r>
      <w:r>
        <w:rPr>
          <w:rFonts w:ascii="Times New Roman" w:hAnsi="Times New Roman" w:cs="Times New Roman"/>
          <w:sz w:val="20"/>
          <w:szCs w:val="20"/>
        </w:rPr>
        <w:t xml:space="preserve"> Barlow</w:t>
      </w:r>
    </w:p>
  </w:footnote>
  <w:footnote w:id="81">
    <w:p>
      <w:pPr>
        <w:bidi w:val="0"/>
      </w:pPr>
      <w:r>
        <w:rPr>
          <w:vertAlign w:val="superscript"/>
        </w:rPr>
        <w:footnoteRef/>
      </w:r>
      <w:r>
        <w:rPr>
          <w:rFonts w:ascii="Times New Roman" w:hAnsi="Times New Roman" w:cs="Times New Roman"/>
          <w:sz w:val="20"/>
          <w:szCs w:val="20"/>
        </w:rPr>
        <w:t xml:space="preserve"> Borkovec</w:t>
      </w:r>
    </w:p>
  </w:footnote>
  <w:footnote w:id="82">
    <w:p>
      <w:pPr>
        <w:bidi w:val="0"/>
      </w:pPr>
      <w:r>
        <w:rPr>
          <w:vertAlign w:val="superscript"/>
        </w:rPr>
        <w:footnoteRef/>
      </w:r>
      <w:r>
        <w:rPr>
          <w:rFonts w:ascii="Times New Roman" w:hAnsi="Times New Roman" w:cs="Times New Roman"/>
          <w:sz w:val="20"/>
          <w:szCs w:val="20"/>
        </w:rPr>
        <w:t xml:space="preserve"> Kaplan &amp; Sadock</w:t>
      </w:r>
    </w:p>
  </w:footnote>
  <w:footnote w:id="83">
    <w:p>
      <w:pPr>
        <w:bidi w:val="0"/>
      </w:pPr>
      <w:r>
        <w:rPr>
          <w:vertAlign w:val="superscript"/>
        </w:rPr>
        <w:footnoteRef/>
      </w:r>
      <w:r>
        <w:rPr>
          <w:rFonts w:ascii="Times New Roman" w:hAnsi="Times New Roman" w:cs="Times New Roman"/>
          <w:sz w:val="20"/>
          <w:szCs w:val="20"/>
        </w:rPr>
        <w:t xml:space="preserve"> Mitte</w:t>
      </w:r>
    </w:p>
  </w:footnote>
  <w:footnote w:id="84">
    <w:p>
      <w:pPr>
        <w:bidi w:val="0"/>
      </w:pPr>
      <w:r>
        <w:rPr>
          <w:vertAlign w:val="superscript"/>
        </w:rPr>
        <w:footnoteRef/>
      </w:r>
      <w:r>
        <w:rPr>
          <w:rFonts w:ascii="Times New Roman" w:hAnsi="Times New Roman" w:cs="Times New Roman"/>
          <w:sz w:val="20"/>
          <w:szCs w:val="20"/>
        </w:rPr>
        <w:t xml:space="preserve"> Hartley &amp; Phelps</w:t>
      </w:r>
    </w:p>
  </w:footnote>
  <w:footnote w:id="85">
    <w:p>
      <w:pPr>
        <w:bidi w:val="0"/>
      </w:pPr>
      <w:r>
        <w:rPr>
          <w:vertAlign w:val="superscript"/>
        </w:rPr>
        <w:footnoteRef/>
      </w:r>
      <w:r>
        <w:rPr>
          <w:rFonts w:ascii="Times New Roman" w:hAnsi="Times New Roman" w:cs="Times New Roman"/>
          <w:sz w:val="20"/>
          <w:szCs w:val="20"/>
        </w:rPr>
        <w:t xml:space="preserve"> American Psychiatric Association</w:t>
      </w:r>
    </w:p>
  </w:footnote>
  <w:footnote w:id="86">
    <w:p>
      <w:pPr>
        <w:bidi w:val="0"/>
      </w:pPr>
      <w:r>
        <w:rPr>
          <w:vertAlign w:val="superscript"/>
        </w:rPr>
        <w:footnoteRef/>
      </w:r>
      <w:r>
        <w:rPr>
          <w:rFonts w:ascii="Times New Roman" w:hAnsi="Times New Roman" w:cs="Times New Roman"/>
          <w:sz w:val="20"/>
          <w:szCs w:val="20"/>
        </w:rPr>
        <w:t xml:space="preserve"> Gambetti &amp; Giusberti</w:t>
      </w:r>
    </w:p>
  </w:footnote>
  <w:footnote w:id="87">
    <w:p>
      <w:pPr>
        <w:bidi w:val="0"/>
      </w:pPr>
      <w:r>
        <w:rPr>
          <w:vertAlign w:val="superscript"/>
        </w:rPr>
        <w:footnoteRef/>
      </w:r>
      <w:r>
        <w:rPr>
          <w:rFonts w:ascii="Times New Roman" w:hAnsi="Times New Roman" w:cs="Times New Roman"/>
          <w:sz w:val="20"/>
          <w:szCs w:val="20"/>
        </w:rPr>
        <w:t xml:space="preserve"> Lo et al.</w:t>
      </w:r>
    </w:p>
  </w:footnote>
  <w:footnote w:id="88">
    <w:p>
      <w:pPr>
        <w:bidi w:val="0"/>
      </w:pPr>
      <w:r>
        <w:rPr>
          <w:vertAlign w:val="superscript"/>
        </w:rPr>
        <w:footnoteRef/>
      </w:r>
      <w:r>
        <w:rPr>
          <w:rFonts w:ascii="Times New Roman" w:hAnsi="Times New Roman" w:cs="Times New Roman"/>
          <w:sz w:val="20"/>
          <w:szCs w:val="20"/>
        </w:rPr>
        <w:t xml:space="preserve"> De Martino et al.</w:t>
      </w:r>
    </w:p>
  </w:footnote>
  <w:footnote w:id="89">
    <w:p>
      <w:pPr>
        <w:bidi w:val="0"/>
      </w:pPr>
      <w:r>
        <w:rPr>
          <w:vertAlign w:val="superscript"/>
        </w:rPr>
        <w:footnoteRef/>
      </w:r>
      <w:r>
        <w:rPr>
          <w:rFonts w:ascii="Times New Roman" w:hAnsi="Times New Roman" w:cs="Times New Roman"/>
          <w:sz w:val="20"/>
          <w:szCs w:val="20"/>
        </w:rPr>
        <w:t xml:space="preserve"> Kuhnen &amp; Chiao</w:t>
      </w:r>
    </w:p>
  </w:footnote>
  <w:footnote w:id="90">
    <w:p>
      <w:pPr>
        <w:bidi w:val="0"/>
      </w:pPr>
      <w:r>
        <w:rPr>
          <w:vertAlign w:val="superscript"/>
        </w:rPr>
        <w:footnoteRef/>
      </w:r>
      <w:r>
        <w:rPr>
          <w:rFonts w:ascii="Times New Roman" w:hAnsi="Times New Roman" w:cs="Times New Roman"/>
          <w:sz w:val="20"/>
          <w:szCs w:val="20"/>
        </w:rPr>
        <w:t xml:space="preserve"> Sigmund Freud</w:t>
      </w:r>
    </w:p>
  </w:footnote>
  <w:footnote w:id="91">
    <w:p>
      <w:pPr>
        <w:bidi w:val="0"/>
      </w:pPr>
      <w:r>
        <w:rPr>
          <w:vertAlign w:val="superscript"/>
        </w:rPr>
        <w:footnoteRef/>
      </w:r>
      <w:r>
        <w:rPr>
          <w:rFonts w:ascii="Times New Roman" w:hAnsi="Times New Roman" w:cs="Times New Roman"/>
          <w:sz w:val="20"/>
          <w:szCs w:val="20"/>
        </w:rPr>
        <w:t xml:space="preserve"> Albert Ellis</w:t>
      </w:r>
    </w:p>
  </w:footnote>
  <w:footnote w:id="92">
    <w:p>
      <w:pPr>
        <w:bidi w:val="0"/>
      </w:pPr>
      <w:r>
        <w:rPr>
          <w:vertAlign w:val="superscript"/>
        </w:rPr>
        <w:footnoteRef/>
      </w:r>
      <w:r>
        <w:rPr>
          <w:rFonts w:ascii="Times New Roman" w:hAnsi="Times New Roman" w:cs="Times New Roman"/>
          <w:sz w:val="20"/>
          <w:szCs w:val="20"/>
        </w:rPr>
        <w:t xml:space="preserve"> Daniel, Hirshleifer, &amp; Subrahmanyam</w:t>
      </w:r>
    </w:p>
  </w:footnote>
  <w:footnote w:id="93">
    <w:p>
      <w:pPr>
        <w:bidi w:val="0"/>
      </w:pPr>
      <w:r>
        <w:rPr>
          <w:vertAlign w:val="superscript"/>
        </w:rPr>
        <w:footnoteRef/>
      </w:r>
      <w:r>
        <w:rPr>
          <w:rFonts w:ascii="Times New Roman" w:hAnsi="Times New Roman" w:cs="Times New Roman"/>
          <w:sz w:val="20"/>
          <w:szCs w:val="20"/>
        </w:rPr>
        <w:t xml:space="preserve"> Rollo May</w:t>
      </w:r>
    </w:p>
  </w:footnote>
  <w:footnote w:id="94">
    <w:p>
      <w:pPr>
        <w:bidi w:val="0"/>
      </w:pPr>
      <w:r>
        <w:rPr>
          <w:vertAlign w:val="superscript"/>
        </w:rPr>
        <w:footnoteRef/>
      </w:r>
      <w:r>
        <w:rPr>
          <w:rFonts w:ascii="Times New Roman" w:hAnsi="Times New Roman" w:cs="Times New Roman"/>
          <w:sz w:val="20"/>
          <w:szCs w:val="20"/>
        </w:rPr>
        <w:t xml:space="preserve"> Yalom</w:t>
      </w:r>
    </w:p>
  </w:footnote>
  <w:footnote w:id="95">
    <w:p>
      <w:pPr>
        <w:bidi w:val="0"/>
      </w:pPr>
      <w:r>
        <w:rPr>
          <w:vertAlign w:val="superscript"/>
        </w:rPr>
        <w:footnoteRef/>
      </w:r>
      <w:r>
        <w:rPr>
          <w:rFonts w:ascii="Times New Roman" w:hAnsi="Times New Roman" w:cs="Times New Roman"/>
          <w:sz w:val="20"/>
          <w:szCs w:val="20"/>
        </w:rPr>
        <w:t xml:space="preserve"> Charles &amp; Kasilingam</w:t>
      </w:r>
    </w:p>
  </w:footnote>
  <w:footnote w:id="96">
    <w:p>
      <w:pPr>
        <w:bidi w:val="0"/>
      </w:pPr>
      <w:r>
        <w:rPr>
          <w:vertAlign w:val="superscript"/>
        </w:rPr>
        <w:footnoteRef/>
      </w:r>
      <w:r>
        <w:rPr>
          <w:rFonts w:ascii="Times New Roman" w:hAnsi="Times New Roman" w:cs="Times New Roman"/>
          <w:sz w:val="20"/>
          <w:szCs w:val="20"/>
        </w:rPr>
        <w:t xml:space="preserve"> An, Li, &amp; Wu</w:t>
      </w:r>
    </w:p>
  </w:footnote>
  <w:footnote w:id="97">
    <w:p>
      <w:pPr>
        <w:bidi w:val="0"/>
      </w:pPr>
      <w:r>
        <w:rPr>
          <w:vertAlign w:val="superscript"/>
        </w:rPr>
        <w:footnoteRef/>
      </w:r>
      <w:r>
        <w:rPr>
          <w:rFonts w:ascii="Times New Roman" w:hAnsi="Times New Roman" w:cs="Times New Roman"/>
          <w:sz w:val="20"/>
          <w:szCs w:val="20"/>
        </w:rPr>
        <w:t xml:space="preserve"> Vieira et al.</w:t>
      </w:r>
    </w:p>
  </w:footnote>
  <w:footnote w:id="98">
    <w:p>
      <w:pPr>
        <w:bidi w:val="0"/>
      </w:pPr>
      <w:r>
        <w:rPr>
          <w:vertAlign w:val="superscript"/>
        </w:rPr>
        <w:footnoteRef/>
      </w:r>
      <w:r>
        <w:rPr>
          <w:rFonts w:ascii="Times New Roman" w:hAnsi="Times New Roman" w:cs="Times New Roman"/>
          <w:sz w:val="20"/>
          <w:szCs w:val="20"/>
        </w:rPr>
        <w:t xml:space="preserve"> Schmidt et al.</w:t>
      </w:r>
    </w:p>
  </w:footnote>
  <w:footnote w:id="99">
    <w:p>
      <w:pPr>
        <w:bidi w:val="0"/>
      </w:pPr>
      <w:r>
        <w:rPr>
          <w:vertAlign w:val="superscript"/>
        </w:rPr>
        <w:footnoteRef/>
      </w:r>
      <w:r>
        <w:rPr>
          <w:rFonts w:ascii="Times New Roman" w:hAnsi="Times New Roman" w:cs="Times New Roman"/>
          <w:sz w:val="20"/>
          <w:szCs w:val="20"/>
        </w:rPr>
        <w:t xml:space="preserve"> Saggino et al.</w:t>
      </w:r>
    </w:p>
  </w:footnote>
  <w:footnote w:id="100">
    <w:p>
      <w:pPr>
        <w:bidi w:val="0"/>
      </w:pPr>
      <w:r>
        <w:rPr>
          <w:vertAlign w:val="superscript"/>
        </w:rPr>
        <w:footnoteRef/>
      </w:r>
      <w:r>
        <w:rPr>
          <w:rFonts w:ascii="Times New Roman" w:hAnsi="Times New Roman" w:cs="Times New Roman"/>
          <w:sz w:val="20"/>
          <w:szCs w:val="20"/>
        </w:rPr>
        <w:t xml:space="preserve"> Hayes</w:t>
      </w:r>
    </w:p>
  </w:footnote>
  <w:footnote w:id="101">
    <w:p>
      <w:pPr>
        <w:bidi w:val="0"/>
      </w:pPr>
      <w:r>
        <w:rPr>
          <w:vertAlign w:val="superscript"/>
        </w:rPr>
        <w:footnoteRef/>
      </w:r>
      <w:r>
        <w:rPr>
          <w:rFonts w:ascii="Times New Roman" w:hAnsi="Times New Roman" w:cs="Times New Roman"/>
          <w:sz w:val="20"/>
          <w:szCs w:val="20"/>
        </w:rPr>
        <w:t xml:space="preserve"> Estévez et al.</w:t>
      </w:r>
    </w:p>
  </w:footnote>
  <w:footnote w:id="102">
    <w:p>
      <w:pPr>
        <w:bidi w:val="0"/>
      </w:pPr>
      <w:r>
        <w:rPr>
          <w:vertAlign w:val="superscript"/>
        </w:rPr>
        <w:footnoteRef/>
      </w:r>
      <w:r>
        <w:rPr>
          <w:rFonts w:ascii="Times New Roman" w:hAnsi="Times New Roman" w:cs="Times New Roman"/>
          <w:sz w:val="20"/>
          <w:szCs w:val="20"/>
        </w:rPr>
        <w:t xml:space="preserve"> Sedighi Arfaee et al.</w:t>
      </w:r>
    </w:p>
  </w:footnote>
  <w:footnote w:id="103">
    <w:p>
      <w:pPr>
        <w:bidi w:val="0"/>
      </w:pPr>
      <w:r>
        <w:rPr>
          <w:vertAlign w:val="superscript"/>
        </w:rPr>
        <w:footnoteRef/>
      </w:r>
      <w:r>
        <w:rPr>
          <w:rFonts w:ascii="Times New Roman" w:hAnsi="Times New Roman" w:cs="Times New Roman"/>
          <w:sz w:val="20"/>
          <w:szCs w:val="20"/>
        </w:rPr>
        <w:t xml:space="preserve"> Arena et al.</w:t>
      </w:r>
    </w:p>
  </w:footnote>
  <w:footnote w:id="104">
    <w:p>
      <w:pPr>
        <w:bidi w:val="0"/>
      </w:pPr>
      <w:r>
        <w:rPr>
          <w:vertAlign w:val="superscript"/>
        </w:rPr>
        <w:footnoteRef/>
      </w:r>
      <w:r>
        <w:rPr>
          <w:rFonts w:ascii="Times New Roman" w:hAnsi="Times New Roman" w:cs="Times New Roman"/>
          <w:sz w:val="20"/>
          <w:szCs w:val="20"/>
        </w:rPr>
        <w:t xml:space="preserve"> An et al.</w:t>
      </w:r>
    </w:p>
  </w:footnote>
  <w:footnote w:id="105">
    <w:p>
      <w:pPr>
        <w:bidi w:val="0"/>
      </w:pPr>
      <w:r>
        <w:rPr>
          <w:vertAlign w:val="superscript"/>
        </w:rPr>
        <w:footnoteRef/>
      </w:r>
      <w:r>
        <w:rPr>
          <w:rFonts w:ascii="Times New Roman" w:hAnsi="Times New Roman" w:cs="Times New Roman"/>
          <w:sz w:val="20"/>
          <w:szCs w:val="20"/>
        </w:rPr>
        <w:t xml:space="preserve"> Rehm et al.</w:t>
      </w:r>
    </w:p>
  </w:footnote>
  <w:footnote w:id="106">
    <w:p>
      <w:pPr>
        <w:bidi w:val="0"/>
      </w:pPr>
      <w:r>
        <w:rPr>
          <w:vertAlign w:val="superscript"/>
        </w:rPr>
        <w:footnoteRef/>
      </w:r>
      <w:r>
        <w:rPr>
          <w:rFonts w:ascii="Times New Roman" w:hAnsi="Times New Roman" w:cs="Times New Roman"/>
          <w:sz w:val="20"/>
          <w:szCs w:val="20"/>
        </w:rPr>
        <w:t xml:space="preserve"> Fenton-O'Creevy et al., 2011</w:t>
      </w:r>
    </w:p>
  </w:footnote>
  <w:footnote w:id="107">
    <w:p>
      <w:pPr>
        <w:bidi w:val="0"/>
      </w:pPr>
      <w:r>
        <w:rPr>
          <w:vertAlign w:val="superscript"/>
        </w:rPr>
        <w:footnoteRef/>
      </w:r>
      <w:r>
        <w:rPr>
          <w:rFonts w:ascii="Times New Roman" w:hAnsi="Times New Roman" w:cs="Times New Roman"/>
          <w:sz w:val="20"/>
          <w:szCs w:val="20"/>
        </w:rPr>
        <w:t xml:space="preserve"> Halvorsen et al.</w:t>
      </w:r>
    </w:p>
  </w:footnote>
  <w:footnote w:id="108">
    <w:p>
      <w:pPr>
        <w:bidi w:val="0"/>
      </w:pPr>
      <w:r>
        <w:rPr>
          <w:vertAlign w:val="superscript"/>
        </w:rPr>
        <w:footnoteRef/>
      </w:r>
      <w:r>
        <w:rPr>
          <w:rFonts w:ascii="Times New Roman" w:hAnsi="Times New Roman" w:cs="Times New Roman"/>
          <w:sz w:val="20"/>
          <w:szCs w:val="20"/>
        </w:rPr>
        <w:t xml:space="preserve"> Lo &amp; Repin</w:t>
      </w:r>
    </w:p>
  </w:footnote>
  <w:footnote w:id="109">
    <w:p>
      <w:pPr>
        <w:bidi w:val="0"/>
      </w:pPr>
      <w:r>
        <w:rPr>
          <w:vertAlign w:val="superscript"/>
        </w:rPr>
        <w:footnoteRef/>
      </w:r>
      <w:r>
        <w:rPr>
          <w:rFonts w:ascii="Times New Roman" w:hAnsi="Times New Roman" w:cs="Times New Roman"/>
          <w:sz w:val="20"/>
          <w:szCs w:val="20"/>
        </w:rPr>
        <w:t xml:space="preserve"> Safitri et al.</w:t>
      </w:r>
    </w:p>
  </w:footnote>
  <w:footnote w:id="110">
    <w:p>
      <w:pPr>
        <w:bidi w:val="0"/>
      </w:pPr>
      <w:r>
        <w:rPr>
          <w:vertAlign w:val="superscript"/>
        </w:rPr>
        <w:footnoteRef/>
      </w:r>
      <w:r>
        <w:rPr>
          <w:rFonts w:ascii="Times New Roman" w:hAnsi="Times New Roman" w:cs="Times New Roman"/>
          <w:sz w:val="20"/>
          <w:szCs w:val="20"/>
        </w:rPr>
        <w:t xml:space="preserve"> Ololo et al.</w:t>
      </w:r>
    </w:p>
  </w:footnote>
  <w:footnote w:id="111">
    <w:p>
      <w:pPr>
        <w:bidi w:val="0"/>
      </w:pPr>
      <w:r>
        <w:rPr>
          <w:vertAlign w:val="superscript"/>
        </w:rPr>
        <w:footnoteRef/>
      </w:r>
      <w:r>
        <w:rPr>
          <w:rFonts w:ascii="Times New Roman" w:hAnsi="Times New Roman" w:cs="Times New Roman"/>
          <w:sz w:val="20"/>
          <w:szCs w:val="20"/>
        </w:rPr>
        <w:t xml:space="preserve"> Kline</w:t>
      </w:r>
    </w:p>
  </w:footnote>
  <w:footnote w:id="112">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