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footer10.xml" ContentType="application/vnd.openxmlformats-officedocument.wordprocessingml.footer+xml"/>
  <ns0:Override PartName="/word/footer2.xml" ContentType="application/vnd.openxmlformats-officedocument.wordprocessingml.footer+xml"/>
  <ns0:Override PartName="/word/footer3.xml" ContentType="application/vnd.openxmlformats-officedocument.wordprocessingml.footer+xml"/>
  <ns0:Override PartName="/word/footer4.xml" ContentType="application/vnd.openxmlformats-officedocument.wordprocessingml.footer+xml"/>
  <ns0:Override PartName="/word/footer5.xml" ContentType="application/vnd.openxmlformats-officedocument.wordprocessingml.footer+xml"/>
  <ns0:Override PartName="/word/footer6.xml" ContentType="application/vnd.openxmlformats-officedocument.wordprocessingml.footer+xml"/>
  <ns0:Override PartName="/word/footer7.xml" ContentType="application/vnd.openxmlformats-officedocument.wordprocessingml.footer+xml"/>
  <ns0:Override PartName="/word/footer8.xml" ContentType="application/vnd.openxmlformats-officedocument.wordprocessingml.footer+xml"/>
  <ns0:Override PartName="/word/footer9.xml" ContentType="application/vnd.openxmlformats-officedocument.wordprocessingml.footer+xml"/>
  <ns0:Override PartName="/word/footnotes.xml" ContentType="application/vnd.openxmlformats-officedocument.wordprocessingml.footnotes+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Default Extension="png" ContentType="image/png"/>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3="http://schemas.openxmlformats.org/drawingml/2006/wordprocessingDrawing" xmlns:ns4="http://schemas.openxmlformats.org/drawingml/2006/main" xmlns:ns5="http://schemas.openxmlformats.org/drawingml/2006/picture" xmlns:r="http://schemas.openxmlformats.org/officeDocument/2006/relationships" xmlns:w="http://schemas.openxmlformats.org/wordprocessingml/2006/main" ns1:Ignorable="w14 wp14">
  <w:body>
    <w:p/>
    <w:p/>
    <w:p/>
    <w:p/>
    <w:p>
      <w:pPr>
        <w:bidi/>
        <w:jc w:val="center"/>
        <w:spacing w:line="580" w:lineRule="exact"/>
      </w:pPr>
      <w:r>
        <w:rPr>
          <w:rFonts w:ascii="B Nazanin" w:hAnsi="B Nazanin" w:cs="B Nazanin"/>
          <w:sz w:val="28"/>
          <w:szCs w:val="28"/>
        </w:rPr>
        <w:t>بسم الله الرحمن الرحیم</w:t>
      </w:r>
    </w:p>
    <w:p>
      <w:r>
        <w:br w:type="page"/>
      </w:r>
    </w:p>
    <w:p>
      <w:pPr>
        <w:bidi/>
        <w:jc w:val="center"/>
        <w:spacing w:line="580" w:lineRule="exact"/>
      </w:pPr>
      <w:r>
        <w:rPr>
          <w:rFonts w:ascii="B Nazanin" w:hAnsi="B Nazanin" w:cs="B Nazanin"/>
          <w:b/>
          <w:bCs/>
          <w:sz w:val="28"/>
          <w:szCs w:val="28"/>
        </w:rPr>
        <w:t>وزارت علوم، تحقیقات و فناوری</w:t>
      </w:r>
    </w:p>
    <w:p>
      <w:pPr>
        <w:bidi/>
        <w:jc w:val="center"/>
        <w:spacing w:line="580" w:lineRule="exact"/>
      </w:pPr>
      <w:r>
        <w:rPr>
          <w:rFonts w:ascii="B Nazanin" w:hAnsi="B Nazanin" w:cs="B Nazanin"/>
          <w:b/>
          <w:bCs/>
          <w:sz w:val="28"/>
          <w:szCs w:val="28"/>
        </w:rPr>
        <w:t>دانشگاه علم و هنر یزد</w:t>
      </w:r>
    </w:p>
    <w:p>
      <w:pPr>
        <w:bidi/>
        <w:jc w:val="center"/>
        <w:spacing w:line="580" w:lineRule="exact"/>
      </w:pPr>
      <w:r>
        <w:rPr>
          <w:rFonts w:ascii="B Nazanin" w:hAnsi="B Nazanin" w:cs="B Nazanin"/>
          <w:b/>
          <w:bCs/>
          <w:sz w:val="28"/>
          <w:szCs w:val="28"/>
        </w:rPr>
        <w:t>دانشکده انسانی</w:t>
      </w:r>
    </w:p>
    <w:p>
      <w:pPr>
        <w:bidi/>
        <w:jc w:val="center"/>
        <w:spacing w:line="580" w:lineRule="exact"/>
      </w:pPr>
      <w:r>
        <w:rPr>
          <w:rFonts w:ascii="B Nazanin" w:hAnsi="B Nazanin" w:cs="B Nazanin"/>
          <w:b/>
          <w:bCs/>
          <w:sz w:val="28"/>
          <w:szCs w:val="28"/>
        </w:rPr>
        <w:t>گروه روان‌شناسی</w:t>
      </w:r>
    </w:p>
    <w:p/>
    <w:p>
      <w:pPr>
        <w:bidi/>
        <w:jc w:val="center"/>
        <w:spacing w:line="580" w:lineRule="exact"/>
      </w:pPr>
      <w:r>
        <w:rPr>
          <w:rFonts w:ascii="B Nazanin" w:hAnsi="B Nazanin" w:cs="B Nazanin"/>
          <w:b/>
          <w:bCs/>
          <w:sz w:val="32"/>
          <w:szCs w:val="32"/>
        </w:rPr>
        <w:t>پایان‌نامه کارشناسی ارشد</w:t>
      </w:r>
    </w:p>
    <w:p/>
    <w:p>
      <w:pPr>
        <w:bidi/>
        <w:jc w:val="center"/>
        <w:spacing w:line="580" w:lineRule="exact"/>
      </w:pPr>
      <w:r>
        <w:rPr>
          <w:rFonts w:ascii="B Nazanin" w:hAnsi="B Nazanin" w:cs="B Nazanin"/>
          <w:b/>
          <w:bCs/>
          <w:sz w:val="28"/>
          <w:szCs w:val="28"/>
        </w:rPr>
        <w:t>عنوان:</w:t>
      </w:r>
    </w:p>
    <w:p>
      <w:pPr>
        <w:bidi/>
        <w:jc w:val="center"/>
        <w:spacing w:line="580" w:lineRule="exact"/>
      </w:pPr>
      <w:r>
        <w:rPr>
          <w:rFonts w:ascii="B Nazanin" w:hAnsi="B Nazanin" w:cs="B Nazanin"/>
          <w:b/>
          <w:bCs/>
          <w:sz w:val="32"/>
          <w:szCs w:val="32"/>
        </w:rPr>
        <w:t>تعیین نقش میانجی‌گر طرحواره‌های ناسازگار اولیه</w:t>
      </w:r>
    </w:p>
    <w:p>
      <w:pPr>
        <w:bidi/>
        <w:jc w:val="center"/>
        <w:spacing w:line="580" w:lineRule="exact"/>
      </w:pPr>
      <w:r>
        <w:rPr>
          <w:rFonts w:ascii="B Nazanin" w:hAnsi="B Nazanin" w:cs="B Nazanin"/>
          <w:b/>
          <w:bCs/>
          <w:sz w:val="32"/>
          <w:szCs w:val="32"/>
        </w:rPr>
        <w:t>در رابطه بین اضطراب صفتی و رفتارهای مالی پرخطر</w:t>
      </w:r>
    </w:p>
    <w:p>
      <w:pPr>
        <w:bidi/>
        <w:jc w:val="center"/>
        <w:spacing w:line="580" w:lineRule="exact"/>
      </w:pPr>
      <w:r>
        <w:rPr>
          <w:rFonts w:ascii="B Nazanin" w:hAnsi="B Nazanin" w:cs="B Nazanin"/>
          <w:b/>
          <w:bCs/>
          <w:sz w:val="32"/>
          <w:szCs w:val="32"/>
        </w:rPr>
        <w:t>در معامله‌گران بازارهای مالی</w:t>
      </w:r>
    </w:p>
    <w:p/>
    <w:p>
      <w:pPr>
        <w:bidi/>
        <w:jc w:val="center"/>
        <w:spacing w:line="580" w:lineRule="exact"/>
      </w:pPr>
      <w:r>
        <w:rPr>
          <w:rFonts w:ascii="B Nazanin" w:hAnsi="B Nazanin" w:cs="B Nazanin"/>
          <w:b/>
          <w:bCs/>
          <w:sz w:val="28"/>
          <w:szCs w:val="28"/>
        </w:rPr>
        <w:t>نام دانشجو: مریم قابل</w:t>
      </w:r>
    </w:p>
    <w:p>
      <w:pPr>
        <w:bidi/>
        <w:jc w:val="center"/>
        <w:spacing w:line="580" w:lineRule="exact"/>
      </w:pPr>
      <w:r>
        <w:rPr>
          <w:rFonts w:ascii="B Nazanin" w:hAnsi="B Nazanin" w:cs="B Nazanin"/>
          <w:b/>
          <w:bCs/>
          <w:sz w:val="28"/>
          <w:szCs w:val="28"/>
        </w:rPr>
        <w:t>استاد راهنما: دکتر سعید وزیری یزدی</w:t>
      </w:r>
    </w:p>
    <w:p>
      <w:pPr>
        <w:bidi/>
        <w:jc w:val="center"/>
        <w:spacing w:line="580" w:lineRule="exact"/>
      </w:pPr>
      <w:r>
        <w:rPr>
          <w:rFonts w:ascii="B Nazanin" w:hAnsi="B Nazanin" w:cs="B Nazanin"/>
          <w:b/>
          <w:bCs/>
          <w:sz w:val="28"/>
          <w:szCs w:val="28"/>
        </w:rPr>
        <w:t>دانشکده انسانی</w:t>
      </w:r>
    </w:p>
    <w:p>
      <w:pPr>
        <w:bidi/>
        <w:jc w:val="center"/>
        <w:spacing w:line="580" w:lineRule="exact"/>
      </w:pPr>
      <w:r>
        <w:rPr>
          <w:rFonts w:ascii="B Nazanin" w:hAnsi="B Nazanin" w:cs="B Nazanin"/>
          <w:b/>
          <w:bCs/>
          <w:sz w:val="28"/>
          <w:szCs w:val="28"/>
        </w:rPr>
        <w:t>گروه روان‌شناسی</w:t>
      </w:r>
    </w:p>
    <w:p>
      <w:pPr>
        <w:bidi/>
        <w:jc w:val="center"/>
        <w:spacing w:line="580" w:lineRule="exact"/>
      </w:pPr>
      <w:r>
        <w:rPr>
          <w:rFonts w:ascii="B Nazanin" w:hAnsi="B Nazanin" w:cs="B Nazanin"/>
          <w:b/>
          <w:bCs/>
          <w:sz w:val="28"/>
          <w:szCs w:val="28"/>
        </w:rPr>
        <w:t>۱۴۰۵</w:t>
      </w:r>
    </w:p>
    <w:p>
      <w:r>
        <w:br w:type="page"/>
      </w:r>
    </w:p>
    <w:p>
      <w:pPr>
        <w:bidi/>
        <w:jc w:val="center"/>
        <w:spacing w:line="580" w:lineRule="exact"/>
      </w:pPr>
      <w:r>
        <w:rPr>
          <w:rFonts w:ascii="B Nazanin" w:hAnsi="B Nazanin" w:cs="B Nazanin"/>
          <w:b/>
          <w:bCs/>
          <w:sz w:val="28"/>
          <w:szCs w:val="28"/>
        </w:rPr>
        <w:t>تأییدیه پایان‌نامه</w:t>
      </w:r>
    </w:p>
    <w:p/>
    <w:p>
      <w:pPr>
        <w:bidi/>
        <w:jc w:val="both"/>
        <w:spacing w:line="580" w:lineRule="exact"/>
      </w:pPr>
      <w:r>
        <w:rPr>
          <w:rFonts w:ascii="B Nazanin" w:hAnsi="B Nazanin" w:cs="B Nazanin"/>
          <w:sz w:val="24"/>
          <w:szCs w:val="24"/>
        </w:rPr>
        <w:t>این پایان‌نامه با عنوان</w:t>
      </w:r>
    </w:p>
    <w:p>
      <w:pPr>
        <w:bidi/>
        <w:jc w:val="center"/>
        <w:spacing w:line="580" w:lineRule="exact"/>
      </w:pPr>
      <w:r>
        <w:rPr>
          <w:rFonts w:ascii="B Nazanin" w:hAnsi="B Nazanin" w:cs="B Nazanin"/>
          <w:b/>
          <w:bCs/>
          <w:sz w:val="24"/>
          <w:szCs w:val="24"/>
        </w:rPr>
        <w:t>«تعیین نقش میانجی‌گر طرحواره‌های ناسازگار اولیه در رابطه بین اضطراب صفتی و رفتارهای مالی پرخطر در معامله‌گران بازارهای مالی»</w:t>
      </w:r>
    </w:p>
    <w:p>
      <w:pPr>
        <w:bidi/>
        <w:jc w:val="both"/>
        <w:spacing w:line="580" w:lineRule="exact"/>
      </w:pPr>
      <w:r>
        <w:rPr>
          <w:rFonts w:ascii="B Nazanin" w:hAnsi="B Nazanin" w:cs="B Nazanin"/>
          <w:sz w:val="24"/>
          <w:szCs w:val="24"/>
        </w:rPr>
        <w:t>تهیه‌شده توسط</w:t>
      </w:r>
    </w:p>
    <w:p>
      <w:pPr>
        <w:bidi/>
        <w:jc w:val="center"/>
        <w:spacing w:line="580" w:lineRule="exact"/>
      </w:pPr>
      <w:r>
        <w:rPr>
          <w:rFonts w:ascii="B Nazanin" w:hAnsi="B Nazanin" w:cs="B Nazanin"/>
          <w:b/>
          <w:bCs/>
          <w:sz w:val="24"/>
          <w:szCs w:val="24"/>
        </w:rPr>
        <w:t>مریم قابل</w:t>
      </w:r>
    </w:p>
    <w:p>
      <w:pPr>
        <w:bidi/>
        <w:jc w:val="both"/>
        <w:spacing w:line="580" w:lineRule="exact"/>
      </w:pPr>
      <w:r>
        <w:rPr>
          <w:rFonts w:ascii="B Nazanin" w:hAnsi="B Nazanin" w:cs="B Nazanin"/>
          <w:sz w:val="24"/>
          <w:szCs w:val="24"/>
        </w:rPr>
        <w:t>به عنوان پایان‌نامه کارشناسی ارشد در رشته روان‌شناسی بالینی</w:t>
      </w:r>
    </w:p>
    <w:p>
      <w:pPr>
        <w:bidi/>
        <w:jc w:val="both"/>
        <w:spacing w:line="580" w:lineRule="exact"/>
      </w:pPr>
      <w:r>
        <w:rPr>
          <w:rFonts w:ascii="B Nazanin" w:hAnsi="B Nazanin" w:cs="B Nazanin"/>
          <w:sz w:val="24"/>
          <w:szCs w:val="24"/>
        </w:rPr>
        <w:t>دانشکده انسانی دانشگاه علم و هنر یزد</w:t>
      </w:r>
    </w:p>
    <w:p>
      <w:pPr>
        <w:bidi/>
        <w:jc w:val="both"/>
        <w:spacing w:line="580" w:lineRule="exact"/>
      </w:pPr>
      <w:r>
        <w:rPr>
          <w:rFonts w:ascii="B Nazanin" w:hAnsi="B Nazanin" w:cs="B Nazanin"/>
          <w:sz w:val="24"/>
          <w:szCs w:val="24"/>
        </w:rPr>
        <w:t>در تاریخ ....... به عنوان پایان‌نامه‌ای کامل و قابل دفاع پذیرفته شد.</w:t>
      </w:r>
    </w:p>
    <w:p/>
    <w:p>
      <w:pPr>
        <w:bidi/>
        <w:jc w:val="both"/>
        <w:spacing w:line="580" w:lineRule="exact"/>
      </w:pPr>
      <w:r>
        <w:rPr>
          <w:rFonts w:ascii="B Nazanin" w:hAnsi="B Nazanin" w:cs="B Nazanin"/>
          <w:sz w:val="24"/>
          <w:szCs w:val="24"/>
        </w:rPr>
        <w:t>امضاء استاد راهنما: دکتر سعید وزیری یزدی</w:t>
      </w:r>
    </w:p>
    <w:p>
      <w:pPr>
        <w:bidi/>
        <w:jc w:val="both"/>
        <w:spacing w:line="580" w:lineRule="exact"/>
      </w:pPr>
      <w:r>
        <w:rPr>
          <w:rFonts w:ascii="B Nazanin" w:hAnsi="B Nazanin" w:cs="B Nazanin"/>
          <w:sz w:val="24"/>
          <w:szCs w:val="24"/>
        </w:rPr>
        <w:t>امضاء داور:</w:t>
      </w:r>
    </w:p>
    <w:p>
      <w:pPr>
        <w:bidi/>
        <w:jc w:val="both"/>
        <w:spacing w:line="580" w:lineRule="exact"/>
      </w:pPr>
      <w:r>
        <w:rPr>
          <w:rFonts w:ascii="B Nazanin" w:hAnsi="B Nazanin" w:cs="B Nazanin"/>
          <w:sz w:val="24"/>
          <w:szCs w:val="24"/>
        </w:rPr>
        <w:t>امضاء رئیس گروه:</w:t>
      </w:r>
    </w:p>
    <w:p>
      <w:pPr>
        <w:bidi/>
        <w:jc w:val="both"/>
        <w:spacing w:line="580" w:lineRule="exact"/>
      </w:pPr>
      <w:r>
        <w:rPr>
          <w:rFonts w:ascii="B Nazanin" w:hAnsi="B Nazanin" w:cs="B Nazanin"/>
          <w:sz w:val="24"/>
          <w:szCs w:val="24"/>
        </w:rPr>
        <w:t>تاریخ دفاع:</w:t>
      </w:r>
    </w:p>
    <w:p>
      <w:r>
        <w:br w:type="page"/>
      </w:r>
    </w:p>
    <w:p>
      <w:pPr>
        <w:bidi/>
        <w:jc w:val="center"/>
        <w:spacing w:line="580" w:lineRule="exact"/>
      </w:pPr>
      <w:r>
        <w:rPr>
          <w:rFonts w:ascii="B Nazanin" w:hAnsi="B Nazanin" w:cs="B Nazanin"/>
          <w:b/>
          <w:bCs/>
          <w:sz w:val="28"/>
          <w:szCs w:val="28"/>
        </w:rPr>
        <w:t>تعهدنامه</w:t>
      </w:r>
    </w:p>
    <w:p/>
    <w:p>
      <w:pPr>
        <w:bidi/>
        <w:jc w:val="both"/>
        <w:spacing w:line="580" w:lineRule="exact"/>
      </w:pPr>
      <w:r>
        <w:rPr>
          <w:rFonts w:ascii="B Nazanin" w:hAnsi="B Nazanin" w:cs="B Nazanin"/>
          <w:sz w:val="24"/>
          <w:szCs w:val="24"/>
        </w:rPr>
        <w:t>اینجانب مریم قابل، دانشجوی کارشناسی ارشد روان‌شناسی بالینی دانشکده انسانی دانشگاه علم و هنر یزد، تعهد می‌کنم که این پایان‌نامه حاصل کار شخصی بنده بوده و تمام منابع مورد استفاده در آن به درستی ذکر شده‌اند. در صورت کشف هرگونه تخلف علمی، مسئولیت آن بر عهدهٔ اینجانب خواهد بود.</w:t>
      </w:r>
    </w:p>
    <w:p/>
    <w:p>
      <w:pPr>
        <w:bidi/>
        <w:jc w:val="both"/>
        <w:spacing w:line="580" w:lineRule="exact"/>
      </w:pPr>
      <w:r>
        <w:rPr>
          <w:rFonts w:ascii="B Nazanin" w:hAnsi="B Nazanin" w:cs="B Nazanin"/>
          <w:sz w:val="24"/>
          <w:szCs w:val="24"/>
        </w:rPr>
        <w:t>نام و نام خانوادگی: مریم قابل</w:t>
      </w:r>
    </w:p>
    <w:p>
      <w:pPr>
        <w:bidi/>
        <w:jc w:val="both"/>
        <w:spacing w:line="580" w:lineRule="exact"/>
      </w:pPr>
      <w:r>
        <w:rPr>
          <w:rFonts w:ascii="B Nazanin" w:hAnsi="B Nazanin" w:cs="B Nazanin"/>
          <w:sz w:val="24"/>
          <w:szCs w:val="24"/>
        </w:rPr>
        <w:t>امضاء:</w:t>
      </w:r>
    </w:p>
    <w:p>
      <w:pPr>
        <w:bidi/>
        <w:jc w:val="both"/>
        <w:spacing w:line="580" w:lineRule="exact"/>
      </w:pPr>
      <w:r>
        <w:rPr>
          <w:rFonts w:ascii="B Nazanin" w:hAnsi="B Nazanin" w:cs="B Nazanin"/>
          <w:sz w:val="24"/>
          <w:szCs w:val="24"/>
        </w:rPr>
        <w:t>تاریخ:</w:t>
      </w:r>
    </w:p>
    <w:p>
      <w:r>
        <w:br w:type="page"/>
      </w:r>
    </w:p>
    <w:p>
      <w:pPr>
        <w:bidi/>
        <w:jc w:val="center"/>
        <w:spacing w:line="580" w:lineRule="exact"/>
      </w:pPr>
      <w:r>
        <w:rPr>
          <w:rFonts w:ascii="B Nazanin" w:hAnsi="B Nazanin" w:cs="B Nazanin"/>
          <w:b/>
          <w:bCs/>
          <w:sz w:val="28"/>
          <w:szCs w:val="28"/>
        </w:rPr>
        <w:t>تقدیم به:</w:t>
      </w:r>
    </w:p>
    <w:p/>
    <w:p>
      <w:pPr>
        <w:bidi/>
        <w:jc w:val="center"/>
        <w:spacing w:line="580" w:lineRule="exact"/>
      </w:pPr>
      <w:r>
        <w:rPr>
          <w:rFonts w:ascii="B Nazanin" w:hAnsi="B Nazanin" w:cs="B Nazanin"/>
          <w:sz w:val="24"/>
          <w:szCs w:val="24"/>
        </w:rPr>
        <w:t>[این بخش توسط دانشجو تکمیل می‌شود]</w:t>
      </w:r>
    </w:p>
    <w:p>
      <w:r>
        <w:br w:type="page"/>
      </w:r>
    </w:p>
    <w:p>
      <w:pPr>
        <w:bidi/>
        <w:jc w:val="center"/>
        <w:spacing w:line="580" w:lineRule="exact"/>
      </w:pPr>
      <w:r>
        <w:rPr>
          <w:rFonts w:ascii="B Nazanin" w:hAnsi="B Nazanin" w:cs="B Nazanin"/>
          <w:b/>
          <w:bCs/>
          <w:sz w:val="28"/>
          <w:szCs w:val="28"/>
        </w:rPr>
        <w:t>سپاسگزاری</w:t>
      </w:r>
    </w:p>
    <w:p/>
    <w:p>
      <w:pPr>
        <w:bidi/>
        <w:jc w:val="center"/>
        <w:spacing w:line="580" w:lineRule="exact"/>
      </w:pPr>
      <w:r>
        <w:rPr>
          <w:rFonts w:ascii="B Nazanin" w:hAnsi="B Nazanin" w:cs="B Nazanin"/>
          <w:sz w:val="24"/>
          <w:szCs w:val="24"/>
        </w:rPr>
        <w:t>[این بخش توسط دانشجو تکمیل می‌شود]</w:t>
      </w:r>
    </w:p>
    <w:p>
      <w:r>
        <w:br w:type="page"/>
      </w:r>
    </w:p>
    <w:p>
      <w:pPr>
        <w:bidi/>
        <w:jc w:val="center"/>
        <w:spacing w:line="580" w:lineRule="exact"/>
      </w:pPr>
      <w:r>
        <w:rPr>
          <w:rFonts w:ascii="B Nazanin" w:hAnsi="B Nazanin" w:cs="B Nazanin"/>
          <w:b/>
          <w:bCs/>
          <w:sz w:val="28"/>
          <w:szCs w:val="28"/>
        </w:rPr>
        <w:t>چکیده</w:t>
      </w:r>
    </w:p>
    <w:p/>
    <w:p>
      <w:pPr>
        <w:bidi/>
        <w:jc w:val="both"/>
        <w:spacing w:line="580" w:lineRule="exact"/>
      </w:pPr>
      <w:r>
        <w:rPr>
          <w:rFonts w:ascii="B Nazanin" w:hAnsi="B Nazanin" w:cs="B Nazanin"/>
          <w:sz w:val="24"/>
          <w:szCs w:val="24"/>
        </w:rPr>
        <w:t>پژوهش حاضر با هدف تعیین نقش میانجی‌گر طرحواره‌های ناسازگار اولیه در رابطه بین اضطراب صفتی و رفتارهای مالی پرخطر در معامله‌گران بازارهای مالی انجام شد. این پژوهش از نظر هدف کاربردی و از نظر روش توصیفی-همبستگی با رویکرد مدل‌سازی معادلات ساختاری بود. جامعهٔ آماری پژوهش را کلیهٔ معامله‌گران حقیقی فارسی‌زبان با حداقل ۶ ماه سابقهٔ معامله تشکیل می‌دادند و نمونه (n=185) با روش نمونه‌گیری در دسترس و گلوله‌برفی انتخاب شد. ابزارهای پژوهش شامل پرسشنامه اضطراب حالت-صفت اسپیلبرگر (فرم صفتی)، پرسشنامه طرحواره‌های ناسازگار اولیه یانگ (فرم کوتاه ۷۵ گویه‌ای) و مقیاس تحمل ریسک مالی گرابل و لایتون بود. داده‌ها با نرم‌افزارهای SPSS و Amos و ماکروی PROCESS تحلیل شدند. یافته‌ها نشان داد که اضطراب صفتی با رفتارهای مالی پرخطر (r=0.327)، طرحواره‌های ناسازگار اولیه (r=0.501) و رفتارهای مالی پرخطر (r=0.321) رابطه مثبت و معنادار دارد. همچنین طرحواره‌های ناسازگار اولیه نقش میانجی‌گر جزئی در رابطه بین اضطراب صفتی و رفتارهای مالی پرخطر ایفا می‌کنند (اثر غیرمستقیم=0.070، CI 95%: 0.011 تا 0.133). نتایج نشان داد که طرحواره‌های ناسازگار اولیه بخشی از اثر اضطراب صفتی بر رفتارهای مالی پرخطر را تبیین می‌کنند و مداخله‌های شناختی-رفتاری می‌توانند بر این مسیر اثر بگذارند.</w:t>
      </w:r>
    </w:p>
    <w:p>
      <w:pPr>
        <w:bidi/>
        <w:jc w:val="both"/>
        <w:spacing w:line="580" w:lineRule="exact"/>
      </w:pPr>
      <w:r>
        <w:rPr>
          <w:rFonts w:ascii="B Nazanin" w:hAnsi="B Nazanin" w:cs="B Nazanin"/>
          <w:b/>
          <w:bCs/>
          <w:sz w:val="24"/>
          <w:szCs w:val="24"/>
        </w:rPr>
        <w:t xml:space="preserve">کلمات کلیدی: </w:t>
      </w:r>
      <w:r>
        <w:rPr>
          <w:rFonts w:ascii="B Nazanin" w:hAnsi="B Nazanin" w:cs="B Nazanin"/>
          <w:sz w:val="24"/>
          <w:szCs w:val="24"/>
        </w:rPr>
        <w:t>اضطراب صفتی؛ طرحواره‌های ناسازگار اولیه؛ رفتارهای مالی پرخطر؛ معامله‌گران بازارهای مالی؛ مدل‌سازی معادلات ساختاری</w:t>
      </w:r>
    </w:p>
    <w:p>
      <w:r>
        <w:br w:type="page"/>
      </w:r>
    </w:p>
    <w:p>
      <w:pPr>
        <w:bidi/>
        <w:jc w:val="center"/>
        <w:spacing w:line="580" w:lineRule="exact"/>
      </w:pPr>
      <w:r>
        <w:rPr>
          <w:rFonts w:ascii="B Nazanin" w:hAnsi="B Nazanin" w:cs="B Nazanin"/>
          <w:b/>
          <w:bCs/>
          <w:sz w:val="28"/>
          <w:szCs w:val="28"/>
        </w:rPr>
        <w:t>فهرست مطالب</w:t>
      </w:r>
    </w:p>
    <w:p>
      <w:pPr>
        <w:bidi/>
      </w:pPr>
      <w:r>
        <w:rPr>
          <w:rFonts w:ascii="B Nazanin" w:hAnsi="B Nazanin"/>
        </w:rPr>
        <w:fldChar w:fldCharType="begin"/>
      </w:r>
      <w:r>
        <w:rPr>
          <w:rFonts w:ascii="B Nazanin" w:hAnsi="B Nazanin"/>
        </w:rPr>
        <w:instrText>TOC \o "1-2" \h \z \u</w:instrText>
      </w:r>
      <w:r>
        <w:rPr>
          <w:rFonts w:ascii="B Nazanin" w:hAnsi="B Nazanin"/>
        </w:rPr>
        <w:fldChar w:fldCharType="separate"/>
      </w:r>
    </w:p>
    <w:p>
      <w:pPr>
        <w:pStyle w:val="TOC1"/>
        <w:bidi/>
        <w:jc w:val="right"/>
        <w:spacing w:line="580" w:lineRule="exact"/>
      </w:pPr>
      <w:r>
        <w:rPr>
          <w:rFonts w:ascii="B Nazanin" w:hAnsi="B Nazanin" w:cs="B Nazanin"/>
          <w:sz w:val="24"/>
          <w:szCs w:val="24"/>
          <w:rtl/>
        </w:rPr>
        <w:t>فصل اول</w:t>
      </w:r>
    </w:p>
    <w:p>
      <w:pPr>
        <w:pStyle w:val="TOC2"/>
        <w:bidi/>
        <w:jc w:val="right"/>
        <w:spacing w:line="580" w:lineRule="exact"/>
      </w:pPr>
      <w:r>
        <w:rPr>
          <w:rFonts w:ascii="B Nazanin" w:hAnsi="B Nazanin" w:cs="B Nazanin"/>
          <w:sz w:val="22"/>
          <w:szCs w:val="22"/>
          <w:rtl/>
        </w:rPr>
        <w:t>۱-۱. مقدمه</w:t>
      </w:r>
    </w:p>
    <w:p>
      <w:pPr>
        <w:pStyle w:val="TOC2"/>
        <w:bidi/>
        <w:jc w:val="right"/>
        <w:spacing w:line="580" w:lineRule="exact"/>
      </w:pPr>
      <w:r>
        <w:rPr>
          <w:rFonts w:ascii="B Nazanin" w:hAnsi="B Nazanin" w:cs="B Nazanin"/>
          <w:sz w:val="22"/>
          <w:szCs w:val="22"/>
          <w:rtl/>
        </w:rPr>
        <w:t>۱-۲. بیان مسأله</w:t>
      </w:r>
    </w:p>
    <w:p>
      <w:pPr>
        <w:pStyle w:val="TOC2"/>
        <w:bidi/>
        <w:jc w:val="right"/>
        <w:spacing w:line="580" w:lineRule="exact"/>
      </w:pPr>
      <w:r>
        <w:rPr>
          <w:rFonts w:ascii="B Nazanin" w:hAnsi="B Nazanin" w:cs="B Nazanin"/>
          <w:sz w:val="22"/>
          <w:szCs w:val="22"/>
          <w:rtl/>
        </w:rPr>
        <w:t>۱-۳. اهمیت و ضرورت پژوهش</w:t>
      </w:r>
    </w:p>
    <w:p>
      <w:pPr>
        <w:pStyle w:val="TOC2"/>
        <w:bidi/>
        <w:jc w:val="right"/>
        <w:spacing w:line="580" w:lineRule="exact"/>
      </w:pPr>
      <w:r>
        <w:rPr>
          <w:rFonts w:ascii="B Nazanin" w:hAnsi="B Nazanin" w:cs="B Nazanin"/>
          <w:sz w:val="22"/>
          <w:szCs w:val="22"/>
          <w:rtl/>
        </w:rPr>
        <w:t>۱-۴. اهداف پژوهش</w:t>
      </w:r>
    </w:p>
    <w:p>
      <w:pPr>
        <w:pStyle w:val="TOC2"/>
        <w:bidi/>
        <w:jc w:val="right"/>
        <w:spacing w:line="580" w:lineRule="exact"/>
      </w:pPr>
      <w:r>
        <w:rPr>
          <w:rFonts w:ascii="B Nazanin" w:hAnsi="B Nazanin" w:cs="B Nazanin"/>
          <w:sz w:val="22"/>
          <w:szCs w:val="22"/>
          <w:rtl/>
        </w:rPr>
        <w:t>۱-۴-۱. هدف اصلی</w:t>
      </w:r>
    </w:p>
    <w:p>
      <w:pPr>
        <w:pStyle w:val="TOC2"/>
        <w:bidi/>
        <w:jc w:val="right"/>
        <w:spacing w:line="580" w:lineRule="exact"/>
      </w:pPr>
      <w:r>
        <w:rPr>
          <w:rFonts w:ascii="B Nazanin" w:hAnsi="B Nazanin" w:cs="B Nazanin"/>
          <w:sz w:val="22"/>
          <w:szCs w:val="22"/>
          <w:rtl/>
        </w:rPr>
        <w:t>۱-۴-۲. اهداف فرعی</w:t>
      </w:r>
    </w:p>
    <w:p>
      <w:pPr>
        <w:pStyle w:val="TOC2"/>
        <w:bidi/>
        <w:jc w:val="right"/>
        <w:spacing w:line="580" w:lineRule="exact"/>
      </w:pPr>
      <w:r>
        <w:rPr>
          <w:rFonts w:ascii="B Nazanin" w:hAnsi="B Nazanin" w:cs="B Nazanin"/>
          <w:sz w:val="22"/>
          <w:szCs w:val="22"/>
          <w:rtl/>
        </w:rPr>
        <w:t>۱-۵. فرضیه‌های پژوهش</w:t>
      </w:r>
    </w:p>
    <w:p>
      <w:pPr>
        <w:pStyle w:val="TOC2"/>
        <w:bidi/>
        <w:jc w:val="right"/>
        <w:spacing w:line="580" w:lineRule="exact"/>
      </w:pPr>
      <w:r>
        <w:rPr>
          <w:rFonts w:ascii="B Nazanin" w:hAnsi="B Nazanin" w:cs="B Nazanin"/>
          <w:sz w:val="22"/>
          <w:szCs w:val="22"/>
          <w:rtl/>
        </w:rPr>
        <w:t>۱-۶. تعاریف مفهومی و عملیاتی متغیرهای پژوهش</w:t>
      </w:r>
    </w:p>
    <w:p>
      <w:pPr>
        <w:pStyle w:val="TOC2"/>
        <w:bidi/>
        <w:jc w:val="right"/>
        <w:spacing w:line="580" w:lineRule="exact"/>
      </w:pPr>
      <w:r>
        <w:rPr>
          <w:rFonts w:ascii="B Nazanin" w:hAnsi="B Nazanin" w:cs="B Nazanin"/>
          <w:sz w:val="22"/>
          <w:szCs w:val="22"/>
          <w:rtl/>
        </w:rPr>
        <w:t>۱-۶-۱. اضطراب صفتی</w:t>
      </w:r>
    </w:p>
    <w:p>
      <w:pPr>
        <w:pStyle w:val="TOC2"/>
        <w:bidi/>
        <w:jc w:val="right"/>
        <w:spacing w:line="580" w:lineRule="exact"/>
      </w:pPr>
      <w:r>
        <w:rPr>
          <w:rFonts w:ascii="B Nazanin" w:hAnsi="B Nazanin" w:cs="B Nazanin"/>
          <w:sz w:val="22"/>
          <w:szCs w:val="22"/>
          <w:rtl/>
        </w:rPr>
        <w:t>۱-۶-۲. طرحواره‌های ناسازگار اولیه</w:t>
      </w:r>
    </w:p>
    <w:p>
      <w:pPr>
        <w:pStyle w:val="TOC2"/>
        <w:bidi/>
        <w:jc w:val="right"/>
        <w:spacing w:line="580" w:lineRule="exact"/>
      </w:pPr>
      <w:r>
        <w:rPr>
          <w:rFonts w:ascii="B Nazanin" w:hAnsi="B Nazanin" w:cs="B Nazanin"/>
          <w:sz w:val="22"/>
          <w:szCs w:val="22"/>
          <w:rtl/>
        </w:rPr>
        <w:t>۱-۶-۳. رفتارهای مالی پرخطر</w:t>
      </w:r>
    </w:p>
    <w:p>
      <w:pPr>
        <w:pStyle w:val="TOC2"/>
        <w:bidi/>
        <w:jc w:val="right"/>
        <w:spacing w:line="580" w:lineRule="exact"/>
      </w:pPr>
      <w:r>
        <w:rPr>
          <w:rFonts w:ascii="B Nazanin" w:hAnsi="B Nazanin" w:cs="B Nazanin"/>
          <w:sz w:val="22"/>
          <w:szCs w:val="22"/>
          <w:rtl/>
        </w:rPr>
        <w:t>۱-۷. سازمان‌بندی رساله</w:t>
      </w:r>
    </w:p>
    <w:p>
      <w:pPr>
        <w:pStyle w:val="TOC1"/>
        <w:bidi/>
        <w:jc w:val="right"/>
        <w:spacing w:line="580" w:lineRule="exact"/>
      </w:pPr>
      <w:r>
        <w:rPr>
          <w:rFonts w:ascii="B Nazanin" w:hAnsi="B Nazanin" w:cs="B Nazanin"/>
          <w:sz w:val="24"/>
          <w:szCs w:val="24"/>
          <w:rtl/>
        </w:rPr>
        <w:t>فصل دوم</w:t>
      </w:r>
    </w:p>
    <w:p>
      <w:pPr>
        <w:pStyle w:val="TOC2"/>
        <w:bidi/>
        <w:jc w:val="right"/>
        <w:spacing w:line="580" w:lineRule="exact"/>
      </w:pPr>
      <w:r>
        <w:rPr>
          <w:rFonts w:ascii="B Nazanin" w:hAnsi="B Nazanin" w:cs="B Nazanin"/>
          <w:sz w:val="22"/>
          <w:szCs w:val="22"/>
          <w:rtl/>
        </w:rPr>
        <w:t>۲-۱ مقدمه</w:t>
      </w:r>
    </w:p>
    <w:p>
      <w:pPr>
        <w:pStyle w:val="TOC2"/>
        <w:bidi/>
        <w:jc w:val="right"/>
        <w:spacing w:line="580" w:lineRule="exact"/>
      </w:pPr>
      <w:r>
        <w:rPr>
          <w:rFonts w:ascii="B Nazanin" w:hAnsi="B Nazanin" w:cs="B Nazanin"/>
          <w:sz w:val="22"/>
          <w:szCs w:val="22"/>
          <w:rtl/>
        </w:rPr>
        <w:t>۲-۲ مبانی نظری</w:t>
      </w:r>
    </w:p>
    <w:p>
      <w:pPr>
        <w:pStyle w:val="TOC2"/>
        <w:bidi/>
        <w:jc w:val="right"/>
        <w:spacing w:line="580" w:lineRule="exact"/>
      </w:pPr>
      <w:r>
        <w:rPr>
          <w:rFonts w:ascii="B Nazanin" w:hAnsi="B Nazanin" w:cs="B Nazanin"/>
          <w:sz w:val="22"/>
          <w:szCs w:val="22"/>
          <w:rtl/>
        </w:rPr>
        <w:t>۲-۲-۱ اضطراب صفتی</w:t>
      </w:r>
    </w:p>
    <w:p>
      <w:pPr>
        <w:pStyle w:val="TOC2"/>
        <w:bidi/>
        <w:jc w:val="right"/>
        <w:spacing w:line="580" w:lineRule="exact"/>
      </w:pPr>
      <w:r>
        <w:rPr>
          <w:rFonts w:ascii="B Nazanin" w:hAnsi="B Nazanin" w:cs="B Nazanin"/>
          <w:sz w:val="22"/>
          <w:szCs w:val="22"/>
          <w:rtl/>
        </w:rPr>
        <w:t>۲-۲-۱-۱ تمایزهای مفهومی کلیدی</w:t>
      </w:r>
    </w:p>
    <w:p>
      <w:pPr>
        <w:pStyle w:val="TOC2"/>
        <w:bidi/>
        <w:jc w:val="right"/>
        <w:spacing w:line="580" w:lineRule="exact"/>
      </w:pPr>
      <w:r>
        <w:rPr>
          <w:rFonts w:ascii="B Nazanin" w:hAnsi="B Nazanin" w:cs="B Nazanin"/>
          <w:sz w:val="22"/>
          <w:szCs w:val="22"/>
          <w:rtl/>
        </w:rPr>
        <w:t>۲-۲-۱-۲ مبانی زیست‌شناختی و عصب‌شناختی اضطراب</w:t>
      </w:r>
    </w:p>
    <w:p>
      <w:pPr>
        <w:pStyle w:val="TOC2"/>
        <w:bidi/>
        <w:jc w:val="right"/>
        <w:spacing w:line="580" w:lineRule="exact"/>
      </w:pPr>
      <w:r>
        <w:rPr>
          <w:rFonts w:ascii="B Nazanin" w:hAnsi="B Nazanin" w:cs="B Nazanin"/>
          <w:sz w:val="22"/>
          <w:szCs w:val="22"/>
          <w:rtl/>
        </w:rPr>
        <w:t>۲-۲-۱-۳ دیدگاه‌های روانشناختی درباره اضطراب</w:t>
      </w:r>
    </w:p>
    <w:p>
      <w:pPr>
        <w:pStyle w:val="TOC2"/>
        <w:bidi/>
        <w:jc w:val="right"/>
        <w:spacing w:line="580" w:lineRule="exact"/>
      </w:pPr>
      <w:r>
        <w:rPr>
          <w:rFonts w:ascii="B Nazanin" w:hAnsi="B Nazanin" w:cs="B Nazanin"/>
          <w:sz w:val="22"/>
          <w:szCs w:val="22"/>
          <w:rtl/>
        </w:rPr>
        <w:t>۲-۲-۱-۴ جمع‌بندی: جایگاه اضطراب صفتی در تصمیم‌گیری مالی</w:t>
      </w:r>
    </w:p>
    <w:p>
      <w:pPr>
        <w:pStyle w:val="TOC2"/>
        <w:bidi/>
        <w:jc w:val="right"/>
        <w:spacing w:line="580" w:lineRule="exact"/>
      </w:pPr>
      <w:r>
        <w:rPr>
          <w:rFonts w:ascii="B Nazanin" w:hAnsi="B Nazanin" w:cs="B Nazanin"/>
          <w:sz w:val="22"/>
          <w:szCs w:val="22"/>
          <w:rtl/>
        </w:rPr>
        <w:t>۲-۲-۲ طرحواره‌های ناسازگار اولیه</w:t>
      </w:r>
    </w:p>
    <w:p>
      <w:pPr>
        <w:pStyle w:val="TOC2"/>
        <w:bidi/>
        <w:jc w:val="right"/>
        <w:spacing w:line="580" w:lineRule="exact"/>
      </w:pPr>
      <w:r>
        <w:rPr>
          <w:rFonts w:ascii="B Nazanin" w:hAnsi="B Nazanin" w:cs="B Nazanin"/>
          <w:sz w:val="22"/>
          <w:szCs w:val="22"/>
          <w:rtl/>
        </w:rPr>
        <w:t>۲-۲-۲-۱ حوزه‌ها و طرحواره‌های ناسازگار اولیه و سبک‌های مقابله‌ای</w:t>
      </w:r>
    </w:p>
    <w:p>
      <w:pPr>
        <w:pStyle w:val="TOC2"/>
        <w:bidi/>
        <w:jc w:val="right"/>
        <w:spacing w:line="580" w:lineRule="exact"/>
      </w:pPr>
      <w:r>
        <w:rPr>
          <w:rFonts w:ascii="B Nazanin" w:hAnsi="B Nazanin" w:cs="B Nazanin"/>
          <w:sz w:val="22"/>
          <w:szCs w:val="22"/>
          <w:rtl/>
        </w:rPr>
        <w:t>۲-۲-۳ رفتارهای مالی پرخطر</w:t>
      </w:r>
    </w:p>
    <w:p>
      <w:pPr>
        <w:pStyle w:val="TOC2"/>
        <w:bidi/>
        <w:jc w:val="right"/>
        <w:spacing w:line="580" w:lineRule="exact"/>
      </w:pPr>
      <w:r>
        <w:rPr>
          <w:rFonts w:ascii="B Nazanin" w:hAnsi="B Nazanin" w:cs="B Nazanin"/>
          <w:sz w:val="22"/>
          <w:szCs w:val="22"/>
          <w:rtl/>
        </w:rPr>
        <w:t>۲-۲-۳-۱ تحمل ریسک مالی</w:t>
      </w:r>
    </w:p>
    <w:p>
      <w:pPr>
        <w:pStyle w:val="TOC2"/>
        <w:bidi/>
        <w:jc w:val="right"/>
        <w:spacing w:line="580" w:lineRule="exact"/>
      </w:pPr>
      <w:r>
        <w:rPr>
          <w:rFonts w:ascii="B Nazanin" w:hAnsi="B Nazanin" w:cs="B Nazanin"/>
          <w:sz w:val="22"/>
          <w:szCs w:val="22"/>
          <w:rtl/>
        </w:rPr>
        <w:t>۲-۲-۴ روابط بین متغیرها و مدل نظری میانجی‌گری</w:t>
      </w:r>
    </w:p>
    <w:p>
      <w:pPr>
        <w:pStyle w:val="TOC2"/>
        <w:bidi/>
        <w:jc w:val="right"/>
        <w:spacing w:line="580" w:lineRule="exact"/>
      </w:pPr>
      <w:r>
        <w:rPr>
          <w:rFonts w:ascii="B Nazanin" w:hAnsi="B Nazanin" w:cs="B Nazanin"/>
          <w:sz w:val="22"/>
          <w:szCs w:val="22"/>
          <w:rtl/>
        </w:rPr>
        <w:t>۲-۲-۴-۱ سازوکار نظری مدل میانجی‌گری</w:t>
      </w:r>
    </w:p>
    <w:p>
      <w:pPr>
        <w:pStyle w:val="TOC2"/>
        <w:bidi/>
        <w:jc w:val="right"/>
        <w:spacing w:line="580" w:lineRule="exact"/>
      </w:pPr>
      <w:r>
        <w:rPr>
          <w:rFonts w:ascii="B Nazanin" w:hAnsi="B Nazanin" w:cs="B Nazanin"/>
          <w:sz w:val="22"/>
          <w:szCs w:val="22"/>
          <w:rtl/>
        </w:rPr>
        <w:t>۲-۳ پیشینه پژوهشی</w:t>
      </w:r>
    </w:p>
    <w:p>
      <w:pPr>
        <w:pStyle w:val="TOC2"/>
        <w:bidi/>
        <w:jc w:val="right"/>
        <w:spacing w:line="580" w:lineRule="exact"/>
      </w:pPr>
      <w:r>
        <w:rPr>
          <w:rFonts w:ascii="B Nazanin" w:hAnsi="B Nazanin" w:cs="B Nazanin"/>
          <w:sz w:val="22"/>
          <w:szCs w:val="22"/>
          <w:rtl/>
        </w:rPr>
        <w:t>۲-۳-۱ پیشینه داخلی</w:t>
      </w:r>
    </w:p>
    <w:p>
      <w:pPr>
        <w:pStyle w:val="TOC2"/>
        <w:bidi/>
        <w:jc w:val="right"/>
        <w:spacing w:line="580" w:lineRule="exact"/>
      </w:pPr>
      <w:r>
        <w:rPr>
          <w:rFonts w:ascii="B Nazanin" w:hAnsi="B Nazanin" w:cs="B Nazanin"/>
          <w:sz w:val="22"/>
          <w:szCs w:val="22"/>
          <w:rtl/>
        </w:rPr>
        <w:t>۲-۳-۲ پیشینه خارجی</w:t>
      </w:r>
    </w:p>
    <w:p>
      <w:pPr>
        <w:pStyle w:val="TOC2"/>
        <w:bidi/>
        <w:jc w:val="right"/>
        <w:spacing w:line="580" w:lineRule="exact"/>
      </w:pPr>
      <w:r>
        <w:rPr>
          <w:rFonts w:ascii="B Nazanin" w:hAnsi="B Nazanin" w:cs="B Nazanin"/>
          <w:sz w:val="22"/>
          <w:szCs w:val="22"/>
          <w:rtl/>
        </w:rPr>
        <w:t>۲-۳-۳ جمع‌بندی پیشینه و شکاف پژوهشی</w:t>
      </w:r>
    </w:p>
    <w:p>
      <w:pPr>
        <w:pStyle w:val="TOC2"/>
        <w:bidi/>
        <w:jc w:val="right"/>
        <w:spacing w:line="580" w:lineRule="exact"/>
      </w:pPr>
      <w:r>
        <w:rPr>
          <w:rFonts w:ascii="B Nazanin" w:hAnsi="B Nazanin" w:cs="B Nazanin"/>
          <w:sz w:val="22"/>
          <w:szCs w:val="22"/>
          <w:rtl/>
        </w:rPr>
        <w:t>۲-۴ مدل مفهومی و چارچوب نهایی پژوهش</w:t>
      </w:r>
    </w:p>
    <w:p>
      <w:pPr>
        <w:pStyle w:val="TOC1"/>
        <w:bidi/>
        <w:jc w:val="right"/>
        <w:spacing w:line="580" w:lineRule="exact"/>
      </w:pPr>
      <w:r>
        <w:rPr>
          <w:rFonts w:ascii="B Nazanin" w:hAnsi="B Nazanin" w:cs="B Nazanin"/>
          <w:sz w:val="24"/>
          <w:szCs w:val="24"/>
          <w:rtl/>
        </w:rPr>
        <w:t>فصل سوم</w:t>
      </w:r>
    </w:p>
    <w:p>
      <w:pPr>
        <w:pStyle w:val="TOC2"/>
        <w:bidi/>
        <w:jc w:val="right"/>
        <w:spacing w:line="580" w:lineRule="exact"/>
      </w:pPr>
      <w:r>
        <w:rPr>
          <w:rFonts w:ascii="B Nazanin" w:hAnsi="B Nazanin" w:cs="B Nazanin"/>
          <w:sz w:val="22"/>
          <w:szCs w:val="22"/>
          <w:rtl/>
        </w:rPr>
        <w:t>۳-۱. مقدمه</w:t>
      </w:r>
    </w:p>
    <w:p>
      <w:pPr>
        <w:pStyle w:val="TOC2"/>
        <w:bidi/>
        <w:jc w:val="right"/>
        <w:spacing w:line="580" w:lineRule="exact"/>
      </w:pPr>
      <w:r>
        <w:rPr>
          <w:rFonts w:ascii="B Nazanin" w:hAnsi="B Nazanin" w:cs="B Nazanin"/>
          <w:sz w:val="22"/>
          <w:szCs w:val="22"/>
          <w:rtl/>
        </w:rPr>
        <w:t>۳-۲. طرح پژوهش</w:t>
      </w:r>
    </w:p>
    <w:p>
      <w:pPr>
        <w:pStyle w:val="TOC2"/>
        <w:bidi/>
        <w:jc w:val="right"/>
        <w:spacing w:line="580" w:lineRule="exact"/>
      </w:pPr>
      <w:r>
        <w:rPr>
          <w:rFonts w:ascii="B Nazanin" w:hAnsi="B Nazanin" w:cs="B Nazanin"/>
          <w:sz w:val="22"/>
          <w:szCs w:val="22"/>
          <w:rtl/>
        </w:rPr>
        <w:t>۳-۳. جامعه آماری، نمونه و روش نمونه‌گیری</w:t>
      </w:r>
    </w:p>
    <w:p>
      <w:pPr>
        <w:pStyle w:val="TOC2"/>
        <w:bidi/>
        <w:jc w:val="right"/>
        <w:spacing w:line="580" w:lineRule="exact"/>
      </w:pPr>
      <w:r>
        <w:rPr>
          <w:rFonts w:ascii="B Nazanin" w:hAnsi="B Nazanin" w:cs="B Nazanin"/>
          <w:sz w:val="22"/>
          <w:szCs w:val="22"/>
          <w:rtl/>
        </w:rPr>
        <w:t>۳-۳-۱. جامعه آماری</w:t>
      </w:r>
    </w:p>
    <w:p>
      <w:pPr>
        <w:pStyle w:val="TOC2"/>
        <w:bidi/>
        <w:jc w:val="right"/>
        <w:spacing w:line="580" w:lineRule="exact"/>
      </w:pPr>
      <w:r>
        <w:rPr>
          <w:rFonts w:ascii="B Nazanin" w:hAnsi="B Nazanin" w:cs="B Nazanin"/>
          <w:sz w:val="22"/>
          <w:szCs w:val="22"/>
          <w:rtl/>
        </w:rPr>
        <w:t>۳-۳-۲. روش نمونه‌گیری و گردآوری داده‌ها</w:t>
      </w:r>
    </w:p>
    <w:p>
      <w:pPr>
        <w:pStyle w:val="TOC2"/>
        <w:bidi/>
        <w:jc w:val="right"/>
        <w:spacing w:line="580" w:lineRule="exact"/>
      </w:pPr>
      <w:r>
        <w:rPr>
          <w:rFonts w:ascii="B Nazanin" w:hAnsi="B Nazanin" w:cs="B Nazanin"/>
          <w:sz w:val="22"/>
          <w:szCs w:val="22"/>
          <w:rtl/>
        </w:rPr>
        <w:t>۳-۳-۳. حجم نمونه</w:t>
      </w:r>
    </w:p>
    <w:p>
      <w:pPr>
        <w:pStyle w:val="TOC2"/>
        <w:bidi/>
        <w:jc w:val="right"/>
        <w:spacing w:line="580" w:lineRule="exact"/>
      </w:pPr>
      <w:r>
        <w:rPr>
          <w:rFonts w:ascii="B Nazanin" w:hAnsi="B Nazanin" w:cs="B Nazanin"/>
          <w:sz w:val="22"/>
          <w:szCs w:val="22"/>
          <w:rtl/>
        </w:rPr>
        <w:t>۳-۳-۴. ملاک‌های ورود و خروج</w:t>
      </w:r>
    </w:p>
    <w:p>
      <w:pPr>
        <w:pStyle w:val="TOC2"/>
        <w:bidi/>
        <w:jc w:val="right"/>
        <w:spacing w:line="580" w:lineRule="exact"/>
      </w:pPr>
      <w:r>
        <w:rPr>
          <w:rFonts w:ascii="B Nazanin" w:hAnsi="B Nazanin" w:cs="B Nazanin"/>
          <w:sz w:val="22"/>
          <w:szCs w:val="22"/>
          <w:rtl/>
        </w:rPr>
        <w:t>۳-۴. ابزارهای اندازه‌گیری</w:t>
      </w:r>
    </w:p>
    <w:p>
      <w:pPr>
        <w:pStyle w:val="TOC2"/>
        <w:bidi/>
        <w:jc w:val="right"/>
        <w:spacing w:line="580" w:lineRule="exact"/>
      </w:pPr>
      <w:r>
        <w:rPr>
          <w:rFonts w:ascii="B Nazanin" w:hAnsi="B Nazanin" w:cs="B Nazanin"/>
          <w:sz w:val="22"/>
          <w:szCs w:val="22"/>
          <w:rtl/>
        </w:rPr>
        <w:t>۳-۴-۱. پرسشنامه اضطراب حالت-صفت اسپیلبرگر — فرم صفتی</w:t>
      </w:r>
    </w:p>
    <w:p>
      <w:pPr>
        <w:pStyle w:val="TOC2"/>
        <w:bidi/>
        <w:jc w:val="right"/>
        <w:spacing w:line="580" w:lineRule="exact"/>
      </w:pPr>
      <w:r>
        <w:rPr>
          <w:rFonts w:ascii="B Nazanin" w:hAnsi="B Nazanin" w:cs="B Nazanin"/>
          <w:sz w:val="22"/>
          <w:szCs w:val="22"/>
          <w:rtl/>
        </w:rPr>
        <w:t>۳-۴-۲. پرسشنامه طرحواره‌های ناسازگار اولیه یانگ — فرم کوتاه</w:t>
      </w:r>
    </w:p>
    <w:p>
      <w:pPr>
        <w:pStyle w:val="TOC2"/>
        <w:bidi/>
        <w:jc w:val="right"/>
        <w:spacing w:line="580" w:lineRule="exact"/>
      </w:pPr>
      <w:r>
        <w:rPr>
          <w:rFonts w:ascii="B Nazanin" w:hAnsi="B Nazanin" w:cs="B Nazanin"/>
          <w:sz w:val="22"/>
          <w:szCs w:val="22"/>
          <w:rtl/>
        </w:rPr>
        <w:t>۳-۴-۳. مقیاس تحمل ریسک مالی گرابل و لایتون</w:t>
      </w:r>
    </w:p>
    <w:p>
      <w:pPr>
        <w:pStyle w:val="TOC2"/>
        <w:bidi/>
        <w:jc w:val="right"/>
        <w:spacing w:line="580" w:lineRule="exact"/>
      </w:pPr>
      <w:r>
        <w:rPr>
          <w:rFonts w:ascii="B Nazanin" w:hAnsi="B Nazanin" w:cs="B Nazanin"/>
          <w:sz w:val="22"/>
          <w:szCs w:val="22"/>
          <w:rtl/>
        </w:rPr>
        <w:t>۳-۵. روش اجرای پژوهش</w:t>
      </w:r>
    </w:p>
    <w:p>
      <w:pPr>
        <w:pStyle w:val="TOC2"/>
        <w:bidi/>
        <w:jc w:val="right"/>
        <w:spacing w:line="580" w:lineRule="exact"/>
      </w:pPr>
      <w:r>
        <w:rPr>
          <w:rFonts w:ascii="B Nazanin" w:hAnsi="B Nazanin" w:cs="B Nazanin"/>
          <w:sz w:val="22"/>
          <w:szCs w:val="22"/>
          <w:rtl/>
        </w:rPr>
        <w:t>۳-۶. روش تحلیل داده‌ها</w:t>
      </w:r>
    </w:p>
    <w:p>
      <w:pPr>
        <w:pStyle w:val="TOC2"/>
        <w:bidi/>
        <w:jc w:val="right"/>
        <w:spacing w:line="580" w:lineRule="exact"/>
      </w:pPr>
      <w:r>
        <w:rPr>
          <w:rFonts w:ascii="B Nazanin" w:hAnsi="B Nazanin" w:cs="B Nazanin"/>
          <w:sz w:val="22"/>
          <w:szCs w:val="22"/>
          <w:rtl/>
        </w:rPr>
        <w:t>۳-۷. ملاحظات اخلاقی</w:t>
      </w:r>
    </w:p>
    <w:p>
      <w:pPr>
        <w:pStyle w:val="TOC1"/>
        <w:bidi/>
        <w:jc w:val="right"/>
        <w:spacing w:line="580" w:lineRule="exact"/>
      </w:pPr>
      <w:r>
        <w:rPr>
          <w:rFonts w:ascii="B Nazanin" w:hAnsi="B Nazanin" w:cs="B Nazanin"/>
          <w:sz w:val="24"/>
          <w:szCs w:val="24"/>
          <w:rtl/>
        </w:rPr>
        <w:t>فصل چهارم: یافته‌های پژوهش</w:t>
      </w:r>
    </w:p>
    <w:p>
      <w:pPr>
        <w:pStyle w:val="TOC2"/>
        <w:bidi/>
        <w:jc w:val="right"/>
        <w:spacing w:line="580" w:lineRule="exact"/>
      </w:pPr>
      <w:r>
        <w:rPr>
          <w:rFonts w:ascii="B Nazanin" w:hAnsi="B Nazanin" w:cs="B Nazanin"/>
          <w:sz w:val="22"/>
          <w:szCs w:val="22"/>
          <w:rtl/>
        </w:rPr>
        <w:t>۴-۱. مقدمه</w:t>
      </w:r>
    </w:p>
    <w:p>
      <w:pPr>
        <w:pStyle w:val="TOC2"/>
        <w:bidi/>
        <w:jc w:val="right"/>
        <w:spacing w:line="580" w:lineRule="exact"/>
      </w:pPr>
      <w:r>
        <w:rPr>
          <w:rFonts w:ascii="B Nazanin" w:hAnsi="B Nazanin" w:cs="B Nazanin"/>
          <w:sz w:val="22"/>
          <w:szCs w:val="22"/>
          <w:rtl/>
        </w:rPr>
        <w:t>۴-۲. آماده‌سازی و غربالگری داده‌ها</w:t>
      </w:r>
    </w:p>
    <w:p>
      <w:pPr>
        <w:pStyle w:val="TOC2"/>
        <w:bidi/>
        <w:jc w:val="right"/>
        <w:spacing w:line="580" w:lineRule="exact"/>
      </w:pPr>
      <w:r>
        <w:rPr>
          <w:rFonts w:ascii="B Nazanin" w:hAnsi="B Nazanin" w:cs="B Nazanin"/>
          <w:sz w:val="22"/>
          <w:szCs w:val="22"/>
          <w:rtl/>
        </w:rPr>
        <w:t>۴-۳. ویژگی‌های جمعیت‌شناختی و معاملاتی نمونه</w:t>
      </w:r>
    </w:p>
    <w:p>
      <w:pPr>
        <w:pStyle w:val="TOC2"/>
        <w:bidi/>
        <w:jc w:val="right"/>
        <w:spacing w:line="580" w:lineRule="exact"/>
      </w:pPr>
      <w:r>
        <w:rPr>
          <w:rFonts w:ascii="B Nazanin" w:hAnsi="B Nazanin" w:cs="B Nazanin"/>
          <w:sz w:val="22"/>
          <w:szCs w:val="22"/>
          <w:rtl/>
        </w:rPr>
        <w:t>۴-۴. شاخص‌های توصیفی متغیرهای اصلی پژوهش</w:t>
      </w:r>
    </w:p>
    <w:p>
      <w:pPr>
        <w:pStyle w:val="TOC2"/>
        <w:bidi/>
        <w:jc w:val="right"/>
        <w:spacing w:line="580" w:lineRule="exact"/>
      </w:pPr>
      <w:r>
        <w:rPr>
          <w:rFonts w:ascii="B Nazanin" w:hAnsi="B Nazanin" w:cs="B Nazanin"/>
          <w:sz w:val="22"/>
          <w:szCs w:val="22"/>
          <w:rtl/>
        </w:rPr>
        <w:t>۴-۵. پایایی ابزارهای اندازه‌گیری</w:t>
      </w:r>
    </w:p>
    <w:p>
      <w:pPr>
        <w:pStyle w:val="TOC2"/>
        <w:bidi/>
        <w:jc w:val="right"/>
        <w:spacing w:line="580" w:lineRule="exact"/>
      </w:pPr>
      <w:r>
        <w:rPr>
          <w:rFonts w:ascii="B Nazanin" w:hAnsi="B Nazanin" w:cs="B Nazanin"/>
          <w:sz w:val="22"/>
          <w:szCs w:val="22"/>
          <w:rtl/>
        </w:rPr>
        <w:t>۴-۶. ارزیابی پیش‌فرض‌های آماری</w:t>
      </w:r>
    </w:p>
    <w:p>
      <w:pPr>
        <w:pStyle w:val="TOC2"/>
        <w:bidi/>
        <w:jc w:val="right"/>
        <w:spacing w:line="580" w:lineRule="exact"/>
      </w:pPr>
      <w:r>
        <w:rPr>
          <w:rFonts w:ascii="B Nazanin" w:hAnsi="B Nazanin" w:cs="B Nazanin"/>
          <w:sz w:val="22"/>
          <w:szCs w:val="22"/>
          <w:rtl/>
        </w:rPr>
        <w:t>۴-۷. همبستگی پیرسون و آزمون فرضیه‌های فرعی</w:t>
      </w:r>
    </w:p>
    <w:p>
      <w:pPr>
        <w:pStyle w:val="TOC2"/>
        <w:bidi/>
        <w:jc w:val="right"/>
        <w:spacing w:line="580" w:lineRule="exact"/>
      </w:pPr>
      <w:r>
        <w:rPr>
          <w:rFonts w:ascii="B Nazanin" w:hAnsi="B Nazanin" w:cs="B Nazanin"/>
          <w:sz w:val="22"/>
          <w:szCs w:val="22"/>
          <w:rtl/>
        </w:rPr>
        <w:t>۴-۸. آزمون فرضیه اصلی: تحلیل میانجی‌گری</w:t>
      </w:r>
    </w:p>
    <w:p>
      <w:pPr>
        <w:pStyle w:val="TOC2"/>
        <w:bidi/>
        <w:jc w:val="right"/>
        <w:spacing w:line="580" w:lineRule="exact"/>
      </w:pPr>
      <w:r>
        <w:rPr>
          <w:rFonts w:ascii="B Nazanin" w:hAnsi="B Nazanin" w:cs="B Nazanin"/>
          <w:sz w:val="22"/>
          <w:szCs w:val="22"/>
          <w:rtl/>
        </w:rPr>
        <w:t>۴-۹. تحلیل مسیر با متغیرهای مشاهده‌شده</w:t>
      </w:r>
    </w:p>
    <w:p>
      <w:pPr>
        <w:pStyle w:val="TOC2"/>
        <w:bidi/>
        <w:jc w:val="right"/>
        <w:spacing w:line="580" w:lineRule="exact"/>
      </w:pPr>
      <w:r>
        <w:rPr>
          <w:rFonts w:ascii="B Nazanin" w:hAnsi="B Nazanin" w:cs="B Nazanin"/>
          <w:sz w:val="22"/>
          <w:szCs w:val="22"/>
          <w:rtl/>
        </w:rPr>
        <w:t>۴-۱۰. جمع‌بندی یافته‌ها</w:t>
      </w:r>
    </w:p>
    <w:p>
      <w:pPr>
        <w:pStyle w:val="TOC1"/>
        <w:bidi/>
        <w:jc w:val="right"/>
        <w:spacing w:line="580" w:lineRule="exact"/>
      </w:pPr>
      <w:r>
        <w:rPr>
          <w:rFonts w:ascii="B Nazanin" w:hAnsi="B Nazanin" w:cs="B Nazanin"/>
          <w:sz w:val="24"/>
          <w:szCs w:val="24"/>
          <w:rtl/>
        </w:rPr>
        <w:t>فصل پنجم: بحث و نتیجه‌گیری</w:t>
      </w:r>
    </w:p>
    <w:p>
      <w:pPr>
        <w:pStyle w:val="TOC2"/>
        <w:bidi/>
        <w:jc w:val="right"/>
        <w:spacing w:line="580" w:lineRule="exact"/>
      </w:pPr>
      <w:r>
        <w:rPr>
          <w:rFonts w:ascii="B Nazanin" w:hAnsi="B Nazanin" w:cs="B Nazanin"/>
          <w:sz w:val="22"/>
          <w:szCs w:val="22"/>
          <w:rtl/>
        </w:rPr>
        <w:t>۵-۱. مقدمه</w:t>
      </w:r>
    </w:p>
    <w:p>
      <w:pPr>
        <w:pStyle w:val="TOC2"/>
        <w:bidi/>
        <w:jc w:val="right"/>
        <w:spacing w:line="580" w:lineRule="exact"/>
      </w:pPr>
      <w:r>
        <w:rPr>
          <w:rFonts w:ascii="B Nazanin" w:hAnsi="B Nazanin" w:cs="B Nazanin"/>
          <w:sz w:val="22"/>
          <w:szCs w:val="22"/>
          <w:rtl/>
        </w:rPr>
        <w:t>۵-۲. خلاصه یافته‌ها</w:t>
      </w:r>
    </w:p>
    <w:p>
      <w:pPr>
        <w:pStyle w:val="TOC2"/>
        <w:bidi/>
        <w:jc w:val="right"/>
        <w:spacing w:line="580" w:lineRule="exact"/>
      </w:pPr>
      <w:r>
        <w:rPr>
          <w:rFonts w:ascii="B Nazanin" w:hAnsi="B Nazanin" w:cs="B Nazanin"/>
          <w:sz w:val="22"/>
          <w:szCs w:val="22"/>
          <w:rtl/>
        </w:rPr>
        <w:t>۵-۳. بحث درباره یافته‌ها</w:t>
      </w:r>
    </w:p>
    <w:p>
      <w:pPr>
        <w:pStyle w:val="TOC2"/>
        <w:bidi/>
        <w:jc w:val="right"/>
        <w:spacing w:line="580" w:lineRule="exact"/>
      </w:pPr>
      <w:r>
        <w:rPr>
          <w:rFonts w:ascii="B Nazanin" w:hAnsi="B Nazanin" w:cs="B Nazanin"/>
          <w:sz w:val="22"/>
          <w:szCs w:val="22"/>
          <w:rtl/>
        </w:rPr>
        <w:t>۵-۳-۱. فرضیه اصلی: میانجی‌گری جزئی طرحواره‌های ناسازگار اولیه</w:t>
      </w:r>
    </w:p>
    <w:p>
      <w:pPr>
        <w:pStyle w:val="TOC2"/>
        <w:bidi/>
        <w:jc w:val="right"/>
        <w:spacing w:line="580" w:lineRule="exact"/>
      </w:pPr>
      <w:r>
        <w:rPr>
          <w:rFonts w:ascii="B Nazanin" w:hAnsi="B Nazanin" w:cs="B Nazanin"/>
          <w:sz w:val="22"/>
          <w:szCs w:val="22"/>
          <w:rtl/>
        </w:rPr>
        <w:t>۵-۳-۲. فرضیه دوم: رابطه اضطراب صفتی با رفتارهای مالی پرخطر</w:t>
      </w:r>
    </w:p>
    <w:p>
      <w:pPr>
        <w:pStyle w:val="TOC2"/>
        <w:bidi/>
        <w:jc w:val="right"/>
        <w:spacing w:line="580" w:lineRule="exact"/>
      </w:pPr>
      <w:r>
        <w:rPr>
          <w:rFonts w:ascii="B Nazanin" w:hAnsi="B Nazanin" w:cs="B Nazanin"/>
          <w:sz w:val="22"/>
          <w:szCs w:val="22"/>
          <w:rtl/>
        </w:rPr>
        <w:t>۵-۳-۳. فرضیه سوم: رابطه اضطراب صفتی با طرحواره‌های ناسازگار اولیه</w:t>
      </w:r>
    </w:p>
    <w:p>
      <w:pPr>
        <w:pStyle w:val="TOC2"/>
        <w:bidi/>
        <w:jc w:val="right"/>
        <w:spacing w:line="580" w:lineRule="exact"/>
      </w:pPr>
      <w:r>
        <w:rPr>
          <w:rFonts w:ascii="B Nazanin" w:hAnsi="B Nazanin" w:cs="B Nazanin"/>
          <w:sz w:val="22"/>
          <w:szCs w:val="22"/>
          <w:rtl/>
        </w:rPr>
        <w:t>۵-۳-۴. فرضیه چهارم: رابطه طرحواره‌های ناسازگار اولیه با رفتارهای مالی پرخطر</w:t>
      </w:r>
    </w:p>
    <w:p>
      <w:pPr>
        <w:pStyle w:val="TOC2"/>
        <w:bidi/>
        <w:jc w:val="right"/>
        <w:spacing w:line="580" w:lineRule="exact"/>
      </w:pPr>
      <w:r>
        <w:rPr>
          <w:rFonts w:ascii="B Nazanin" w:hAnsi="B Nazanin" w:cs="B Nazanin"/>
          <w:sz w:val="22"/>
          <w:szCs w:val="22"/>
          <w:rtl/>
        </w:rPr>
        <w:t>۵-۳-۵. جمع‌بندی نظری بحث</w:t>
      </w:r>
    </w:p>
    <w:p>
      <w:pPr>
        <w:pStyle w:val="TOC2"/>
        <w:bidi/>
        <w:jc w:val="right"/>
        <w:spacing w:line="580" w:lineRule="exact"/>
      </w:pPr>
      <w:r>
        <w:rPr>
          <w:rFonts w:ascii="B Nazanin" w:hAnsi="B Nazanin" w:cs="B Nazanin"/>
          <w:sz w:val="22"/>
          <w:szCs w:val="22"/>
          <w:rtl/>
        </w:rPr>
        <w:t>۵-۴. همسویی و ناهمسویی یافته‌ها با پیشینه پژوهش</w:t>
      </w:r>
    </w:p>
    <w:p>
      <w:pPr>
        <w:pStyle w:val="TOC2"/>
        <w:bidi/>
        <w:jc w:val="right"/>
        <w:spacing w:line="580" w:lineRule="exact"/>
      </w:pPr>
      <w:r>
        <w:rPr>
          <w:rFonts w:ascii="B Nazanin" w:hAnsi="B Nazanin" w:cs="B Nazanin"/>
          <w:sz w:val="22"/>
          <w:szCs w:val="22"/>
          <w:rtl/>
        </w:rPr>
        <w:t>۵-۵. دلالت‌های کاربردی</w:t>
      </w:r>
    </w:p>
    <w:p>
      <w:pPr>
        <w:pStyle w:val="TOC2"/>
        <w:bidi/>
        <w:jc w:val="right"/>
        <w:spacing w:line="580" w:lineRule="exact"/>
      </w:pPr>
      <w:r>
        <w:rPr>
          <w:rFonts w:ascii="B Nazanin" w:hAnsi="B Nazanin" w:cs="B Nazanin"/>
          <w:sz w:val="22"/>
          <w:szCs w:val="22"/>
          <w:rtl/>
        </w:rPr>
        <w:t>۵-۶. محدودیت‌های پژوهش</w:t>
      </w:r>
    </w:p>
    <w:p>
      <w:pPr>
        <w:pStyle w:val="TOC2"/>
        <w:bidi/>
        <w:jc w:val="right"/>
        <w:spacing w:line="580" w:lineRule="exact"/>
      </w:pPr>
      <w:r>
        <w:rPr>
          <w:rFonts w:ascii="B Nazanin" w:hAnsi="B Nazanin" w:cs="B Nazanin"/>
          <w:sz w:val="22"/>
          <w:szCs w:val="22"/>
          <w:rtl/>
        </w:rPr>
        <w:t>۵-۷. پیشنهادها برای پژوهش‌های آینده</w:t>
      </w:r>
    </w:p>
    <w:p>
      <w:pPr>
        <w:pStyle w:val="TOC2"/>
        <w:bidi/>
        <w:jc w:val="right"/>
        <w:spacing w:line="580" w:lineRule="exact"/>
      </w:pPr>
      <w:r>
        <w:rPr>
          <w:rFonts w:ascii="B Nazanin" w:hAnsi="B Nazanin" w:cs="B Nazanin"/>
          <w:sz w:val="22"/>
          <w:szCs w:val="22"/>
          <w:rtl/>
        </w:rPr>
        <w:t>۵-۸. جمع‌بندی نهایی</w:t>
      </w:r>
    </w:p>
    <w:p>
      <w:pPr>
        <w:pStyle w:val="TOC1"/>
        <w:bidi/>
        <w:jc w:val="right"/>
        <w:spacing w:line="580" w:lineRule="exact"/>
      </w:pPr>
      <w:r>
        <w:rPr>
          <w:rFonts w:ascii="B Nazanin" w:hAnsi="B Nazanin" w:cs="B Nazanin"/>
          <w:sz w:val="24"/>
          <w:szCs w:val="24"/>
          <w:rtl/>
        </w:rPr>
        <w:t>منابع</w:t>
      </w:r>
    </w:p>
    <w:p>
      <w:pPr>
        <w:bidi/>
      </w:pPr>
      <w:r>
        <w:fldChar w:fldCharType="end"/>
      </w:r>
    </w:p>
    <w:p>
      <w:r>
        <w:br w:type="page"/>
      </w:r>
    </w:p>
    <w:p>
      <w:pPr>
        <w:bidi/>
        <w:jc w:val="center"/>
        <w:spacing w:line="580" w:lineRule="exact"/>
      </w:pPr>
      <w:r>
        <w:rPr>
          <w:rFonts w:ascii="B Nazanin" w:hAnsi="B Nazanin" w:cs="B Nazanin"/>
          <w:b/>
          <w:bCs/>
          <w:sz w:val="28"/>
          <w:szCs w:val="28"/>
        </w:rPr>
        <w:t>فهرست جداول</w:t>
      </w:r>
    </w:p>
    <w:p>
      <w:pPr>
        <w:bidi/>
      </w:pPr>
      <w:r>
        <w:rPr>
          <w:rFonts w:ascii="B Nazanin" w:hAnsi="B Nazanin"/>
        </w:rPr>
        <w:fldChar w:fldCharType="begin"/>
      </w:r>
      <w:r>
        <w:rPr>
          <w:rFonts w:ascii="B Nazanin" w:hAnsi="B Nazanin"/>
        </w:rPr>
        <w:instrText>TOC \f T \h \z</w:instrText>
      </w:r>
      <w:r>
        <w:rPr>
          <w:rFonts w:ascii="B Nazanin" w:hAnsi="B Nazanin"/>
        </w:rPr>
        <w:fldChar w:fldCharType="separate"/>
      </w:r>
    </w:p>
    <w:p>
      <w:pPr>
        <w:pStyle w:val="tableoffigures"/>
        <w:bidi/>
        <w:jc w:val="right"/>
        <w:spacing w:line="580" w:lineRule="exact"/>
      </w:pPr>
      <w:r>
        <w:rPr>
          <w:rFonts w:ascii="B Nazanin" w:hAnsi="B Nazanin" w:cs="B Nazanin"/>
          <w:sz w:val="24"/>
          <w:szCs w:val="24"/>
          <w:rtl/>
        </w:rPr>
        <w:t>جدول ۲-۱. حوزه‌ها و طرحواره‌های ناسازگار اولیه در مدل یانگ</w:t>
      </w:r>
    </w:p>
    <w:p>
      <w:pPr>
        <w:pStyle w:val="tableoffigures"/>
        <w:bidi/>
        <w:jc w:val="right"/>
        <w:spacing w:line="580" w:lineRule="exact"/>
      </w:pPr>
      <w:r>
        <w:rPr>
          <w:rFonts w:ascii="B Nazanin" w:hAnsi="B Nazanin" w:cs="B Nazanin"/>
          <w:sz w:val="24"/>
          <w:szCs w:val="24"/>
          <w:rtl/>
        </w:rPr>
        <w:t>جدول ۳-۱. خلاصه ابزارهای پژوهش</w:t>
      </w:r>
    </w:p>
    <w:p>
      <w:pPr>
        <w:pStyle w:val="tableoffigures"/>
        <w:bidi/>
        <w:jc w:val="right"/>
        <w:spacing w:line="580" w:lineRule="exact"/>
      </w:pPr>
      <w:r>
        <w:rPr>
          <w:rFonts w:ascii="B Nazanin" w:hAnsi="B Nazanin" w:cs="B Nazanin"/>
          <w:sz w:val="24"/>
          <w:szCs w:val="24"/>
          <w:rtl/>
        </w:rPr>
        <w:t>جدول ۴-۱. روند غربالگری و ریزش پاسخ‌ها</w:t>
      </w:r>
    </w:p>
    <w:p>
      <w:pPr>
        <w:pStyle w:val="tableoffigures"/>
        <w:bidi/>
        <w:jc w:val="right"/>
        <w:spacing w:line="580" w:lineRule="exact"/>
      </w:pPr>
      <w:r>
        <w:rPr>
          <w:rFonts w:ascii="B Nazanin" w:hAnsi="B Nazanin" w:cs="B Nazanin"/>
          <w:sz w:val="24"/>
          <w:szCs w:val="24"/>
          <w:rtl/>
        </w:rPr>
        <w:t>جدول ۴-۲. توزیع ویژگی‌های جمعیت‌شناختی نمونه نهایی</w:t>
      </w:r>
    </w:p>
    <w:p>
      <w:pPr>
        <w:pStyle w:val="tableoffigures"/>
        <w:bidi/>
        <w:jc w:val="right"/>
        <w:spacing w:line="580" w:lineRule="exact"/>
      </w:pPr>
      <w:r>
        <w:rPr>
          <w:rFonts w:ascii="B Nazanin" w:hAnsi="B Nazanin" w:cs="B Nazanin"/>
          <w:sz w:val="24"/>
          <w:szCs w:val="24"/>
          <w:rtl/>
        </w:rPr>
        <w:t>جدول ۴-۳. توزیع ویژگی‌های معاملاتی نمونه نهایی</w:t>
      </w:r>
    </w:p>
    <w:p>
      <w:pPr>
        <w:pStyle w:val="tableoffigures"/>
        <w:bidi/>
        <w:jc w:val="right"/>
        <w:spacing w:line="580" w:lineRule="exact"/>
      </w:pPr>
      <w:r>
        <w:rPr>
          <w:rFonts w:ascii="B Nazanin" w:hAnsi="B Nazanin" w:cs="B Nazanin"/>
          <w:sz w:val="24"/>
          <w:szCs w:val="24"/>
          <w:rtl/>
        </w:rPr>
        <w:t>جدول ۴-۴. شاخص‌های توصیفی نمره‌های کل</w:t>
      </w:r>
    </w:p>
    <w:p>
      <w:pPr>
        <w:pStyle w:val="tableoffigures"/>
        <w:bidi/>
        <w:jc w:val="right"/>
        <w:spacing w:line="580" w:lineRule="exact"/>
      </w:pPr>
      <w:r>
        <w:rPr>
          <w:rFonts w:ascii="B Nazanin" w:hAnsi="B Nazanin" w:cs="B Nazanin"/>
          <w:sz w:val="24"/>
          <w:szCs w:val="24"/>
          <w:rtl/>
        </w:rPr>
        <w:t>جدول ۴-۵. پایایی ابزارها و خرده‌مقیاس‌ها (آلفای کرونباخ)</w:t>
      </w:r>
    </w:p>
    <w:p>
      <w:pPr>
        <w:pStyle w:val="tableoffigures"/>
        <w:bidi/>
        <w:jc w:val="right"/>
        <w:spacing w:line="580" w:lineRule="exact"/>
      </w:pPr>
      <w:r>
        <w:rPr>
          <w:rFonts w:ascii="B Nazanin" w:hAnsi="B Nazanin" w:cs="B Nazanin"/>
          <w:sz w:val="24"/>
          <w:szCs w:val="24"/>
          <w:rtl/>
        </w:rPr>
        <w:t>جدول ۴-۶. ماتریس همبستگی پیرسون متغیرهای پژوهش</w:t>
      </w:r>
    </w:p>
    <w:p>
      <w:pPr>
        <w:pStyle w:val="tableoffigures"/>
        <w:bidi/>
        <w:jc w:val="right"/>
        <w:spacing w:line="580" w:lineRule="exact"/>
      </w:pPr>
      <w:r>
        <w:rPr>
          <w:rFonts w:ascii="B Nazanin" w:hAnsi="B Nazanin" w:cs="B Nazanin"/>
          <w:sz w:val="24"/>
          <w:szCs w:val="24"/>
          <w:rtl/>
        </w:rPr>
        <w:t>جدول ۴-۷. نتایج تحلیل میانجی‌گری (الگوی شماره ۴، خودگردان‌سازی ۵۰۰۰ نمونه‌ای)</w:t>
      </w:r>
    </w:p>
    <w:p>
      <w:pPr>
        <w:pStyle w:val="tableoffigures"/>
        <w:bidi/>
        <w:jc w:val="right"/>
        <w:spacing w:line="580" w:lineRule="exact"/>
      </w:pPr>
      <w:r>
        <w:rPr>
          <w:rFonts w:ascii="B Nazanin" w:hAnsi="B Nazanin" w:cs="B Nazanin"/>
          <w:sz w:val="24"/>
          <w:szCs w:val="24"/>
          <w:rtl/>
        </w:rPr>
        <w:t>جدول ۴-۸. شاخص‌های مدل مقید میانجی‌گری کامل (مکمل، df=۱)</w:t>
      </w:r>
    </w:p>
    <w:p>
      <w:pPr>
        <w:pStyle w:val="tableoffigures"/>
        <w:bidi/>
        <w:jc w:val="right"/>
        <w:spacing w:line="580" w:lineRule="exact"/>
      </w:pPr>
      <w:r>
        <w:rPr>
          <w:rFonts w:ascii="B Nazanin" w:hAnsi="B Nazanin" w:cs="B Nazanin"/>
          <w:sz w:val="24"/>
          <w:szCs w:val="24"/>
          <w:rtl/>
        </w:rPr>
        <w:t>جدول ۴-۹. خلاصه نتایج آزمون فرضیه‌ها</w:t>
      </w:r>
    </w:p>
    <w:p>
      <w:pPr>
        <w:bidi/>
      </w:pPr>
      <w:r>
        <w:fldChar w:fldCharType="end"/>
      </w:r>
    </w:p>
    <w:p>
      <w:r>
        <w:br w:type="page"/>
      </w:r>
    </w:p>
    <w:p>
      <w:pPr>
        <w:bidi/>
        <w:jc w:val="center"/>
        <w:spacing w:line="580" w:lineRule="exact"/>
      </w:pPr>
      <w:r>
        <w:rPr>
          <w:rFonts w:ascii="B Nazanin" w:hAnsi="B Nazanin" w:cs="B Nazanin"/>
          <w:b/>
          <w:bCs/>
          <w:sz w:val="28"/>
          <w:szCs w:val="28"/>
        </w:rPr>
        <w:t>فهرست شکل‌ها</w:t>
      </w:r>
    </w:p>
    <w:p>
      <w:pPr>
        <w:bidi/>
      </w:pPr>
      <w:r>
        <w:rPr>
          <w:rFonts w:ascii="B Nazanin" w:hAnsi="B Nazanin"/>
        </w:rPr>
        <w:fldChar w:fldCharType="begin"/>
      </w:r>
      <w:r>
        <w:rPr>
          <w:rFonts w:ascii="B Nazanin" w:hAnsi="B Nazanin"/>
        </w:rPr>
        <w:instrText>TOC \f F \h \z</w:instrText>
      </w:r>
      <w:r>
        <w:rPr>
          <w:rFonts w:ascii="B Nazanin" w:hAnsi="B Nazanin"/>
        </w:rPr>
        <w:fldChar w:fldCharType="separate"/>
      </w:r>
    </w:p>
    <w:p>
      <w:pPr>
        <w:pStyle w:val="tableoffigures"/>
        <w:bidi/>
        <w:jc w:val="right"/>
        <w:spacing w:line="580" w:lineRule="exact"/>
      </w:pPr>
      <w:r>
        <w:rPr>
          <w:rFonts w:ascii="B Nazanin" w:hAnsi="B Nazanin" w:cs="B Nazanin"/>
          <w:sz w:val="24"/>
          <w:szCs w:val="24"/>
          <w:rtl/>
        </w:rPr>
        <w:t>شکل ۲-۱. مدل مفهومی پژوهش</w:t>
      </w:r>
    </w:p>
    <w:p>
      <w:pPr>
        <w:pStyle w:val="tableoffigures"/>
        <w:bidi/>
        <w:jc w:val="right"/>
        <w:spacing w:line="580" w:lineRule="exact"/>
      </w:pPr>
      <w:r>
        <w:rPr>
          <w:rFonts w:ascii="B Nazanin" w:hAnsi="B Nazanin" w:cs="B Nazanin"/>
          <w:sz w:val="24"/>
          <w:szCs w:val="24"/>
          <w:rtl/>
        </w:rPr>
        <w:t>شکل ۴-۱. نمودار مسیر الگوی میانجی‌گری با ضرایب برآوردشده در نمونه نهایی</w:t>
      </w:r>
    </w:p>
    <w:p>
      <w:pPr>
        <w:bidi/>
      </w:pPr>
      <w:r>
        <w:fldChar w:fldCharType="end"/>
      </w:r>
    </w:p>
    <w:p>
      <w:pPr>
        <w:sectPr>
          <w:footerReference w:type="default" r:id="rId9"/>
        </w:sectPr>
      </w:pPr>
    </w:p>
    <w:p>
      <w:pPr>
        <w:bidi w:val="1"/>
        <w:spacing w:lineRule="exact" w:line="580" w:before="480" w:after="180"/>
        <w:jc w:val="center"/>
        <w:outlineLvl w:val="0"/>
        <w:outlineLvl w:val="0"/>
      </w:pPr>
      <w:r>
        <w:rPr>
          <w:rFonts w:ascii="B Nazanin" w:hAnsi="B Nazanin" w:cs="B Nazanin" w:hint="cs"/>
          <w:b/>
          <w:bCs/>
          <w:sz w:val="56"/>
          <w:szCs w:val="56"/>
          <w:rtl/>
          <w:lang w:bidi="fa-IR"/>
        </w:rPr>
        <w:t xml:space="preserve">فصل اول</w:t>
      </w:r>
    </w:p>
    <w:p>
      <w:pPr>
        <w:bidi w:val="1"/>
        <w:spacing w:lineRule="exact" w:line="580" w:before="120" w:after="480"/>
        <w:jc w:val="center"/>
      </w:pPr>
      <w:r>
        <w:rPr>
          <w:rFonts w:ascii="B Nazanin" w:hAnsi="B Nazanin" w:cs="B Nazanin" w:hint="cs"/>
          <w:b/>
          <w:bCs/>
          <w:sz w:val="52"/>
          <w:szCs w:val="52"/>
          <w:rtl/>
          <w:lang w:bidi="fa-IR"/>
        </w:rPr>
        <w:t xml:space="preserve">کلیات پژوهش</w:t>
      </w:r>
    </w:p>
    <w:p>
      <w:pPr>
        <w:pStyle w:val="Heading2"/>
        <w:bidi w:val="1"/>
        <w:jc w:val="right"/>
        <w:outlineLvl w:val="1"/>
      </w:pPr>
      <w:r>
        <w:rPr>
          <w:rFonts w:ascii="B Nazanin" w:hAnsi="B Nazanin" w:cs="B Nazanin" w:hint="cs"/>
          <w:b/>
          <w:bCs/>
          <w:sz w:val="28"/>
          <w:szCs w:val="28"/>
          <w:rtl/>
          <w:lang w:bidi="fa-IR"/>
        </w:rPr>
        <w:t xml:space="preserve">۱-۱. مقدمه</w:t>
      </w:r>
    </w:p>
    <w:p>
      <w:pPr>
        <w:bidi w:val="1"/>
        <w:spacing w:lineRule="exact" w:line="580" w:after="0"/>
        <w:jc w:val="both"/>
      </w:pPr>
      <w:r>
        <w:rPr>
          <w:rFonts w:ascii="B Nazanin" w:hAnsi="B Nazanin" w:cs="B Nazanin" w:hint="cs"/>
          <w:sz w:val="24"/>
          <w:szCs w:val="24"/>
          <w:rtl/>
          <w:lang w:bidi="fa-IR"/>
        </w:rPr>
        <w:t xml:space="preserve">رفتارهای مالی پرخطر</w:t>
      </w:r>
      <w:r>
        <w:rPr>
          <w:rFonts w:ascii="B Nazanin" w:hAnsi="B Nazanin" w:cs="B Nazanin" w:hint="cs"/>
          <w:vertAlign w:val="superscript"/>
          <w:rtl/>
        </w:rPr>
        <w:footnoteReference w:id="1"/>
      </w:r>
      <w:r>
        <w:rPr>
          <w:rFonts w:ascii="B Nazanin" w:hAnsi="B Nazanin" w:cs="B Nazanin" w:hint="cs"/>
          <w:sz w:val="24"/>
          <w:szCs w:val="24"/>
          <w:rtl/>
          <w:lang w:bidi="fa-IR"/>
        </w:rPr>
        <w:t xml:space="preserve"> در بازارهای مالی نوین، پیامد صرفِ ندانستن یا بی‌دقتی نیستند. ریشه آن‌ها در تعاملی پیچیده نهفته است که میان ویژگی‌های شخصیتی پایدار، الگوهای شناختی عمیق و فشارهای لحظه‌ای محیط معاملاتی شکل می‌گیرد. پژوهش حاضر با عنوان «تعیین نقش میانجی‌گر طرحواره‌های ناسازگار اولیه در رابطه بین اضطراب صفتی و رفتارهای مالی پرخطر در معامله‌گران بازارهای مالی» انجام می‌شود. پژوهش حاضر بررسی می‌کند که اضطراب صفتی، به‌عنوان ویژگی شخصیتی پایدار، چگونه با رفتارهای مالی پرخطر ارتباط دارد و آیا طرحواره‌های ناسازگار اولیه در این رابطه نقش میانجی دارند.</w:t>
      </w:r>
    </w:p>
    <w:p>
      <w:pPr>
        <w:bidi w:val="1"/>
        <w:spacing w:lineRule="exact" w:line="580" w:after="0"/>
        <w:jc w:val="both"/>
      </w:pPr>
      <w:r>
        <w:rPr>
          <w:rFonts w:ascii="B Nazanin" w:hAnsi="B Nazanin" w:cs="B Nazanin" w:hint="cs"/>
          <w:sz w:val="24"/>
          <w:szCs w:val="24"/>
          <w:rtl/>
          <w:lang w:bidi="fa-IR"/>
        </w:rPr>
        <w:t xml:space="preserve">در دهه‌های اخیر، با گسترش پلتفرم‌های معاملاتی الکترونیک و کاهش هزینه‌های مبادله، ساختار بازارهای مالی دستخوش تحولی بنیادین شده و میلیون‌ها سرمایه‌گذار خرد بدون آموزش تخصصی و آمادگی روان‌شناختی وارد این بازارها شده‌اند (سازمان همکاری و توسعه اقتصادی</w:t>
      </w:r>
      <w:r>
        <w:rPr>
          <w:rFonts w:ascii="B Nazanin" w:hAnsi="B Nazanin" w:cs="B Nazanin" w:hint="cs"/>
          <w:vertAlign w:val="superscript"/>
          <w:rtl/>
        </w:rPr>
        <w:footnoteReference w:id="44"/>
      </w:r>
      <w:r>
        <w:rPr>
          <w:rFonts w:ascii="B Nazanin" w:hAnsi="B Nazanin" w:cs="B Nazanin" w:hint="cs"/>
          <w:sz w:val="24"/>
          <w:szCs w:val="24"/>
          <w:rtl/>
          <w:lang w:bidi="fa-IR"/>
        </w:rPr>
        <w:t xml:space="preserve">، ۲۰۲۱). این گروه جدید، برخلاف سرمایه‌گذاران نهادی، برای تصمیم‌گیری‌های خود از تیم‌های تحلیلی متخصص یا نظام‌های مدیریت ریسک سازمان‌یافته بهره‌مند نیستند و در شرایط نوسان، باید به تنهایی با فشار هیجانی سنگین ناشی از سود و زیان‌های لحظه‌ای کنار بیایند. شواهد اخیر نیز گواه همین نکته‌اند که اضطراب در این سرمایه‌گذاران، با کیفیت تصمیم‌گیری مالی مرتبط گزارش شده است و می‌تواند با اجتناب از تصمیم‌گیری، محافظه‌کاری افراطی یا واکنش‌های هیجانی و تکانشی همراه باشد (ماهاتو و همکاران</w:t>
      </w:r>
      <w:r>
        <w:rPr>
          <w:rFonts w:ascii="B Nazanin" w:hAnsi="B Nazanin" w:cs="B Nazanin" w:hint="cs"/>
          <w:vertAlign w:val="superscript"/>
          <w:rtl/>
        </w:rPr>
        <w:footnoteReference w:id="45"/>
      </w:r>
      <w:r>
        <w:rPr>
          <w:rFonts w:ascii="B Nazanin" w:hAnsi="B Nazanin" w:cs="B Nazanin" w:hint="cs"/>
          <w:sz w:val="24"/>
          <w:szCs w:val="24"/>
          <w:rtl/>
          <w:lang w:bidi="fa-IR"/>
        </w:rPr>
        <w:t xml:space="preserve">، ۲۰۲۵). از این رو، مطالعه علمی عوامل روان‌شناختی زمینه‌ساز رفتارهای مالی، دیگر صرفاً یک علاقه آکادمیک نیست، بلکه به ضرورتی اجتماعی بدل شده است.</w:t>
      </w:r>
    </w:p>
    <w:p>
      <w:pPr>
        <w:bidi w:val="1"/>
        <w:spacing w:lineRule="exact" w:line="580" w:after="0"/>
        <w:jc w:val="both"/>
      </w:pPr>
      <w:r>
        <w:rPr>
          <w:rFonts w:ascii="B Nazanin" w:hAnsi="B Nazanin" w:cs="B Nazanin" w:hint="cs"/>
          <w:sz w:val="24"/>
          <w:szCs w:val="24"/>
          <w:rtl/>
          <w:lang w:bidi="fa-IR"/>
        </w:rPr>
        <w:t xml:space="preserve">در این چارچوب، اضطراب صفتی متغیر مستقل، رفتارهای مالی پرخطر متغیر وابسته و طرحواره‌های ناسازگار اولیه متغیر میانجی پژوهش هستند و جامعه هدف را معامله‌گران حقیقی بازارهای مالی تشکیل می‌دهند. اهمیت این پژوهش آن است که به‌جای توقف در سطح همبستگی‌های دوجانبه، سازوکار شناختی تبدیل تنش هیجانی به رفتار مالی پرخطر را در یک مدل میانجی‌گری یکپارچه هدف می‌گیرد. مبانی نظری، پیشینه تجربی و روش آزمون این مدل در فصل‌های بعدی به تفصیل ارائه خواهد شد.</w:t>
      </w:r>
    </w:p>
    <w:p>
      <w:pPr>
        <w:bidi w:val="1"/>
        <w:spacing w:lineRule="exact" w:line="580" w:after="0"/>
        <w:jc w:val="both"/>
      </w:pPr>
      <w:r>
        <w:rPr>
          <w:rFonts w:ascii="B Nazanin" w:hAnsi="B Nazanin" w:cs="B Nazanin" w:hint="cs"/>
          <w:sz w:val="24"/>
          <w:szCs w:val="24"/>
          <w:rtl/>
          <w:lang w:bidi="fa-IR"/>
        </w:rPr>
        <w:t xml:space="preserve">پیامدهای روان‌شناختی رفتارهای مالی آسیب‌زا نیز تنها به زیان اقتصادی محدود نمی‌ماند؛ شواهد نوین حاکی از آن است که معامله‌گری افراطی، در بسیاری از موارد، نه یک فعالیت اقتصادی متکی بر تحلیل، بلکه راهکاری ناسازگار برای تنظیم هیجانات منفی محسوب می‌شود و می‌تواند در درازمدت با اعتیادهای رفتاری مخرب همراه باشد (گرال-برونک و همکاران</w:t>
      </w:r>
      <w:r>
        <w:rPr>
          <w:rFonts w:ascii="B Nazanin" w:hAnsi="B Nazanin" w:cs="B Nazanin" w:hint="cs"/>
          <w:vertAlign w:val="superscript"/>
          <w:rtl/>
        </w:rPr>
        <w:footnoteReference w:id="46"/>
      </w:r>
      <w:r>
        <w:rPr>
          <w:rFonts w:ascii="B Nazanin" w:hAnsi="B Nazanin" w:cs="B Nazanin" w:hint="cs"/>
          <w:sz w:val="24"/>
          <w:szCs w:val="24"/>
          <w:rtl/>
          <w:lang w:bidi="fa-IR"/>
        </w:rPr>
        <w:t xml:space="preserve">، ۲۰۲۵). از این منظر، شناسایی ویژگی‌های شخصیتی پایدار و ساختارهای شناختی عمیقی که زمینه‌ساز شکل‌گیری چنین رفتارهایی هستند اهمیت بالینی مستقیمی دارد؛ شناسایی‌ای که به روان‌شناسان بالینی و متخصصان سلامت روان امکان می‌دهد پیش از وقوع بحران‌های سنگین مالی و پیامدهای روانی پس از آن، مداخلات پیشگیرانه و درمانی هدفمندی را طراحی کنند. پژوهش حاضر دقیقاً با همین نگاه تدوین شده است: تبیین زنجیره‌ای که از یک ویژگی شخصیتی پایدار آغاز شده و از مجرای فرآیندهای شناختی عمیق، به رفتار مالی عینی منتهی می‌شود.</w:t>
      </w:r>
    </w:p>
    <w:p>
      <w:pPr>
        <w:pStyle w:val="Heading2"/>
        <w:bidi w:val="1"/>
        <w:jc w:val="right"/>
        <w:outlineLvl w:val="1"/>
      </w:pPr>
      <w:r>
        <w:rPr>
          <w:rFonts w:ascii="B Nazanin" w:hAnsi="B Nazanin" w:cs="B Nazanin" w:hint="cs"/>
          <w:b/>
          <w:bCs/>
          <w:sz w:val="28"/>
          <w:szCs w:val="28"/>
          <w:rtl/>
          <w:lang w:bidi="fa-IR"/>
        </w:rPr>
        <w:t xml:space="preserve">۱-۲. بیان مسأله</w:t>
      </w:r>
    </w:p>
    <w:p>
      <w:pPr>
        <w:pStyle w:val="Heading3"/>
        <w:bidi w:val="1"/>
        <w:jc w:val="right"/>
      </w:pPr>
      <w:r>
        <w:rPr>
          <w:rFonts w:ascii="B Nazanin" w:hAnsi="B Nazanin" w:cs="B Nazanin" w:hint="cs"/>
          <w:b/>
          <w:bCs/>
          <w:sz w:val="26"/>
          <w:szCs w:val="26"/>
          <w:rtl/>
          <w:lang w:bidi="fa-IR"/>
        </w:rPr>
        <w:t xml:space="preserve">بازارهای مالی و محیط پرتنش تصمیم‌گیری</w:t>
      </w:r>
    </w:p>
    <w:p>
      <w:pPr>
        <w:bidi w:val="1"/>
        <w:spacing w:lineRule="exact" w:line="580" w:after="0"/>
        <w:jc w:val="both"/>
      </w:pPr>
      <w:r>
        <w:rPr>
          <w:rFonts w:ascii="B Nazanin" w:hAnsi="B Nazanin" w:cs="B Nazanin" w:hint="cs"/>
          <w:sz w:val="24"/>
          <w:szCs w:val="24"/>
          <w:rtl/>
          <w:lang w:bidi="fa-IR"/>
        </w:rPr>
        <w:t xml:space="preserve">بازارهای مالی در جهان پیچیده و درهم‌تنیده امروز، فراتر از یک مکانیسم ساده برای دادوستد، به‌عنوان شریان‌های حیاتی و زیرساخت‌های بنیادین نظام اقتصادی بین‌المللی شناخته می‌شوند. در یک تعریف جامع و آکادمیک، این بازارها بسترهایی سازمان‌یافته و پویا هستند که در آن‌ها طیف وسیعی از دارایی‌های مالی، از ابزارهای سنتی نظیر سهام و اوراق قرضه گرفته تا ابزارهای نوین و پیچیده‌ای مانند مشتقات، ارزهای خارجی و دارایی‌های دیجیتال، مبادله می‌گردند. کارکرد وجودی و رسالت اصلی این ساختارها، ایجاد پل ارتباطی کارآمد برای تخصیص بهینه منابع کمیاب اقتصادی است؛ بدین معنا که وجوه نقد را از واحدهای اقتصادی دارای مازاد پس‌انداز (غالبًا خانوارها و صندوق‌های سرمایه‌گذاری) به سوی واحدهای نیازمند نقدینگی (نظیر بنگاه‌های تولیدی، شرکت‌های نوپا و دولت‌ها) هدایت می‌کنند تا چرخ‌های توسعه و تولید به حرکت درآید (میشکین</w:t>
      </w:r>
      <w:r>
        <w:rPr>
          <w:rFonts w:ascii="B Nazanin" w:hAnsi="B Nazanin" w:cs="B Nazanin" w:hint="cs"/>
          <w:vertAlign w:val="superscript"/>
          <w:rtl/>
        </w:rPr>
        <w:footnoteReference w:id="47"/>
      </w:r>
      <w:r>
        <w:rPr>
          <w:rFonts w:ascii="B Nazanin" w:hAnsi="B Nazanin" w:cs="B Nazanin" w:hint="cs"/>
          <w:sz w:val="24"/>
          <w:szCs w:val="24"/>
          <w:rtl/>
          <w:lang w:bidi="fa-IR"/>
        </w:rPr>
        <w:t xml:space="preserve">، ۲۰۱۹).</w:t>
      </w:r>
    </w:p>
    <w:p>
      <w:pPr>
        <w:bidi w:val="1"/>
        <w:spacing w:lineRule="exact" w:line="580" w:after="0"/>
        <w:jc w:val="both"/>
      </w:pPr>
      <w:r>
        <w:rPr>
          <w:rFonts w:ascii="B Nazanin" w:hAnsi="B Nazanin" w:cs="B Nazanin" w:hint="cs"/>
          <w:sz w:val="24"/>
          <w:szCs w:val="24"/>
          <w:rtl/>
          <w:lang w:bidi="fa-IR"/>
        </w:rPr>
        <w:t xml:space="preserve">اهمیت این جریان انتقال سرمایه، امروزه دیگر تنها در جنبه‌های کلان اقتصادی و تأمین مالی بنگاه‌ها خلاصه نمی‌شود؛ بلکه با ظهور و گسترش خیره‌کننده فناوری‌های نوین مالی و همه‌گیر شدن پلتفرم‌های معاملاتی برخط، یک تغییر پارادایم بنیادین در ساختار دسترسی به بازارها شکل گرفته است. این بازارها که تا پیش از این، قلمرو انحصاری نهادهای مالی بزرگ، بانک‌های سرمایه‌گذاری و صندوق‌های پوشش ریسک محسوب می‌شدند، اکنون از حصار نخبگان مالی خارج شده و به عرصه‌ای عمومی و در دسترس برای مشارکت میلیون‌ها سرمایه‌گذار خرد تبدیل شده‌اند. این تحول ساختاری که در ادبیات روز دنیا از آن تحت عنوان «دموکراتیزه شدن سرمایه‌گذاری» یاد می‌شود، اگرچه موانع سنتی ورود (نظیر سرمایه کلان یا دانش تخصصی) را از میان برداشته و دسترسی به فرصت‌های خلق ثروت را برای عموم جامعه همگانی کرده است، اما همزمان تیغی دو لبه محسوب می‌شود.</w:t>
      </w:r>
    </w:p>
    <w:p>
      <w:pPr>
        <w:bidi w:val="1"/>
        <w:spacing w:lineRule="exact" w:line="580" w:after="0"/>
        <w:jc w:val="both"/>
      </w:pPr>
      <w:r>
        <w:rPr>
          <w:rFonts w:ascii="B Nazanin" w:hAnsi="B Nazanin" w:cs="B Nazanin" w:hint="cs"/>
          <w:sz w:val="24"/>
          <w:szCs w:val="24"/>
          <w:rtl/>
          <w:lang w:bidi="fa-IR"/>
        </w:rPr>
        <w:t xml:space="preserve">این سهولت در دسترسی، انبوهی از افراد غیرمتخصص و فاقد تجربه را که اغلب به ابزارهای تحلیل حرفه‌ای و استراتژی‌های مدیریت ریسک مجهز نیستند، به‌طور ناگهانی در معرض نوسانات شدید، پیچیدگی‌های فنی و جریان بی‌وقفه اطلاعات قرار داده است. در چنین محیطی که عدم قطعیت، ویژگی ذاتی و جدایی‌ناپذیر آن است، سرمایه‌گذاران خرد بیش از آنکه با منطق‌های محاسباتی نهادی هدایت شوند، تحت فشار سنگین چالش‌های تصمیم‌گیری و بار هیجانی ناشی از سود و زیان‌های لحظه‌ای قرار می‌گیرند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بازارها، از منظر ساختار دارایی‌ها و سازوکار مبادله، به دسته‌های مختلفی تقسیم می‌شوند که هر یک ویژگی‌های منحصر به فرد خود را دارا هستند. در خط مقدم و سنتی‌ترین شکل آن، بازار سهام قرار دارد که به‌عنوان آینه تمام‌نمای اقتصاد شناخته می‌شود؛ جایی که در آن، مالکیت جزئی از شرکت‌ها و حق مشارکت در سود و زیان آن‌ها، در قالب برگه‌های سهام مبادله می‌گردد و بازده آن مستقیماً به عملکرد واقعی شرکت و انتظارات آتی سرمایه‌گذاران وابسته است. در سوی دیگر طیف، بازار اوراق قرضه یا بازار درآمد ثابت قرار دارد که در آن، ابزارهای بدهی خرید و فروش می‌شوند؛ ابزارهایی که اساساً برای تأمین مالی دولت‌ها و ابرشرکت‌ها طراحی شده‌اند و به دلیل نوسانات نسبتاً کمتر، به‌عنوان دارایی‌های امن‌تر شناخته می‌شوند (بودی، کین و مارکوس</w:t>
      </w:r>
      <w:r>
        <w:rPr>
          <w:rFonts w:ascii="B Nazanin" w:hAnsi="B Nazanin" w:cs="B Nazanin" w:hint="cs"/>
          <w:vertAlign w:val="superscript"/>
          <w:rtl/>
        </w:rPr>
        <w:footnoteReference w:id="48"/>
      </w:r>
      <w:r>
        <w:rPr>
          <w:rFonts w:ascii="B Nazanin" w:hAnsi="B Nazanin" w:cs="B Nazanin" w:hint="cs"/>
          <w:sz w:val="24"/>
          <w:szCs w:val="24"/>
          <w:rtl/>
          <w:lang w:bidi="fa-IR"/>
        </w:rPr>
        <w:t xml:space="preserve">، ۲۰۱۸).</w:t>
      </w:r>
    </w:p>
    <w:p>
      <w:pPr>
        <w:bidi w:val="1"/>
        <w:spacing w:lineRule="exact" w:line="580" w:after="0"/>
        <w:jc w:val="both"/>
      </w:pPr>
      <w:r>
        <w:rPr>
          <w:rFonts w:ascii="B Nazanin" w:hAnsi="B Nazanin" w:cs="B Nazanin" w:hint="cs"/>
          <w:sz w:val="24"/>
          <w:szCs w:val="24"/>
          <w:rtl/>
          <w:lang w:bidi="fa-IR"/>
        </w:rPr>
        <w:t xml:space="preserve">در عصر حاضر، همگام با پیشرفت‌های خیره‌کننده فناوری اطلاعات و ارتباطات و ظهور اینترنت پرسرعت، مفهوم سنتی بازار فراتر از مرزهای جغرافیایی و زمانی گسترش یافته و ظهور نسل جدیدی از بازارهای مالی جهانی و تمام‌الکترونیک را رقم زده است. این اکوسیستم مالی نوین، دیگر محدود به ساعات کاری بورس‌های ملی نیست و شامل عرصه‌های پرجنب‌وجوش و بدون وقفه‌ای نظیر بازار تبادل ارزهای خارجی است که با حجم عظیم گردش مالی روزانه و ماهیت فرامرزی، به‌عنوان بزرگترین و نقدشونده‌ترین بازار مالی جهان شناخته می‌شود. در کنار آن، ظهور پدیده انقلابی بازار ارزهای دیجیتال و فناوری زیربنایی بلاک‌چین نیز پارادایم‌های مرسوم ارزش‌گذاری، مالکیت دارایی و حکمرانی پولی را به چالش کشیده است؛ طبقه جدیدی از دارایی‌های غیرمتمرکز معرفی شده که ویژگی بارز آن‌ها، نوسانات شدید قیمتی و حساسیت بالا به اخبار و رویدادهای جهانی است (شیلر</w:t>
      </w:r>
      <w:r>
        <w:rPr>
          <w:rFonts w:ascii="B Nazanin" w:hAnsi="B Nazanin" w:cs="B Nazanin" w:hint="cs"/>
          <w:vertAlign w:val="superscript"/>
          <w:rtl/>
        </w:rPr>
        <w:footnoteReference w:id="49"/>
      </w:r>
      <w:r>
        <w:rPr>
          <w:rFonts w:ascii="B Nazanin" w:hAnsi="B Nazanin" w:cs="B Nazanin" w:hint="cs"/>
          <w:sz w:val="24"/>
          <w:szCs w:val="24"/>
          <w:rtl/>
          <w:lang w:bidi="fa-IR"/>
        </w:rPr>
        <w:t xml:space="preserve">، ۲۰۱۵).</w:t>
      </w:r>
    </w:p>
    <w:p>
      <w:pPr>
        <w:bidi w:val="1"/>
        <w:spacing w:lineRule="exact" w:line="580" w:after="0"/>
        <w:jc w:val="both"/>
      </w:pPr>
      <w:r>
        <w:rPr>
          <w:rFonts w:ascii="B Nazanin" w:hAnsi="B Nazanin" w:cs="B Nazanin" w:hint="cs"/>
          <w:sz w:val="24"/>
          <w:szCs w:val="24"/>
          <w:rtl/>
          <w:lang w:bidi="fa-IR"/>
        </w:rPr>
        <w:t xml:space="preserve">ویژگی مشترک و بنیادین تمام این بازارهای مدرن را می‌توان در یک عبارت خلاصه کرد: عدم قطعیت. این بازارها — به‌ویژه آن‌هایی که به دلیل جذابیت‌های سوداگرانه و پتانسیل بازدهی بالا بیشتر مورد استقبال معامله‌گران خرد قرار گرفته‌اند — محیطی مملو از پیچیدگی ساختاری و غیرقابل پیش‌بینی بودن دارند. این محیط پرتنش که تصمیم‌گیری در آن همواره با ریسک و ابهام آمیخته است، عملاً به یک آزمایشگاه روان‌شناختی بزرگ و طبیعی تبدیل شده که در آن، واکنش‌های هیجانی و شناختی افراد به صورت لحظه‌ای و شفاف آشکار می‌شود. چنین بستری، فرصتی منحصربه‌فرد را برای پژوهشگران فراهم می‌آورد تا تأثیر عوامل درونی و شخصیتی، نظیر اضطراب و الگوهای شناختی عمیق، بر فرآیند پردازش اطلاعات و شکل‌گیری رفتارهای مالی افراد را مورد مطالعه قرار دهند؛ چرا که در غیاب قطعیت بیرونی، این عوامل درونی هستند که نقش تعیین‌کننده در تصمیمات معامله‌گر ایفا می‌کنند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محیط پرتنش و آکنده از ریسک که تصمیم‌گیری در آن همواره با سطوح بالایی از عدم قطعیت و ابهام درباره آینده همراه است، فراتر از یک فضای معاملاتی صرف، به بستری غنی و منحصربه‌فرد برای مطالعه عمیق تعامل میان شناخت و هیجان انسان تبدیل شده است. در چنین شرایطی که داده‌های عینی بازار (مانند قیمت و حجم) دائماً در حال تغییر و نوسان هستند و هیچ الگوریتم قطعی برای پیش‌بینی آینده وجود ندارد، ذهن معامله‌گر به ناچار برای پر کردن شکاف‌های اطلاعاتی، به مکانیزم‌های درونی و میان‌برهای ذهنی خود متوسل می‌شود. این وابستگی به عوامل درونی، نقش تعیین‌کننده متغیرهای روان‌شناختی و شخصیتی را در شکل‌دهی به قضاوت‌ها و انتخاب‌های مالی برجسته می‌سازد.</w:t>
      </w:r>
    </w:p>
    <w:p>
      <w:pPr>
        <w:bidi w:val="1"/>
        <w:spacing w:lineRule="exact" w:line="580" w:after="0"/>
        <w:jc w:val="both"/>
      </w:pPr>
      <w:r>
        <w:rPr>
          <w:rFonts w:ascii="B Nazanin" w:hAnsi="B Nazanin" w:cs="B Nazanin" w:hint="cs"/>
          <w:sz w:val="24"/>
          <w:szCs w:val="24"/>
          <w:rtl/>
          <w:lang w:bidi="fa-IR"/>
        </w:rPr>
        <w:t xml:space="preserve">به‌طور مشخص، این بستر پرفشار، زمینه مساعدی را برای مطالعه تأثیر مستقیم و غیرمستقیم عوامل هیجانی قدرتمند، نظیر اضطراب و ترس از دست دادن سرمایه، و همچنین نقش فیلترهای ذهنی عمیق‌تر، یعنی الگوهای شناختی و طرحواره‌های بنیادین، بر فرآیند پیچیده تصمیم‌گیری فراهم می‌آورد. در واقع، بازارهای مالی مدرن به مثابه آزمایشگاهی طبیعی عمل می‌کنند که در آن، واکنش‌های رفتاری افراد به محرک‌های استرس‌زا (مانند زیان ناگهانی یا نوسان شدید قیمت)، نه تنها بازتابی از شرایط بیرونی، بلکه تجلی آشکار ویژگی‌های شخصیتی و آسیب‌پذیری‌های روانی آن‌هاست که در نهایت به شکل رفتارهای مالی مشاهده‌پذیر (مانند خرید هیجانی یا فروش وحشت‌زده) نمود می‌یابد (ماهاتو و همکاران، ۲۰۲۵)</w:t>
      </w:r>
    </w:p>
    <w:p>
      <w:pPr>
        <w:pStyle w:val="Heading3"/>
        <w:bidi w:val="1"/>
        <w:jc w:val="right"/>
      </w:pPr>
      <w:r>
        <w:rPr>
          <w:rFonts w:ascii="B Nazanin" w:hAnsi="B Nazanin" w:cs="B Nazanin" w:hint="cs"/>
          <w:b/>
          <w:bCs/>
          <w:sz w:val="26"/>
          <w:szCs w:val="26"/>
          <w:rtl/>
          <w:lang w:bidi="fa-IR"/>
        </w:rPr>
        <w:t xml:space="preserve">از فرضیه بازار کارا تا اقتصاد رفتاری</w:t>
      </w:r>
    </w:p>
    <w:p>
      <w:pPr>
        <w:bidi w:val="1"/>
        <w:spacing w:lineRule="exact" w:line="580" w:after="0"/>
        <w:jc w:val="both"/>
      </w:pPr>
      <w:r>
        <w:rPr>
          <w:rFonts w:ascii="B Nazanin" w:hAnsi="B Nazanin" w:cs="B Nazanin" w:hint="cs"/>
          <w:sz w:val="24"/>
          <w:szCs w:val="24"/>
          <w:rtl/>
          <w:lang w:bidi="fa-IR"/>
        </w:rPr>
        <w:t xml:space="preserve">در بخش بزرگی از قرن بیستم، ادبیات آکادمیک تحلیل بازارهای مالی تحت سیطره فرضیه بازار کارا</w:t>
      </w:r>
      <w:r>
        <w:rPr>
          <w:rFonts w:ascii="B Nazanin" w:hAnsi="B Nazanin" w:cs="B Nazanin" w:hint="cs"/>
          <w:vertAlign w:val="superscript"/>
          <w:rtl/>
        </w:rPr>
        <w:footnoteReference w:id="2"/>
      </w:r>
      <w:r>
        <w:rPr>
          <w:rFonts w:ascii="B Nazanin" w:hAnsi="B Nazanin" w:cs="B Nazanin" w:hint="cs"/>
          <w:sz w:val="24"/>
          <w:szCs w:val="24"/>
          <w:rtl/>
          <w:lang w:bidi="fa-IR"/>
        </w:rPr>
        <w:t xml:space="preserve"> قرار داشت؛ فرضیه‌ای که بر پایه آن، قیمت دارایی‌ها در هر لحظه بازتاب‌دهنده کامل اطلاعات موجود فرض می‌شد و سرمایه‌گذاران عاملانی کاملاً عقلانی تلقی می‌گردیدند (ملکیل</w:t>
      </w:r>
      <w:r>
        <w:rPr>
          <w:rFonts w:ascii="B Nazanin" w:hAnsi="B Nazanin" w:cs="B Nazanin" w:hint="cs"/>
          <w:vertAlign w:val="superscript"/>
          <w:rtl/>
        </w:rPr>
        <w:footnoteReference w:id="50"/>
      </w:r>
      <w:r>
        <w:rPr>
          <w:rFonts w:ascii="B Nazanin" w:hAnsi="B Nazanin" w:cs="B Nazanin" w:hint="cs"/>
          <w:sz w:val="24"/>
          <w:szCs w:val="24"/>
          <w:rtl/>
          <w:lang w:bidi="fa-IR"/>
        </w:rPr>
        <w:t xml:space="preserve">، ۲۰۰۳). این چارچوب، اگرچه از نظر ریاضی منسجم و در مدل‌سازی‌های اقتصادی کارآمد بود، در تبیین پدیده‌های واقعی و مکرر بازار مانند حباب‌های قیمتی و سقوط‌های ناگهانی بدون دلیل بنیادی، ناتوانی خود را آشکار ساخت (شیلر، ۲۰۱۵).</w:t>
      </w:r>
    </w:p>
    <w:p>
      <w:pPr>
        <w:bidi w:val="1"/>
        <w:spacing w:lineRule="exact" w:line="580" w:after="0"/>
        <w:jc w:val="both"/>
      </w:pPr>
      <w:r>
        <w:rPr>
          <w:rFonts w:ascii="B Nazanin" w:hAnsi="B Nazanin" w:cs="B Nazanin" w:hint="cs"/>
          <w:sz w:val="24"/>
          <w:szCs w:val="24"/>
          <w:rtl/>
          <w:lang w:bidi="fa-IR"/>
        </w:rPr>
        <w:t xml:space="preserve">فرضیه بازار کارا در جریان تکامل نظری خود، به‌طور برجسته توسط فاما در دهه ۱۹۷۰ میلادی در سه شکل ضعیف، نیمه‌قوی و قوی صورت‌بندی شد که هر یک دامنه متفاوتی از اطلاعات را در قیمت‌ها منعکس‌شده فرض می‌کردند (ملکیل، ۲۰۰۳). این صورت‌بندی بر سه فرض بنیادین استوار بود: نخست، آنکه سرمایه‌گذاران عاملانی کاملاً عقلانی هستند و همواره در پی بهینه‌سازی مطلوبیت خود بر اساس نظریه مطلوبیت انتظاری‌اند؛ دوم، آنکه تمام اطلاعات جدید به سرعت، به‌طور کامل و بدون سوگیری در قیمت دارایی‌ها منعکس می‌شوند؛ و سوم، آنکه در نتیجه این دو، هیچ سرمایه‌گذاری نمی‌تواند با اتکا به اطلاعات گذشته یا تحلیل‌های عمومی، به‌طور مداوم بازدهی فراتر از میانگین بازار کسب کند. این چارچوب، سال‌ها مبنای نظری مدل‌های قیمت‌گذاری دارایی‌ها بود و انسجام ریاضی آن را به ابزاری کارآمد در مدل‌سازی‌های اقتصادی بدل ساخته بود (ملکیل، ۲۰۰۳).</w:t>
      </w:r>
    </w:p>
    <w:p>
      <w:pPr>
        <w:bidi w:val="1"/>
        <w:spacing w:lineRule="exact" w:line="580" w:after="0"/>
        <w:jc w:val="both"/>
      </w:pPr>
      <w:r>
        <w:rPr>
          <w:rFonts w:ascii="B Nazanin" w:hAnsi="B Nazanin" w:cs="B Nazanin" w:hint="cs"/>
          <w:sz w:val="24"/>
          <w:szCs w:val="24"/>
          <w:rtl/>
          <w:lang w:bidi="fa-IR"/>
        </w:rPr>
        <w:t xml:space="preserve">با این حال، تکرار ناهنجاری‌ها در بازارهای واقعی، به تدریج تردیدهایی جدی درباره اعتبار توصیفی این فرضیه ایجاد کرد. در پدیده‌هایی مانند حباب دات-کام در سال ۲۰۰۰ — که در آن قیمت دارایی‌ها بسیار فراتر از ارزش ذاتی آن‌ها معامله می‌شد — یا سقوط ناگهانی دوشنبه سیاه در سال ۱۹۸۷ — که در آن فروش‌های هراسان بدون هیچ دلیل بنیادی مشخصی رخ داد — چارچوب بازار کارا در ارائه تبیینی قانع‌کننده ناتوان ماند (شیلر، ۲۰۱۵). تکرار این پدیده‌ها نشان می‌داد که قیمت‌های بازار همواره تحت تأثیر عوامل روان‌شناختی فعالان بازار نیز قرار دارند؛ نه صرفاً بازتاب اطلاعات بنیادی. همین آگاهی، زمینه‌ساز چرخش تدریجی ادبیات تحلیل بازارهای مالی به سمت عوامل انسانی شد؛ چرخشی که در آن، نوسانات بازار نه صرفاً بازتاب اخبار بنیادی، بلکه محصول تعامل باورهای هیجانات و انتظارات سرمایه‌گذاران نیز تلقی می‌شود (شیلر، ۲۰۱۵).</w:t>
      </w:r>
    </w:p>
    <w:p>
      <w:pPr>
        <w:bidi w:val="1"/>
        <w:spacing w:lineRule="exact" w:line="580" w:after="0"/>
        <w:jc w:val="both"/>
      </w:pPr>
      <w:r>
        <w:rPr>
          <w:rFonts w:ascii="B Nazanin" w:hAnsi="B Nazanin" w:cs="B Nazanin" w:hint="cs"/>
          <w:sz w:val="24"/>
          <w:szCs w:val="24"/>
          <w:rtl/>
          <w:lang w:bidi="fa-IR"/>
        </w:rPr>
        <w:t xml:space="preserve">این ناهنجاری‌ها زمینه را برای ظهور اقتصاد رفتاری</w:t>
      </w:r>
      <w:r>
        <w:rPr>
          <w:rFonts w:ascii="B Nazanin" w:hAnsi="B Nazanin" w:cs="B Nazanin" w:hint="cs"/>
          <w:vertAlign w:val="superscript"/>
          <w:rtl/>
        </w:rPr>
        <w:footnoteReference w:id="3"/>
      </w:r>
      <w:r>
        <w:rPr>
          <w:rFonts w:ascii="B Nazanin" w:hAnsi="B Nazanin" w:cs="B Nazanin" w:hint="cs"/>
          <w:sz w:val="24"/>
          <w:szCs w:val="24"/>
          <w:rtl/>
          <w:lang w:bidi="fa-IR"/>
        </w:rPr>
        <w:t xml:space="preserve"> فراهم کرد؛ حوزه‌ای میان‌رشته‌ای که با ادغام بینش‌های روان‌شناسی شناختی در تحلیل‌های اقتصادی، نشان داد تصمیمات انسان در محیط‌های واقعی به‌طور سیستماتیک و قابل پیش‌بینی از عقلانیت محض منحرف می‌شوند (تیلر</w:t>
      </w:r>
      <w:r>
        <w:rPr>
          <w:rFonts w:ascii="B Nazanin" w:hAnsi="B Nazanin" w:cs="B Nazanin" w:hint="cs"/>
          <w:vertAlign w:val="superscript"/>
          <w:rtl/>
        </w:rPr>
        <w:footnoteReference w:id="51"/>
      </w:r>
      <w:r>
        <w:rPr>
          <w:rFonts w:ascii="B Nazanin" w:hAnsi="B Nazanin" w:cs="B Nazanin" w:hint="cs"/>
          <w:sz w:val="24"/>
          <w:szCs w:val="24"/>
          <w:rtl/>
          <w:lang w:bidi="fa-IR"/>
        </w:rPr>
        <w:t xml:space="preserve">، ۲۰۱۶). سنگ بنای این حوزه، نظریه چشم‌انداز</w:t>
      </w:r>
      <w:r>
        <w:rPr>
          <w:rFonts w:ascii="B Nazanin" w:hAnsi="B Nazanin" w:cs="B Nazanin" w:hint="cs"/>
          <w:vertAlign w:val="superscript"/>
          <w:rtl/>
        </w:rPr>
        <w:footnoteReference w:id="4"/>
      </w:r>
      <w:r>
        <w:rPr>
          <w:rFonts w:ascii="B Nazanin" w:hAnsi="B Nazanin" w:cs="B Nazanin" w:hint="cs"/>
          <w:sz w:val="24"/>
          <w:szCs w:val="24"/>
          <w:rtl/>
          <w:lang w:bidi="fa-IR"/>
        </w:rPr>
        <w:t xml:space="preserve"> بود که کانمن و تورسکی</w:t>
      </w:r>
      <w:r>
        <w:rPr>
          <w:rFonts w:ascii="B Nazanin" w:hAnsi="B Nazanin" w:cs="B Nazanin" w:hint="cs"/>
          <w:vertAlign w:val="superscript"/>
          <w:rtl/>
        </w:rPr>
        <w:footnoteReference w:id="52"/>
      </w:r>
      <w:r>
        <w:rPr>
          <w:rFonts w:ascii="B Nazanin" w:hAnsi="B Nazanin" w:cs="B Nazanin" w:hint="cs"/>
          <w:sz w:val="24"/>
          <w:szCs w:val="24"/>
          <w:rtl/>
          <w:lang w:bidi="fa-IR"/>
        </w:rPr>
        <w:t xml:space="preserve"> (۱۹۷۹) آن را ارائه کردند و بر پایه آن، افراد به‌جای ارزیابی سطح نهایی ثروت، تغییرات سود و زیان را نسبت به یک نقطه مرجع ذهنی می‌سنجند و زیان‌گریزی</w:t>
      </w:r>
      <w:r>
        <w:rPr>
          <w:rFonts w:ascii="B Nazanin" w:hAnsi="B Nazanin" w:cs="B Nazanin" w:hint="cs"/>
          <w:vertAlign w:val="superscript"/>
          <w:rtl/>
        </w:rPr>
        <w:footnoteReference w:id="5"/>
      </w:r>
      <w:r>
        <w:rPr>
          <w:rFonts w:ascii="B Nazanin" w:hAnsi="B Nazanin" w:cs="B Nazanin" w:hint="cs"/>
          <w:sz w:val="24"/>
          <w:szCs w:val="24"/>
          <w:rtl/>
          <w:lang w:bidi="fa-IR"/>
        </w:rPr>
        <w:t xml:space="preserve"> — شدت بیشتر درد زیان نسبت به لذت سود معادل — بسیاری از رفتارهای به ظاهر غیرمنطقی سرمایه‌گذاران را تبیین می‌کند (کانمن</w:t>
      </w:r>
      <w:r>
        <w:rPr>
          <w:rFonts w:ascii="B Nazanin" w:hAnsi="B Nazanin" w:cs="B Nazanin" w:hint="cs"/>
          <w:vertAlign w:val="superscript"/>
          <w:rtl/>
        </w:rPr>
        <w:footnoteReference w:id="53"/>
      </w:r>
      <w:r>
        <w:rPr>
          <w:rFonts w:ascii="B Nazanin" w:hAnsi="B Nazanin" w:cs="B Nazanin" w:hint="cs"/>
          <w:sz w:val="24"/>
          <w:szCs w:val="24"/>
          <w:rtl/>
          <w:lang w:bidi="fa-IR"/>
        </w:rPr>
        <w:t xml:space="preserve">، ۲۰۱۱). در پرتو این پارادایم، عوامل روان‌شناختی نه خطای حاشیه‌ای، بلکه جزء جدایی‌ناپذیر تبیین رفتار در بازارهای مالی به شمار می‌روند.</w:t>
      </w:r>
    </w:p>
    <w:p>
      <w:pPr>
        <w:bidi w:val="1"/>
        <w:spacing w:lineRule="exact" w:line="580" w:after="0"/>
        <w:jc w:val="both"/>
      </w:pPr>
      <w:r>
        <w:rPr>
          <w:rFonts w:ascii="B Nazanin" w:hAnsi="B Nazanin" w:cs="B Nazanin" w:hint="cs"/>
          <w:sz w:val="24"/>
          <w:szCs w:val="24"/>
          <w:rtl/>
          <w:lang w:bidi="fa-IR"/>
        </w:rPr>
        <w:t xml:space="preserve">یکی از قدرتمندترین فشارهای روان‌شناختی بر این نسل جدید از سرمایه‌گذاران، ترس از دست دادن فرصت</w:t>
      </w:r>
      <w:r>
        <w:rPr>
          <w:rFonts w:ascii="B Nazanin" w:hAnsi="B Nazanin" w:cs="B Nazanin" w:hint="cs"/>
          <w:vertAlign w:val="superscript"/>
          <w:rtl/>
        </w:rPr>
        <w:footnoteReference w:id="6"/>
      </w:r>
      <w:r>
        <w:rPr>
          <w:rFonts w:ascii="B Nazanin" w:hAnsi="B Nazanin" w:cs="B Nazanin" w:hint="cs"/>
          <w:sz w:val="24"/>
          <w:szCs w:val="24"/>
          <w:rtl/>
          <w:lang w:bidi="fa-IR"/>
        </w:rPr>
        <w:t xml:space="preserve"> است که توسط رسانه‌های اجتماعی تقویت می‌شود و می‌تواند افراد را به سمت تصمیمات هیجانی، نظیر ورود دیرهنگام به حباب‌های سوداگرانه، سوق دهد (اور و شوماخر</w:t>
      </w:r>
      <w:r>
        <w:rPr>
          <w:rFonts w:ascii="B Nazanin" w:hAnsi="B Nazanin" w:cs="B Nazanin" w:hint="cs"/>
          <w:vertAlign w:val="superscript"/>
          <w:rtl/>
        </w:rPr>
        <w:footnoteReference w:id="54"/>
      </w:r>
      <w:r>
        <w:rPr>
          <w:rFonts w:ascii="B Nazanin" w:hAnsi="B Nazanin" w:cs="B Nazanin" w:hint="cs"/>
          <w:sz w:val="24"/>
          <w:szCs w:val="24"/>
          <w:rtl/>
          <w:lang w:bidi="fa-IR"/>
        </w:rPr>
        <w:t xml:space="preserve">، ۲۰۲۳). این پدیده ارتباط نزدیکی با رفتار گله‌ای دارد؛ در این رفتار، افراد به جای اتکا به تحلیل شخصی، از اقدامات دیگر معامله‌گران — به‌ویژه در شرایط استرس و نوسانات بالای بازار — پیروی می‌کنند و همین تقلید جمعی می‌تواند نیروی پیش‌برنده شکل‌گیری حباب‌های قیمتی خطرناک شود (هوانگ و سالمون</w:t>
      </w:r>
      <w:r>
        <w:rPr>
          <w:rFonts w:ascii="B Nazanin" w:hAnsi="B Nazanin" w:cs="B Nazanin" w:hint="cs"/>
          <w:vertAlign w:val="superscript"/>
          <w:rtl/>
        </w:rPr>
        <w:footnoteReference w:id="55"/>
      </w:r>
      <w:r>
        <w:rPr>
          <w:rFonts w:ascii="B Nazanin" w:hAnsi="B Nazanin" w:cs="B Nazanin" w:hint="cs"/>
          <w:sz w:val="24"/>
          <w:szCs w:val="24"/>
          <w:rtl/>
          <w:lang w:bidi="fa-IR"/>
        </w:rPr>
        <w:t xml:space="preserve">، ۲۰۰۴). همزیستی این دو سازوکار نشان می‌دهد که بازارهای مالی مدرن بیش از آنکه صرفاً پدیده‌هایی اقتصادی باشند، عرصه فرآیندهای روان‌شناختی اجتماعی نیز هستند و شناخت این فرآیندها بدون ابزارهای دقیق روان‌شناسی ممکن نیست.</w:t>
      </w:r>
    </w:p>
    <w:p>
      <w:pPr>
        <w:pStyle w:val="Heading3"/>
        <w:bidi w:val="1"/>
        <w:jc w:val="right"/>
      </w:pPr>
      <w:r>
        <w:rPr>
          <w:rFonts w:ascii="B Nazanin" w:hAnsi="B Nazanin" w:cs="B Nazanin" w:hint="cs"/>
          <w:b/>
          <w:bCs/>
          <w:sz w:val="26"/>
          <w:szCs w:val="26"/>
          <w:rtl/>
          <w:lang w:bidi="fa-IR"/>
        </w:rPr>
        <w:t xml:space="preserve">بافت ویژه اقتصادی و اجتماعی ایران</w:t>
      </w:r>
    </w:p>
    <w:p>
      <w:pPr>
        <w:bidi w:val="1"/>
        <w:spacing w:lineRule="exact" w:line="580" w:after="0"/>
        <w:jc w:val="both"/>
      </w:pPr>
      <w:r>
        <w:rPr>
          <w:rFonts w:ascii="B Nazanin" w:hAnsi="B Nazanin" w:cs="B Nazanin" w:hint="cs"/>
          <w:sz w:val="24"/>
          <w:szCs w:val="24"/>
          <w:rtl/>
          <w:lang w:bidi="fa-IR"/>
        </w:rPr>
        <w:t xml:space="preserve">این وضعیت جهانی و تحولات ساختاری در بازارهای مالی، هنگامی که در بافت اقتصادی و اجتماعی خاص و پیچیده کشورهایی نظیر ایران مورد واکاوی قرار می‌گیرد، ابعاد منحصر به فرد و چالش‌برانگیزتری به خود می‌گیرد. وجود یک محیط تورمی مزمن و دورقمی که طی چندین دهه به ویژگی ساختاری اقتصاد بدل شده است، همراه با نوسانات شدید و غیرقابل پیش‌بینی نرخ ارز و کاهش مداوم قدرت خرید پول ملی، انگیزه قدرتمند و اجتناب‌ناپذیری را برای توده مردم ایجاد کرده است تا برای حفظ ارزش واقعی دارایی‌های خود و جلوگیری از فقیرتر شدن، به سمت بازارهای مالی مختلف اعم از بورس اوراق بهادار، بازار طلا و ارز، و در سال‌های اخیر به شکل فزاینده‌ای به سمت بازار پرریسک ارزهای دیجیتال هجوم آورند.</w:t>
      </w:r>
    </w:p>
    <w:p>
      <w:pPr>
        <w:bidi w:val="1"/>
        <w:spacing w:lineRule="exact" w:line="580" w:after="0"/>
        <w:jc w:val="both"/>
      </w:pPr>
      <w:r>
        <w:rPr>
          <w:rFonts w:ascii="B Nazanin" w:hAnsi="B Nazanin" w:cs="B Nazanin" w:hint="cs"/>
          <w:sz w:val="24"/>
          <w:szCs w:val="24"/>
          <w:rtl/>
          <w:lang w:bidi="fa-IR"/>
        </w:rPr>
        <w:t xml:space="preserve">این فشار سنگین اقتصادی بیرونی، در ترکیب با فقدان زیرساخت‌های آموزشی مناسب، پایین بودن سطح سواد مالی عمومی و نبود فرهنگ سرمایه‌گذاری بلندمدت، معامله‌گران خرد ایرانی را در وضعیت آسیب‌پذیری روانی مضاعفی قرار داده است. در چنین شرایطی که سرمایه‌گذاری نه به‌عنوان یک انتخاب برای افزایش ثروت، بلکه به‌عنوان یک استراتژی بقا برای حفظ سرمایه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(ستایش و همکاران، ۱۳۹۹)</w:t>
      </w:r>
    </w:p>
    <w:p>
      <w:pPr>
        <w:bidi w:val="1"/>
        <w:spacing w:lineRule="exact" w:line="580" w:after="0"/>
        <w:jc w:val="both"/>
      </w:pPr>
      <w:r>
        <w:rPr>
          <w:rFonts w:ascii="B Nazanin" w:hAnsi="B Nazanin" w:cs="B Nazanin" w:hint="cs"/>
          <w:sz w:val="24"/>
          <w:szCs w:val="24"/>
          <w:rtl/>
          <w:lang w:bidi="fa-IR"/>
        </w:rPr>
        <w:t xml:space="preserve">در چنین محیط پرفشار و آشفته‌ای که تصمیم‌گیری‌ها به ناچار باید در فضایی از عدم قطعیت و ابهام صورت پذیرد، ویژگی‌های شخصیتی پایدار افراد، به‌عنوان فیلترهای ذهنی و پردازشی، نقشی محوری و تعیین‌کننده در تبیین تفاوت‌های فردی در نحوه واکنش به بازار و کیفیت عملکرد نهایی معامله‌گران ایفا می‌کنند. در میان طیف وسیع این ویژگی‌ها، سازه «اضطراب صفتی» به دلیل ارتباط مستقیم، عمیق و اثبات‌شده آن با نحوه پردازش اطلاعات تهدیدآمیز و مدیریت عدم قطعیت، از اهمیت ویژه‌ای در روان‌شناسی مالی برخوردار است.</w:t>
      </w:r>
    </w:p>
    <w:p>
      <w:pPr>
        <w:bidi w:val="1"/>
        <w:spacing w:lineRule="exact" w:line="580" w:after="0"/>
        <w:jc w:val="both"/>
      </w:pPr>
      <w:r>
        <w:rPr>
          <w:rFonts w:ascii="B Nazanin" w:hAnsi="B Nazanin" w:cs="B Nazanin" w:hint="cs"/>
          <w:sz w:val="24"/>
          <w:szCs w:val="24"/>
          <w:rtl/>
          <w:lang w:bidi="fa-IR"/>
        </w:rPr>
        <w:t xml:space="preserve">بدین ترتیب، بافت سه‌گانه اقتصاد ایران — تورم مزمن، نوسانات ارزی و ضعف آموزش مالی عمومی — محیط روان‌شناختی منحصر به فردی را برای معامله‌گر ایرانی شکل می‌دهد؛ محیطی که در آن، ویژگی‌های شخصیتی و شناختی فرد بیش از اقتصادهای باثبات، نقشی برجسته در تبیین رفتار ایفا می‌کنند (ستایش و همکاران، ۱۳۹۹). در چنین بافتی است که بررسی نقش میانجی‌گر طرحواره‌های ناسازگار اولیه در رابطه اضطراب صفتی با رفتارهای مالی پرخطر، معنایی دوچندان می‌یابد؛ زیرا هم به لحاظ نظری شکافی را در ادبیات پر می‌کند و هم به لحاظ عملی، پاسخی به نیاز واقعی جامعه معامله‌گران ایرانی ارائه می‌دهد.</w:t>
      </w:r>
    </w:p>
    <w:p>
      <w:pPr>
        <w:pStyle w:val="Heading3"/>
        <w:bidi w:val="1"/>
        <w:jc w:val="right"/>
      </w:pPr>
      <w:r>
        <w:rPr>
          <w:rFonts w:ascii="B Nazanin" w:hAnsi="B Nazanin" w:cs="B Nazanin" w:hint="cs"/>
          <w:b/>
          <w:bCs/>
          <w:sz w:val="26"/>
          <w:szCs w:val="26"/>
          <w:rtl/>
          <w:lang w:bidi="fa-IR"/>
        </w:rPr>
        <w:t xml:space="preserve">اضطراب صفتی، طرحواره‌های ناسازگار اولیه و رفتارهای مالی پرخطر</w:t>
      </w:r>
    </w:p>
    <w:p>
      <w:pPr>
        <w:bidi w:val="1"/>
        <w:spacing w:lineRule="exact" w:line="580" w:after="0"/>
        <w:jc w:val="both"/>
      </w:pPr>
      <w:r>
        <w:rPr>
          <w:rFonts w:ascii="B Nazanin" w:hAnsi="B Nazanin" w:cs="B Nazanin" w:hint="cs"/>
          <w:sz w:val="24"/>
          <w:szCs w:val="24"/>
          <w:rtl/>
          <w:lang w:bidi="fa-IR"/>
        </w:rPr>
        <w:t xml:space="preserve">در سطح فردی، اضطراب صفتی به دلیل ارتباط مستقیم با نحوه پردازش اطلاعات تهدیدآمیز و مدیریت عدم قطعیت، جایگاه ویژه‌ای در روان‌شناسی مالی دارد. بر اساس مدل کلاسیک اسپیلبرگر، افراد با اضطراب صفتی بالا دارای سیستم هشدار روانی بیش‌فعالی هستند که موقعیت‌های مبهم — مانند نوسانات طبیعی بازار — را تهدیدآمیز ادراک می‌کند و با نگرانی، تنش و برانگیختگی فیزیولوژیک بیشتری به آن‌ها پاسخ می‌دهد (اسپیلبرگر</w:t>
      </w:r>
      <w:r>
        <w:rPr>
          <w:rFonts w:ascii="B Nazanin" w:hAnsi="B Nazanin" w:cs="B Nazanin" w:hint="cs"/>
          <w:vertAlign w:val="superscript"/>
          <w:rtl/>
        </w:rPr>
        <w:footnoteReference w:id="56"/>
      </w:r>
      <w:r>
        <w:rPr>
          <w:rFonts w:ascii="B Nazanin" w:hAnsi="B Nazanin" w:cs="B Nazanin" w:hint="cs"/>
          <w:sz w:val="24"/>
          <w:szCs w:val="24"/>
          <w:rtl/>
          <w:lang w:bidi="fa-IR"/>
        </w:rPr>
        <w:t xml:space="preserve">، ۱۹۸۳). از منظر شناختی نیز، دیدگاه بک تأکید دارد که این افراد دارای طرحواره‌های خطری هستند که پردازش اطلاعات را به شکل سوگیرانه‌ای جهت می‌دهند (بک</w:t>
      </w:r>
      <w:r>
        <w:rPr>
          <w:rFonts w:ascii="B Nazanin" w:hAnsi="B Nazanin" w:cs="B Nazanin" w:hint="cs"/>
          <w:vertAlign w:val="superscript"/>
          <w:rtl/>
        </w:rPr>
        <w:footnoteReference w:id="57"/>
      </w:r>
      <w:r>
        <w:rPr>
          <w:rFonts w:ascii="B Nazanin" w:hAnsi="B Nazanin" w:cs="B Nazanin" w:hint="cs"/>
          <w:sz w:val="24"/>
          <w:szCs w:val="24"/>
          <w:rtl/>
          <w:lang w:bidi="fa-IR"/>
        </w:rPr>
        <w:t xml:space="preserve">، ۱۹۷۶).</w:t>
      </w:r>
    </w:p>
    <w:p>
      <w:pPr>
        <w:bidi w:val="1"/>
        <w:spacing w:lineRule="exact" w:line="580" w:after="0"/>
        <w:jc w:val="both"/>
      </w:pPr>
      <w:r>
        <w:rPr>
          <w:rFonts w:ascii="B Nazanin" w:hAnsi="B Nazanin" w:cs="B Nazanin" w:hint="cs"/>
          <w:sz w:val="24"/>
          <w:szCs w:val="24"/>
          <w:rtl/>
          <w:lang w:bidi="fa-IR"/>
        </w:rPr>
        <w:t xml:space="preserve">در سطح شناختی، اضطراب صفتی با سوگیری‌های نظام‌مند در پردازش اطلاعات تهدیدآمیز همراه است. شواهد عصب‌شناختی-شناختی نشان می‌دهند که در افراد مضطرب، سیستم توجهی به‌طور خودکار به سمت نشانه‌های بالقوه خطر جهت‌گیری می‌کند و منابع شناختی از پردازش اطلاعات خنثی یا مثبت منحرف می‌شوند (بیشاپ</w:t>
      </w:r>
      <w:r>
        <w:rPr>
          <w:rFonts w:ascii="B Nazanin" w:hAnsi="B Nazanin" w:cs="B Nazanin" w:hint="cs"/>
          <w:vertAlign w:val="superscript"/>
          <w:rtl/>
        </w:rPr>
        <w:footnoteReference w:id="58"/>
      </w:r>
      <w:r>
        <w:rPr>
          <w:rFonts w:ascii="B Nazanin" w:hAnsi="B Nazanin" w:cs="B Nazanin" w:hint="cs"/>
          <w:sz w:val="24"/>
          <w:szCs w:val="24"/>
          <w:rtl/>
          <w:lang w:bidi="fa-IR"/>
        </w:rPr>
        <w:t xml:space="preserve">، ۲۰۰۷). در بافت معامله‌گری، چنین نشانه‌هایی می‌توانند افت ناگهانی قیمت، اخبار منفی اقتصادی یا نوسان شدید سبد دارایی باشند؛ در این شرایط، معامله‌گر دارای اضطراب صفتی بالا، منابع شناختی محدود خود را به سرعت صرف پایش تهدید می‌کند و ظرفیت کمتری برای تحلیل منطقی و تصمیم‌گیری متوازن در اختیار دارد. علاوه بر این، الگوی پردازشی یادشده می‌تواند با تفسیر سوگیرانه موقعیت‌های مبهم به‌عنوان موقعیت‌های تهدیدآمیز همراه باشد (بک و کلارک</w:t>
      </w:r>
      <w:r>
        <w:rPr>
          <w:rFonts w:ascii="B Nazanin" w:hAnsi="B Nazanin" w:cs="B Nazanin" w:hint="cs"/>
          <w:vertAlign w:val="superscript"/>
          <w:rtl/>
        </w:rPr>
        <w:footnoteReference w:id="59"/>
      </w:r>
      <w:r>
        <w:rPr>
          <w:rFonts w:ascii="B Nazanin" w:hAnsi="B Nazanin" w:cs="B Nazanin" w:hint="cs"/>
          <w:sz w:val="24"/>
          <w:szCs w:val="24"/>
          <w:rtl/>
          <w:lang w:bidi="fa-IR"/>
        </w:rPr>
        <w:t xml:space="preserve">، ۱۹۹۷)؛ پدیده‌ای که در محیط معامله‌گری، خود را در واکنش‌های اغراق‌آمیز به نوسانات عادی بازار نشان می‌دهد.</w:t>
      </w:r>
    </w:p>
    <w:p>
      <w:pPr>
        <w:bidi w:val="1"/>
        <w:spacing w:lineRule="exact" w:line="580" w:after="0"/>
        <w:jc w:val="both"/>
      </w:pPr>
      <w:r>
        <w:rPr>
          <w:rFonts w:ascii="B Nazanin" w:hAnsi="B Nazanin" w:cs="B Nazanin" w:hint="cs"/>
          <w:sz w:val="24"/>
          <w:szCs w:val="24"/>
          <w:rtl/>
          <w:lang w:bidi="fa-IR"/>
        </w:rPr>
        <w:t xml:space="preserve">اضطراب صفتی همچنین با ماهیت بنیادین بازارهای مالی — یعنی عدم قطعیت درباره آینده — پیوندی عمیق دارد. شواهد نشان می‌دهند که یکی از مؤلفه‌های کلیدی اضطراب، دشواری در تحمل عدم قطعیت و پیش‌بینی مکرر تهدیدهای احتمالی آینده است؛ فرآیندی که توانایی فرد را برای کاهش مؤثر عدم قطعیت و مدیریت ریسک مختل می‌سازد (گروپ و نیچکه</w:t>
      </w:r>
      <w:r>
        <w:rPr>
          <w:rFonts w:ascii="B Nazanin" w:hAnsi="B Nazanin" w:cs="B Nazanin" w:hint="cs"/>
          <w:vertAlign w:val="superscript"/>
          <w:rtl/>
        </w:rPr>
        <w:footnoteReference w:id="60"/>
      </w:r>
      <w:r>
        <w:rPr>
          <w:rFonts w:ascii="B Nazanin" w:hAnsi="B Nazanin" w:cs="B Nazanin" w:hint="cs"/>
          <w:sz w:val="24"/>
          <w:szCs w:val="24"/>
          <w:rtl/>
          <w:lang w:bidi="fa-IR"/>
        </w:rPr>
        <w:t xml:space="preserve">، ۲۰۱۳). بر اساس نظریه کنترل توجه</w:t>
      </w:r>
      <w:r>
        <w:rPr>
          <w:rFonts w:ascii="B Nazanin" w:hAnsi="B Nazanin" w:cs="B Nazanin" w:hint="cs"/>
          <w:vertAlign w:val="superscript"/>
          <w:rtl/>
        </w:rPr>
        <w:footnoteReference w:id="7"/>
      </w:r>
      <w:r>
        <w:rPr>
          <w:rFonts w:ascii="B Nazanin" w:hAnsi="B Nazanin" w:cs="B Nazanin" w:hint="cs"/>
          <w:sz w:val="24"/>
          <w:szCs w:val="24"/>
          <w:rtl/>
          <w:lang w:bidi="fa-IR"/>
        </w:rPr>
        <w:t xml:space="preserve">، اضطراب با افزایش نفوذ سیستم توجهی محرک‌محور و کاهش کارایی سیستم هدف‌محور، کارکرد شناختی فرد را تنزل می‌دهد (آیزنک و همکاران</w:t>
      </w:r>
      <w:r>
        <w:rPr>
          <w:rFonts w:ascii="B Nazanin" w:hAnsi="B Nazanin" w:cs="B Nazanin" w:hint="cs"/>
          <w:vertAlign w:val="superscript"/>
          <w:rtl/>
        </w:rPr>
        <w:footnoteReference w:id="61"/>
      </w:r>
      <w:r>
        <w:rPr>
          <w:rFonts w:ascii="B Nazanin" w:hAnsi="B Nazanin" w:cs="B Nazanin" w:hint="cs"/>
          <w:sz w:val="24"/>
          <w:szCs w:val="24"/>
          <w:rtl/>
          <w:lang w:bidi="fa-IR"/>
        </w:rPr>
        <w:t xml:space="preserve">، ۲۰۰۷)؛ مکانیسمی که پیامد آن، اشغال منابع محدود حافظه کاری توسط نگرانی‌های مزاحم و تضعیف ظرفیت تحلیل‌های منطقی چندمرحله‌ای است (بدلی، آیزنک و اندرسون</w:t>
      </w:r>
      <w:r>
        <w:rPr>
          <w:rFonts w:ascii="B Nazanin" w:hAnsi="B Nazanin" w:cs="B Nazanin" w:hint="cs"/>
          <w:vertAlign w:val="superscript"/>
          <w:rtl/>
        </w:rPr>
        <w:footnoteReference w:id="62"/>
      </w:r>
      <w:r>
        <w:rPr>
          <w:rFonts w:ascii="B Nazanin" w:hAnsi="B Nazanin" w:cs="B Nazanin" w:hint="cs"/>
          <w:sz w:val="24"/>
          <w:szCs w:val="24"/>
          <w:rtl/>
          <w:lang w:bidi="fa-IR"/>
        </w:rPr>
        <w:t xml:space="preserve">، ۲۰۲۱). برای یک معامله‌گر، معنای این وضعیت روشن است: ضعف در همان ظرفیت‌هایی که معامله‌گری سودده بر آن‌ها استوار است.</w:t>
      </w:r>
    </w:p>
    <w:p>
      <w:pPr>
        <w:bidi w:val="1"/>
        <w:spacing w:lineRule="exact" w:line="580" w:after="0"/>
        <w:jc w:val="both"/>
      </w:pPr>
      <w:r>
        <w:rPr>
          <w:rFonts w:ascii="B Nazanin" w:hAnsi="B Nazanin" w:cs="B Nazanin" w:hint="cs"/>
          <w:sz w:val="24"/>
          <w:szCs w:val="24"/>
          <w:rtl/>
          <w:lang w:bidi="fa-IR"/>
        </w:rPr>
        <w:t xml:space="preserve">در لایه‌ای عمیق‌تر، نظریه طرحواره‌های ناسازگار اولیه چارچوبی تبیینی برای درک باورهای بنیادینی فراهم می‌آورد که در پسِ واکنش‌های لحظه‌ای معامله‌گران قرار دارند؛ الگوهایی هیجانی و شناختی، فراگیر و پایدار که در پی برآورده نشدن نیازهای هیجانی بنیادین در دوران کودکی شکل گرفته‌اند و مانند فیلترهایی تحریف‌گر، تفسیر فرد از موقعیت‌ها — از جمله موقعیت‌های مالی — را جهت می‌دهند (یانگ و همکاران</w:t>
      </w:r>
      <w:r>
        <w:rPr>
          <w:rFonts w:ascii="B Nazanin" w:hAnsi="B Nazanin" w:cs="B Nazanin" w:hint="cs"/>
          <w:vertAlign w:val="superscript"/>
          <w:rtl/>
        </w:rPr>
        <w:footnoteReference w:id="63"/>
      </w:r>
      <w:r>
        <w:rPr>
          <w:rFonts w:ascii="B Nazanin" w:hAnsi="B Nazanin" w:cs="B Nazanin" w:hint="cs"/>
          <w:sz w:val="24"/>
          <w:szCs w:val="24"/>
          <w:rtl/>
          <w:lang w:bidi="fa-IR"/>
        </w:rPr>
        <w:t xml:space="preserve">، ۲۰۰۳).</w:t>
      </w:r>
    </w:p>
    <w:p>
      <w:pPr>
        <w:bidi w:val="1"/>
        <w:spacing w:lineRule="exact" w:line="580" w:after="0"/>
        <w:jc w:val="both"/>
      </w:pPr>
      <w:r>
        <w:rPr>
          <w:rFonts w:ascii="B Nazanin" w:hAnsi="B Nazanin" w:cs="B Nazanin" w:hint="cs"/>
          <w:sz w:val="24"/>
          <w:szCs w:val="24"/>
          <w:rtl/>
          <w:lang w:bidi="fa-IR"/>
        </w:rPr>
        <w:t xml:space="preserve">این طرحواره‌ها از خاطرات، هیجانات، شناخت‌واره‌ها و احساسات بدنی تشکیل شده‌اند و دارای هسته‌ای هیجانی قدرتمند و دردناک هستند؛ باورهای برآمده از آن‌ها اغلب عمیق، مطلق و ناهشیارند و فرد آن‌ها نه به‌عنوان یک تفسیر، بلکه به‌عنوان حقیقتی بدیهی درباره خود و جهان تجربه می‌کند (آرنتز و جیکوب</w:t>
      </w:r>
      <w:r>
        <w:rPr>
          <w:rFonts w:ascii="B Nazanin" w:hAnsi="B Nazanin" w:cs="B Nazanin" w:hint="cs"/>
          <w:vertAlign w:val="superscript"/>
          <w:rtl/>
        </w:rPr>
        <w:footnoteReference w:id="64"/>
      </w:r>
      <w:r>
        <w:rPr>
          <w:rFonts w:ascii="B Nazanin" w:hAnsi="B Nazanin" w:cs="B Nazanin" w:hint="cs"/>
          <w:sz w:val="24"/>
          <w:szCs w:val="24"/>
          <w:rtl/>
          <w:lang w:bidi="fa-IR"/>
        </w:rPr>
        <w:t xml:space="preserve">، ۲۰۱۲). از سوی دیگر، طرحواره‌ها ساختارهایی منفعل نیستند؛ بلکه به‌طور فعال برای بقای خود تلاش می‌کنند و فرد را به سمت موقعیت‌ها و روابطی سوق می‌دهند که وجود آن‌ها را تأیید کند. همین ویژگی خودتداومی، توضیح می‌دهد که چرا یک معامله‌گر با وجود کسب تجربه‌های تازه، به‌طور مکرر در الگوهای واکنش هیجانی و تصمیم‌گیری مشابه گرفتار می‌ماند (یانگ و همکاران، ۲۰۰۳).</w:t>
      </w:r>
    </w:p>
    <w:p>
      <w:pPr>
        <w:bidi w:val="1"/>
        <w:spacing w:lineRule="exact" w:line="580" w:after="0"/>
        <w:jc w:val="both"/>
      </w:pPr>
      <w:r>
        <w:rPr>
          <w:rFonts w:ascii="B Nazanin" w:hAnsi="B Nazanin" w:cs="B Nazanin" w:hint="cs"/>
          <w:sz w:val="24"/>
          <w:szCs w:val="24"/>
          <w:rtl/>
          <w:lang w:bidi="fa-IR"/>
        </w:rPr>
        <w:t xml:space="preserve">پژوهش‌های گسترده، ارتباط معنادار طرحواره‌های ناسازگار اولیه با انواع رفتارهای خودآسیب‌رسان، به‌ویژه اعتیادهای رفتاری را نشان داده‌اند؛ رفتارهایی که با تکانشگری و جستجوی پاداش فوری مشخص می‌شوند. مطالعات انجام‌شده بر روی قماربازان آسیب‌شناختی — که رفتاری شباهت‌های بسیاری با معامله‌گری پرخطر دارد — حاکی از آن است که طرحواره‌های حوزه‌های «محدودیت‌های مختل» و «بریدگی و طرد» نقش کلیدی در پیش‌بینی این رفتارها ایفا می‌کنند (شوری و همکاران</w:t>
      </w:r>
      <w:r>
        <w:rPr>
          <w:rFonts w:ascii="B Nazanin" w:hAnsi="B Nazanin" w:cs="B Nazanin" w:hint="cs"/>
          <w:vertAlign w:val="superscript"/>
          <w:rtl/>
        </w:rPr>
        <w:footnoteReference w:id="65"/>
      </w:r>
      <w:r>
        <w:rPr>
          <w:rFonts w:ascii="B Nazanin" w:hAnsi="B Nazanin" w:cs="B Nazanin" w:hint="cs"/>
          <w:sz w:val="24"/>
          <w:szCs w:val="24"/>
          <w:rtl/>
          <w:lang w:bidi="fa-IR"/>
        </w:rPr>
        <w:t xml:space="preserve">، ۲۰۱۲؛ لیندبرگ و همکاران</w:t>
      </w:r>
      <w:r>
        <w:rPr>
          <w:rFonts w:ascii="B Nazanin" w:hAnsi="B Nazanin" w:cs="B Nazanin" w:hint="cs"/>
          <w:vertAlign w:val="superscript"/>
          <w:rtl/>
        </w:rPr>
        <w:footnoteReference w:id="66"/>
      </w:r>
      <w:r>
        <w:rPr>
          <w:rFonts w:ascii="B Nazanin" w:hAnsi="B Nazanin" w:cs="B Nazanin" w:hint="cs"/>
          <w:sz w:val="24"/>
          <w:szCs w:val="24"/>
          <w:rtl/>
          <w:lang w:bidi="fa-IR"/>
        </w:rPr>
        <w:t xml:space="preserve">، ۲۰۱۱). انتقال این شواهد به بافت بازارهای مالی تصویر روشنی ترسیم می‌کند: معامله‌گری که طرحواره‌های فعال در این حوزه‌ها را همراه دارد، در شرایط فشار بازار بیشتر مستعد ورود به معاملات کنترل‌نشده و بی‌اعتنایی به قواعد مدیریت ریسک است؛ هرچند آزمون دقیق این پیوند در جامعه معامله‌گران بازارهای مالی همچنان از شکاف‌های کمتر بررسی‌شده ادبیات محسوب می‌شود.</w:t>
      </w:r>
    </w:p>
    <w:p>
      <w:pPr>
        <w:bidi w:val="1"/>
        <w:spacing w:lineRule="exact" w:line="580" w:after="0"/>
        <w:jc w:val="both"/>
      </w:pPr>
      <w:r>
        <w:rPr>
          <w:rFonts w:ascii="B Nazanin" w:hAnsi="B Nazanin" w:cs="B Nazanin" w:hint="cs"/>
          <w:sz w:val="24"/>
          <w:szCs w:val="24"/>
          <w:rtl/>
          <w:lang w:bidi="fa-IR"/>
        </w:rPr>
        <w:t xml:space="preserve">در میان طرحواره‌های مرتبط با رفتار معاملاتی، طرحواره «خویشتن‌داری/خودانضباطی ناکافی» از جایگاه ویژه‌ای برخوردار است؛ ویژگی اصلی این طرحواره، دشواری در تحمل ناکامی، کنترل تکانه و ناتوانی در به تعویق انداختن لذت است (یانگ و همکاران، ۲۰۰۳). معامله‌گر دارای این طرحواره ممکن است دانش کافی درباره اصول مدیریت ریسک داشته باشد، اما در لحظات فشار بازار نتواند به آن اصول پایبند بماند؛ زیرا زیربنای روان‌شناختی پایبندی به قواعد — یعنی بازداری تکانه و تحمل ناراحتی کوتاه‌مدت — در او آسیب‌پذیر است. بنابراین عدم پایبندی به استراتژی معاملاتی از پیش تعیین‌شده و ورود به معاملات پرریسک فراتر از ظرفیت، لزوماً یک کاستی آموزشی نیست؛ این رفتار می‌تواند تجلی رفتاری یک طرحواره عمیق باشد (یانگ و همکاران، ۲۰۰۳).</w:t>
      </w:r>
    </w:p>
    <w:p>
      <w:pPr>
        <w:bidi w:val="1"/>
        <w:spacing w:lineRule="exact" w:line="580" w:after="0"/>
        <w:jc w:val="both"/>
      </w:pPr>
      <w:r>
        <w:rPr>
          <w:rFonts w:ascii="B Nazanin" w:hAnsi="B Nazanin" w:cs="B Nazanin" w:hint="cs"/>
          <w:sz w:val="24"/>
          <w:szCs w:val="24"/>
          <w:rtl/>
          <w:lang w:bidi="fa-IR"/>
        </w:rPr>
        <w:t xml:space="preserve">خروجی تعامل این عوامل درونی با محیط پرفشار بازار، در قالب رفتارهای مالی پرخطر تبلور می‌یابد؛ تصمیمات و اعمالی که در آن‌ها سطح ریسک پذیرفته‌شده نامتناسب با بازده احتمالی است و بیش از آنکه محصول تحلیل منطقی باشد، از هیجانات کنترل‌نشده، سوگیری‌های شناختی و تکانشگری نشأت می‌گیرد (بیکر و نوفسینگر</w:t>
      </w:r>
      <w:r>
        <w:rPr>
          <w:rFonts w:ascii="B Nazanin" w:hAnsi="B Nazanin" w:cs="B Nazanin" w:hint="cs"/>
          <w:vertAlign w:val="superscript"/>
          <w:rtl/>
        </w:rPr>
        <w:footnoteReference w:id="67"/>
      </w:r>
      <w:r>
        <w:rPr>
          <w:rFonts w:ascii="B Nazanin" w:hAnsi="B Nazanin" w:cs="B Nazanin" w:hint="cs"/>
          <w:sz w:val="24"/>
          <w:szCs w:val="24"/>
          <w:rtl/>
          <w:lang w:bidi="fa-IR"/>
        </w:rPr>
        <w:t xml:space="preserve">، ۲۰۱۰). ابعاد کلیدی این سازه در ادبیات مالی رفتاری چهار موردند: معامله‌گری بیش از حد</w:t>
      </w:r>
      <w:r>
        <w:rPr>
          <w:rFonts w:ascii="B Nazanin" w:hAnsi="B Nazanin" w:cs="B Nazanin" w:hint="cs"/>
          <w:vertAlign w:val="superscript"/>
          <w:rtl/>
        </w:rPr>
        <w:footnoteReference w:id="8"/>
      </w:r>
      <w:r>
        <w:rPr>
          <w:rFonts w:ascii="B Nazanin" w:hAnsi="B Nazanin" w:cs="B Nazanin" w:hint="cs"/>
          <w:sz w:val="24"/>
          <w:szCs w:val="24"/>
          <w:rtl/>
          <w:lang w:bidi="fa-IR"/>
        </w:rPr>
        <w:t xml:space="preserve"> (باربر و اودین</w:t>
      </w:r>
      <w:r>
        <w:rPr>
          <w:rFonts w:ascii="B Nazanin" w:hAnsi="B Nazanin" w:cs="B Nazanin" w:hint="cs"/>
          <w:vertAlign w:val="superscript"/>
          <w:rtl/>
        </w:rPr>
        <w:footnoteReference w:id="68"/>
      </w:r>
      <w:r>
        <w:rPr>
          <w:rFonts w:ascii="B Nazanin" w:hAnsi="B Nazanin" w:cs="B Nazanin" w:hint="cs"/>
          <w:sz w:val="24"/>
          <w:szCs w:val="24"/>
          <w:rtl/>
          <w:lang w:bidi="fa-IR"/>
        </w:rPr>
        <w:t xml:space="preserve">، ۲۰۰۰)؛ اثر گرایش</w:t>
      </w:r>
      <w:r>
        <w:rPr>
          <w:rFonts w:ascii="B Nazanin" w:hAnsi="B Nazanin" w:cs="B Nazanin" w:hint="cs"/>
          <w:vertAlign w:val="superscript"/>
          <w:rtl/>
        </w:rPr>
        <w:footnoteReference w:id="9"/>
      </w:r>
      <w:r>
        <w:rPr>
          <w:rFonts w:ascii="B Nazanin" w:hAnsi="B Nazanin" w:cs="B Nazanin" w:hint="cs"/>
          <w:sz w:val="24"/>
          <w:szCs w:val="24"/>
          <w:rtl/>
          <w:lang w:bidi="fa-IR"/>
        </w:rPr>
        <w:t xml:space="preserve"> (شفرین و استاتمن</w:t>
      </w:r>
      <w:r>
        <w:rPr>
          <w:rFonts w:ascii="B Nazanin" w:hAnsi="B Nazanin" w:cs="B Nazanin" w:hint="cs"/>
          <w:vertAlign w:val="superscript"/>
          <w:rtl/>
        </w:rPr>
        <w:footnoteReference w:id="69"/>
      </w:r>
      <w:r>
        <w:rPr>
          <w:rFonts w:ascii="B Nazanin" w:hAnsi="B Nazanin" w:cs="B Nazanin" w:hint="cs"/>
          <w:sz w:val="24"/>
          <w:szCs w:val="24"/>
          <w:rtl/>
          <w:lang w:bidi="fa-IR"/>
        </w:rPr>
        <w:t xml:space="preserve">، ۱۹۸۵)؛ رفتار گله‌ای</w:t>
      </w:r>
      <w:r>
        <w:rPr>
          <w:rFonts w:ascii="B Nazanin" w:hAnsi="B Nazanin" w:cs="B Nazanin" w:hint="cs"/>
          <w:vertAlign w:val="superscript"/>
          <w:rtl/>
        </w:rPr>
        <w:footnoteReference w:id="10"/>
      </w:r>
      <w:r>
        <w:rPr>
          <w:rFonts w:ascii="B Nazanin" w:hAnsi="B Nazanin" w:cs="B Nazanin" w:hint="cs"/>
          <w:sz w:val="24"/>
          <w:szCs w:val="24"/>
          <w:rtl/>
          <w:lang w:bidi="fa-IR"/>
        </w:rPr>
        <w:t xml:space="preserve"> (هوانگ و سالمون، ۲۰۰۴)؛ و تمرکز ناکافی سبد دارایی (گوتزمن و کومار</w:t>
      </w:r>
      <w:r>
        <w:rPr>
          <w:rFonts w:ascii="B Nazanin" w:hAnsi="B Nazanin" w:cs="B Nazanin" w:hint="cs"/>
          <w:vertAlign w:val="superscript"/>
          <w:rtl/>
        </w:rPr>
        <w:footnoteReference w:id="70"/>
      </w:r>
      <w:r>
        <w:rPr>
          <w:rFonts w:ascii="B Nazanin" w:hAnsi="B Nazanin" w:cs="B Nazanin" w:hint="cs"/>
          <w:sz w:val="24"/>
          <w:szCs w:val="24"/>
          <w:rtl/>
          <w:lang w:bidi="fa-IR"/>
        </w:rPr>
        <w:t xml:space="preserve">، ۲۰۰۸).</w:t>
      </w:r>
    </w:p>
    <w:p>
      <w:pPr>
        <w:bidi w:val="1"/>
        <w:spacing w:lineRule="exact" w:line="580" w:after="0"/>
        <w:jc w:val="both"/>
      </w:pPr>
      <w:r>
        <w:rPr>
          <w:rFonts w:ascii="B Nazanin" w:hAnsi="B Nazanin" w:cs="B Nazanin" w:hint="cs"/>
          <w:sz w:val="24"/>
          <w:szCs w:val="24"/>
          <w:rtl/>
          <w:lang w:bidi="fa-IR"/>
        </w:rPr>
        <w:t xml:space="preserve">برای هر یک از این ابعاد، شواهد تجربی پشتوانه‌ای قابل توجه وجود دارد. در بُعد معامله‌گری بیش از حد، پژوهش کلاسیک باربر و اودین (۲۰۰۰) نشان داد که معامله‌گران فردی به دلیل سوگیری بیش‌اطمینانی و تحمل هزینه‌های معاملاتی بالا، بازدهی به‌طور معناداری پایین‌تر از میانگین بازار کسب می‌کنند؛ در اینجا، حجم بالای معاملات نه یک ضرورت اطلاعاتی، بلکه رفتاری روان‌شناختی و پرهزینه است. در بُعد اثر گرایش نیز سرمایه‌گذاران تحت تأثیر نقطه مرجع و زیان‌گریزی مطرح‌شده در نظریه چشم‌انداز، تمایل دارند سهام سودده خود را زودهنگام بفروشند تا لذت شناسایی سود را تجربه کنند، اما سهام زیان‌ده را برای اجتناب از درد تحقق زیان، نگه دارند (شفرین و استاتمن، ۱۹۸۵)؛ الگویی که در بلندمدت بازدهی سبد را کاهش می‌دهد.</w:t>
      </w:r>
    </w:p>
    <w:p>
      <w:pPr>
        <w:bidi w:val="1"/>
        <w:spacing w:lineRule="exact" w:line="580" w:after="0"/>
        <w:jc w:val="both"/>
      </w:pPr>
      <w:r>
        <w:rPr>
          <w:rFonts w:ascii="B Nazanin" w:hAnsi="B Nazanin" w:cs="B Nazanin" w:hint="cs"/>
          <w:sz w:val="24"/>
          <w:szCs w:val="24"/>
          <w:rtl/>
          <w:lang w:bidi="fa-IR"/>
        </w:rPr>
        <w:t xml:space="preserve">در بُعد رفتار گله‌ای، شواهد نشان می‌دهند که این پدیده به‌ویژه در شرایط استرس بازار و نوسانات بالا تشدید می‌شود؛ در چنین شرایطی، افراد رفتار دیگران را منبع اطلاعات تلقی کرده و به تقلید اجتماعی روی می‌آورند؛ فرآیندی که می‌تواند با شکل‌گیری حباب‌های قیمتی کاذب و سقوط‌های ناگهانی همراه باشد (هوانگ و سالمون، ۲۰۰۴). در بُعد تمرکز ناکافی سبد دارایی نیز سرمایه‌گذاران به دلیل سوگیری‌هایی مانند تمایل به آشنایی، سرمایه خود را در مجموعه محدودی از دارایی‌ها متمرکز می‌کنند و خود را در معرض ریسک‌های غیرمتنوع‌شده قرار می‌دهند (گوتزمن و کومار، ۲۰۰۸). این ابعاد در ادبیات مالی رفتاری برای توصیف جلوه‌های گوناگون رفتار مالی پرخطر به‌کار می‌روند؛ بااین‌حال، ابزار عملیاتی پژوهش حاضر مقیاس تحمل ریسک مالی گرابل و لایتون است. بنابراین، این ابزار سنجش مستقیم معامله‌گری بیش‌ازحد، رفتار گله‌ای، اثر گرایش یا تمرکز سبد نیست و نتایج باید بر اساس شاخص تحمل ریسک مالی تفسیر شوند.</w:t>
      </w:r>
    </w:p>
    <w:p>
      <w:pPr>
        <w:pStyle w:val="Heading3"/>
        <w:bidi w:val="1"/>
        <w:jc w:val="right"/>
      </w:pPr>
      <w:r>
        <w:rPr>
          <w:rFonts w:ascii="B Nazanin" w:hAnsi="B Nazanin" w:cs="B Nazanin" w:hint="cs"/>
          <w:b/>
          <w:bCs/>
          <w:sz w:val="26"/>
          <w:szCs w:val="26"/>
          <w:rtl/>
          <w:lang w:bidi="fa-IR"/>
        </w:rPr>
        <w:t xml:space="preserve">شکاف تبیینی: فقدان مدل میانجی‌گر در جامعه معامله‌گران</w:t>
      </w:r>
    </w:p>
    <w:p>
      <w:pPr>
        <w:bidi w:val="1"/>
        <w:spacing w:lineRule="exact" w:line="580" w:after="0"/>
        <w:jc w:val="both"/>
      </w:pPr>
      <w:r>
        <w:rPr>
          <w:rFonts w:ascii="B Nazanin" w:hAnsi="B Nazanin" w:cs="B Nazanin" w:hint="cs"/>
          <w:sz w:val="24"/>
          <w:szCs w:val="24"/>
          <w:rtl/>
          <w:lang w:bidi="fa-IR"/>
        </w:rPr>
        <w:t xml:space="preserve">با وجود این شواهد، یک شکاف تبیینی آشکار در ادبیات علمی وجود دارد. اغلب مطالعات به بررسی روابط دوجانبه پرداخته‌اند، اما سازوکار روان‌شناختی که نشان دهد چگونه یک ویژگی شخصیتی پایدار مانند اضطراب صفتی، از طریق یک فیلتر شناختی عمیق مانند طرحواره‌های ناسازگار اولیه، به رفتارهای مالی مشخص تبدیل می‌شود — به‌ویژه در جامعه معامله‌گران — به ندرت مورد بررسی قرار گرفته است. پژوهش حاضر برای پر کردن همین شکاف، مدل میانجی‌گری را بر پایه مدل استعداد-استرس</w:t>
      </w:r>
      <w:r>
        <w:rPr>
          <w:rFonts w:ascii="B Nazanin" w:hAnsi="B Nazanin" w:cs="B Nazanin" w:hint="cs"/>
          <w:vertAlign w:val="superscript"/>
          <w:rtl/>
        </w:rPr>
        <w:footnoteReference w:id="11"/>
      </w:r>
      <w:r>
        <w:rPr>
          <w:rFonts w:ascii="B Nazanin" w:hAnsi="B Nazanin" w:cs="B Nazanin" w:hint="cs"/>
          <w:sz w:val="24"/>
          <w:szCs w:val="24"/>
          <w:rtl/>
          <w:lang w:bidi="fa-IR"/>
        </w:rPr>
        <w:t xml:space="preserve"> (زاکرمن</w:t>
      </w:r>
      <w:r>
        <w:rPr>
          <w:rFonts w:ascii="B Nazanin" w:hAnsi="B Nazanin" w:cs="B Nazanin" w:hint="cs"/>
          <w:vertAlign w:val="superscript"/>
          <w:rtl/>
        </w:rPr>
        <w:footnoteReference w:id="71"/>
      </w:r>
      <w:r>
        <w:rPr>
          <w:rFonts w:ascii="B Nazanin" w:hAnsi="B Nazanin" w:cs="B Nazanin" w:hint="cs"/>
          <w:sz w:val="24"/>
          <w:szCs w:val="24"/>
          <w:rtl/>
          <w:lang w:bidi="fa-IR"/>
        </w:rPr>
        <w:t xml:space="preserve">، ۱۹۹۹) پیشنهاد می‌کند؛ مدلی که در آن اضطراب صفتی به‌عنوان استعداد آسیب‌پذیری، در تعامل با استرس‌های بازار فعال شده و از مجرای فعال‌سازی طرحواره‌ها، می‌تواند با رفتار مالی نهایی ارتباط داشته باشد. مسئله اصلی پژوهش نیز همین است: تبیین و آزمون تجربی همین نقش میانجی‌گر.</w:t>
      </w:r>
    </w:p>
    <w:p>
      <w:pPr>
        <w:bidi w:val="1"/>
        <w:spacing w:lineRule="exact" w:line="580" w:after="0"/>
        <w:jc w:val="both"/>
      </w:pPr>
      <w:r>
        <w:rPr>
          <w:rFonts w:ascii="B Nazanin" w:hAnsi="B Nazanin" w:cs="B Nazanin" w:hint="cs"/>
          <w:sz w:val="24"/>
          <w:szCs w:val="24"/>
          <w:rtl/>
          <w:lang w:bidi="fa-IR"/>
        </w:rPr>
        <w:t xml:space="preserve">برای تبیین این تبدیل، پژوهش حاضر به منطق مدل استعداد-استرس تکیه می‌کند (زاکرمن، ۱۹۹۹). بر اساس این مدل، اضطراب صفتی به‌عنوان یک آسیب‌پذیری پایدار، لزوماً به تنهایی و به‌طور مستقیم به رفتار مالی پرخطر نمی‌انجامد؛ بلکه استرس‌های بازار — نوسانات شدید، زیان‌های سنگین یا فشار تصمیم‌گیری‌های شتاب‌زده — این استعداد را فعال می‌کنند و طرحواره‌های ناسازگار فرد را از حالت خفته به حالت فعال درمی‌آورند. در این لحظه، طرحواره‌های فعال‌شده هستند که تفسیر معامله‌گر از موقعیت را شکل داده و از طریق سبک‌های مقابله‌ای ناسازگار — نظیر تسلیم در برابر طرحواره یا جبران افراطی — می‌توانند با رفتار مالی نهایی ارتباط داشته باشند. به این ترتیب، طرحواره حلقه گمشده زنجیره تبدیل هیجان به عمل در بازارهای مالی محسوب می‌شود.</w:t>
      </w:r>
    </w:p>
    <w:p>
      <w:pPr>
        <w:bidi w:val="1"/>
        <w:spacing w:lineRule="exact" w:line="580" w:after="0"/>
        <w:jc w:val="both"/>
      </w:pPr>
      <w:r>
        <w:rPr>
          <w:rFonts w:ascii="B Nazanin" w:hAnsi="B Nazanin" w:cs="B Nazanin" w:hint="cs"/>
          <w:sz w:val="24"/>
          <w:szCs w:val="24"/>
          <w:rtl/>
          <w:lang w:bidi="fa-IR"/>
        </w:rPr>
        <w:t xml:space="preserve">تمرکز بر جامعه معامله‌گران بازارهای مالی نیز مبتنی بر یک ضرورت روش‌شناختی است: این افراد برخلاف جمعیت عمومی، به‌طور مداوم در موقعیت تصمیم‌گیری مالی واقعی با پیامدهای عینی و قابل اندازه‌گیری قرار دارند و واکنش‌های رفتاری آن‌ها به استرس، در بافتی واقعی قابل مطالعه است. آزمون تجربی مدل میانجی‌گری در این جامعه، نه تنها امکان ارزیابی مکانیسم نظری پیشنهادی را فراهم می‌آورد، بلکه می‌تواند مبنایی شواهد‌محور برای طراحی مداخلات روان‌شناختی ویژه همین گروه ایجاد کند. از این رو، مسئله پژوهش حاضر از سطح توصیف همبستگی‌ها فراتر رفته و به دنبال پاسخ به پرسش تبیینی «چگونه و از طریق چه فرآیندی» است؛ پرسشی که پاسخ آن، در گسترش ادبیات روان‌شناسی مالی و ارتقای سلامت مالی معامله‌گران سهمی مستقیم خواهد داشت.</w:t>
      </w:r>
    </w:p>
    <w:p>
      <w:pPr>
        <w:pStyle w:val="Heading2"/>
        <w:bidi w:val="1"/>
        <w:jc w:val="right"/>
        <w:outlineLvl w:val="1"/>
      </w:pPr>
      <w:r>
        <w:rPr>
          <w:rFonts w:ascii="B Nazanin" w:hAnsi="B Nazanin" w:cs="B Nazanin" w:hint="cs"/>
          <w:b/>
          <w:bCs/>
          <w:sz w:val="28"/>
          <w:szCs w:val="28"/>
          <w:rtl/>
          <w:lang w:bidi="fa-IR"/>
        </w:rPr>
        <w:t xml:space="preserve">۱-۳. اهمیت و ضرورت پژوهش</w:t>
      </w:r>
    </w:p>
    <w:p>
      <w:pPr>
        <w:pStyle w:val="Heading3"/>
        <w:bidi w:val="1"/>
        <w:jc w:val="right"/>
      </w:pPr>
      <w:r>
        <w:rPr>
          <w:rFonts w:ascii="B Nazanin" w:hAnsi="B Nazanin" w:cs="B Nazanin" w:hint="cs"/>
          <w:b/>
          <w:bCs/>
          <w:sz w:val="26"/>
          <w:szCs w:val="26"/>
          <w:rtl/>
          <w:lang w:bidi="fa-IR"/>
        </w:rPr>
        <w:t xml:space="preserve">اهمیت نظری</w:t>
      </w:r>
    </w:p>
    <w:p>
      <w:pPr>
        <w:bidi w:val="1"/>
        <w:spacing w:lineRule="exact" w:line="580" w:after="0"/>
        <w:jc w:val="both"/>
      </w:pPr>
      <w:r>
        <w:rPr>
          <w:rFonts w:ascii="B Nazanin" w:hAnsi="B Nazanin" w:cs="B Nazanin" w:hint="cs"/>
          <w:sz w:val="24"/>
          <w:szCs w:val="24"/>
          <w:rtl/>
          <w:lang w:bidi="fa-IR"/>
        </w:rPr>
        <w:t xml:space="preserve">اهمیت بنیادی و ضرورت اجتناب‌ناپذیر اجرای پژوهش حاضر، از همگرایی و تلاقی سه منظر کلیدی و متمایز نظری، کاربردی و اجتماعی-فرهنگی نشأت می‌گیرد که هر یک ابعاد مختلفی از چالش‌های رفتاری در بازارهای مالی را پوشش می‌دهند. در گام نخست و از منظر «اهمیت نظری و دانشی»، این مطالعه با هدف شناسایی دقیق و پر کردن یک شکاف تبیینی مشخص، عمیق و مغفول‌مانده در ادبیات علمی موجود، از جایگاه و اهمیت قابل توجهی برخوردار است. اگرچه حجم گسترده‌ای از تحقیقات پیشین در حوزه‌های روان‌شناسی و مالی رفتاری، به بررسی روابط دوجانبه، خطی و همبستگی ساده میان ویژگی‌های شخصیتی (مانند روان‌رنجورخویی) و عملکرد سرمایه‌گذاری پرداخته‌اند، اما دانش موجود در مورد ماهیت پیچیده «فرآیند» و درک دقیق «سازوکار روان‌شناختی» واسطه‌ای که این متغیرهای بنیادین را به رفتارهای عینی و مشاهده‌پذیر در بازار پیوند می‌دهد، همچنان محدود و ناکافی است.</w:t>
      </w:r>
    </w:p>
    <w:p>
      <w:pPr>
        <w:bidi w:val="1"/>
        <w:spacing w:lineRule="exact" w:line="580" w:after="0"/>
        <w:jc w:val="both"/>
      </w:pPr>
      <w:r>
        <w:rPr>
          <w:rFonts w:ascii="B Nazanin" w:hAnsi="B Nazanin" w:cs="B Nazanin" w:hint="cs"/>
          <w:sz w:val="24"/>
          <w:szCs w:val="24"/>
          <w:rtl/>
          <w:lang w:bidi="fa-IR"/>
        </w:rPr>
        <w:t xml:space="preserve">این تحقیق با ارائه، تدوین و آزمون تجربی یک مدل جامع میانجی‌گری، تلاشی نظام‌مند برای عبور از سطح توصیف صرف پدیده‌ها و برداشتن گامی بلند به سوی «تبیین فرایندی» آن‌هاست. این رویکرد نوآورانه، با وارد کردن متغیرهای عمیق شناختی (طرحواره‌ها) به معادله تصمیم‌گیری مالی، نه تنها به ادبیات روان‌شناسی شخصیت عمق می‌بخشد و کاربرد آن را در زمینه‌های نوین و عملیاتی آزمون می‌کند، بلکه با ارائه شواهدی از نقش تعیین‌کننده سازه‌های بالینی در رفتارهای اقتصادی، مرزهای دانش مالی رفتاری را نیز گسترش می‌دهد. (لوریولا و لوین</w:t>
      </w:r>
      <w:r>
        <w:rPr>
          <w:rFonts w:ascii="B Nazanin" w:hAnsi="B Nazanin" w:cs="B Nazanin" w:hint="cs"/>
          <w:vertAlign w:val="superscript"/>
          <w:rtl/>
        </w:rPr>
        <w:footnoteReference w:id="72"/>
      </w:r>
      <w:r>
        <w:rPr>
          <w:rFonts w:ascii="B Nazanin" w:hAnsi="B Nazanin" w:cs="B Nazanin" w:hint="cs"/>
          <w:sz w:val="24"/>
          <w:szCs w:val="24"/>
          <w:rtl/>
          <w:lang w:bidi="fa-IR"/>
        </w:rPr>
        <w:t xml:space="preserve">، ۲۰۰۱)</w:t>
      </w:r>
    </w:p>
    <w:p>
      <w:pPr>
        <w:bidi w:val="1"/>
        <w:spacing w:lineRule="exact" w:line="580" w:after="0"/>
        <w:jc w:val="both"/>
      </w:pPr>
      <w:r>
        <w:rPr>
          <w:rFonts w:ascii="B Nazanin" w:hAnsi="B Nazanin" w:cs="B Nazanin" w:hint="cs"/>
          <w:sz w:val="24"/>
          <w:szCs w:val="24"/>
          <w:rtl/>
          <w:lang w:bidi="fa-IR"/>
        </w:rPr>
        <w:t xml:space="preserve">علاوه بر این، پژوهش حاضر با اتخاذ یک رویکرد بین‌رشته‌ای خلاقانه و گسترش جسورانه کاربرد مفاهیم بنیادین نظریه طرحواره‌درمانی به حوزه رفتارهای غیربالینی و اقتصادی، به ادبیات غنی روان‌شناسی بالینی و شناختی کمک شایانی می‌کند. این مطالعه با آزمون کارایی و قدرت تبیینی مدل‌های آسیب‌شناسی روانی (مانند مدل طرحواره‌های ناسازگار یانگ) در بافت چالش‌برانگیز و استرس‌زای بازارهای مالی، نشان می‌دهد که چگونه سازه‌های عمیق شخصیتی و باورهای ناکارآمد، نه تنها در زمینه‌های روابط بین‌فردی و سلامت روان، بلکه در تصمیم‌گیری‌های حیاتی مالی و مدیریت سرمایه نیز نقش‌آفرینی می‌کنند (یانگ و همکاران، ۲۰۰۳)</w:t>
      </w:r>
    </w:p>
    <w:p>
      <w:pPr>
        <w:bidi w:val="1"/>
        <w:spacing w:lineRule="exact" w:line="580" w:after="0"/>
        <w:jc w:val="both"/>
      </w:pPr>
      <w:r>
        <w:rPr>
          <w:rFonts w:ascii="B Nazanin" w:hAnsi="B Nazanin" w:cs="B Nazanin" w:hint="cs"/>
          <w:sz w:val="24"/>
          <w:szCs w:val="24"/>
          <w:rtl/>
          <w:lang w:bidi="fa-IR"/>
        </w:rPr>
        <w:t xml:space="preserve">از سوی دیگر، این تحقیق با معرفی یک سازوکار روان‌شناختی عمیق و لایه‌بندی شده که فراتر از سوگیری‌های شناختی سطحی عمل می‌کند، به ادبیات رو به رشد اقتصاد رفتاری غنا و عمق می‌بخشد. در حالی که مدل‌های فعلی این حوزه عمدتاً بر توصیف خطاهای تصمیم‌گیری (مانند زیان‌گریزی) متمرکز هستند، این پژوهش با تبیین ریشه‌های شخصیتی و تحولی این رفتارها، درک ماهیت غیرعقلانی رفتار انسان در بازار را کامل‌تر کرده و بینش‌های جدیدی برای طراحی مداخلات اصلاحی فراهم می‌آورد (تیلر، ۲۰۱۶).</w:t>
      </w:r>
    </w:p>
    <w:p>
      <w:pPr>
        <w:bidi w:val="1"/>
        <w:spacing w:lineRule="exact" w:line="580" w:after="0"/>
        <w:jc w:val="both"/>
      </w:pPr>
      <w:r>
        <w:rPr>
          <w:rFonts w:ascii="B Nazanin" w:hAnsi="B Nazanin" w:cs="B Nazanin" w:hint="cs"/>
          <w:sz w:val="24"/>
          <w:szCs w:val="24"/>
          <w:rtl/>
          <w:lang w:bidi="fa-IR"/>
        </w:rPr>
        <w:t xml:space="preserve">از منظر دیگر، پژوهش حاضر پاسخی است به ضرورت همگرایی میان روان‌شناسی بالینی و اقتصاد مالی؛ همگرایی‌ای که پیشگامان اقتصاد رفتاری بر آن تأکید دارند، زیرا انحراف‌های نظام‌مند تصمیم‌گیری انسان نه خطاهایی گذرا، بلکه الگوهایی ریشه‌دار در شخصیت و شناخت او هستند (تیلر، ۲۰۱۶). وارد کردن سازه‌های عمیق بالینی، مانند طرحواره‌های ناسازگار اولیه، به تبیین این الگوها می‌تواند افق تازه‌ای در فهم رفتار مالی بگشاید و پایه تجربی لازم برای طراحی مداخلاتی را فراهم آورد که تاکنون عمدتاً به شکل آموزش‌های عمومی ارائه شده‌اند.</w:t>
      </w:r>
    </w:p>
    <w:p>
      <w:pPr>
        <w:pStyle w:val="Heading3"/>
        <w:bidi w:val="1"/>
        <w:jc w:val="right"/>
      </w:pPr>
      <w:r>
        <w:rPr>
          <w:rFonts w:ascii="B Nazanin" w:hAnsi="B Nazanin" w:cs="B Nazanin" w:hint="cs"/>
          <w:b/>
          <w:bCs/>
          <w:sz w:val="26"/>
          <w:szCs w:val="26"/>
          <w:rtl/>
          <w:lang w:bidi="fa-IR"/>
        </w:rPr>
        <w:t xml:space="preserve">اهمیت کاربردی (در سطح معامله‌گران و نهادهای مالی)</w:t>
      </w:r>
    </w:p>
    <w:p>
      <w:pPr>
        <w:bidi w:val="1"/>
        <w:spacing w:lineRule="exact" w:line="580" w:after="0"/>
        <w:jc w:val="both"/>
      </w:pPr>
      <w:r>
        <w:rPr>
          <w:rFonts w:ascii="B Nazanin" w:hAnsi="B Nazanin" w:cs="B Nazanin" w:hint="cs"/>
          <w:sz w:val="24"/>
          <w:szCs w:val="24"/>
          <w:rtl/>
          <w:lang w:bidi="fa-IR"/>
        </w:rPr>
        <w:t xml:space="preserve">فراتر از ابعاد تئوریک و کمک به گسترش مرزهای دانش نظری، یافته‌های این پژوهش دارای اهمیت کاربردی و عملیاتی ملموسی برای ذینفعان متعدد، از مشاوران مالی و سرمایه‌گذاری گرفته تا متخصصان سلامت روان و خود معامله‌گران است. در دنیای واقعی و پیچیده امروز، متخصصان روان‌درمانی و روان‌شناسان بالینی به‌طور فزاینده‌ای با طیف وسیعی از مراجعانی مواجه می‌شوند که مشکلات مالی، زیان‌های سنگین در بورس و اعتیادهای معاملاتی، بخش عمده و تعیین‌کننده‌ای از منبع استرس مزمن، اضطراب و آشفتگی روانی آن‌ها را تشکیل می‌دهد. درک دقیق ریشه‌های این رفتارها برای تدوین مداخلات موثر ضروری است.</w:t>
      </w:r>
    </w:p>
    <w:p>
      <w:pPr>
        <w:bidi w:val="1"/>
        <w:spacing w:lineRule="exact" w:line="580" w:after="0"/>
        <w:jc w:val="both"/>
      </w:pPr>
      <w:r>
        <w:rPr>
          <w:rFonts w:ascii="B Nazanin" w:hAnsi="B Nazanin" w:cs="B Nazanin" w:hint="cs"/>
          <w:sz w:val="24"/>
          <w:szCs w:val="24"/>
          <w:rtl/>
          <w:lang w:bidi="fa-IR"/>
        </w:rPr>
        <w:t xml:space="preserve">نتایج کاربردی این پژوهش، با شناسایی دقیق و مبتنی بر شواهد طرحواره‌های کلیدی و باورهای بنیادین ناکارآمدی که به‌طور نظام‌مند به رفتارهای مالی پرخطر دامن می‌زنند، می‌تواند مبنایی علمی و عملیاتی برای طراحی «ابزارهای غربالگری هدفمند» و توسعه «پروتکل‌های درمانی کوتاه‌مدت و متمرکز» (نظیر طرحواره‌درمانی متمرکز بر عملکرد مالی) فراهم آورد. این ابزارها به متخصصان کمک می‌کند تا افراد مستعد آسیب‌پذیری در برابر نوسانات بازار را پیش از وقوع بحران‌های مالی شناسایی و ایمن‌سازی کنند.</w:t>
      </w:r>
    </w:p>
    <w:p>
      <w:pPr>
        <w:bidi w:val="1"/>
        <w:spacing w:lineRule="exact" w:line="580" w:after="0"/>
        <w:jc w:val="both"/>
      </w:pPr>
      <w:r>
        <w:rPr>
          <w:rFonts w:ascii="B Nazanin" w:hAnsi="B Nazanin" w:cs="B Nazanin" w:hint="cs"/>
          <w:sz w:val="24"/>
          <w:szCs w:val="24"/>
          <w:rtl/>
          <w:lang w:bidi="fa-IR"/>
        </w:rPr>
        <w:t xml:space="preserve">از سوی دیگر، و شاید در مهم‌ترین سطح کاربرد، یافته‌های این پژوهش می‌تواند نقشی تحول‌آفرین در افزایش «خودآگاهی روان‌شناختی» و بینش در خود جامعه معامله‌گران ایفا کند. درک عمیق این واقعیت که چگونه ویژگی‌های شخصیتی پایدار و «تله‌های زندگی» (طرحواره‌ها) ممکن است به صورت ناخودآگاه و پنهان بر قضاوت‌ها و تصمیمات لحظه‌ای آن‌ها تأثیر بگذارد، اولین و مهم‌ترین گام برای توسعه مکانیزم‌های خودتنظیمی، طراحی سیستم‌های هشدار شخصی و تدوین «قوانین رفتاری سخت‌گیرانه» است که می‌تواند معامله‌گر را در برابر تصمیمات تکانشی، هیجانی و ویرانگر محافظت نماید (فنتون-اکریوی و همکاران</w:t>
      </w:r>
      <w:r>
        <w:rPr>
          <w:rFonts w:ascii="B Nazanin" w:hAnsi="B Nazanin" w:cs="B Nazanin" w:hint="cs"/>
          <w:vertAlign w:val="superscript"/>
          <w:rtl/>
        </w:rPr>
        <w:footnoteReference w:id="73"/>
      </w:r>
      <w:r>
        <w:rPr>
          <w:rFonts w:ascii="B Nazanin" w:hAnsi="B Nazanin" w:cs="B Nazanin" w:hint="cs"/>
          <w:sz w:val="24"/>
          <w:szCs w:val="24"/>
          <w:rtl/>
          <w:lang w:bidi="fa-IR"/>
        </w:rPr>
        <w:t xml:space="preserve">، ۲۰۱۲).</w:t>
      </w:r>
    </w:p>
    <w:p>
      <w:pPr>
        <w:bidi w:val="1"/>
        <w:spacing w:lineRule="exact" w:line="580" w:after="0"/>
        <w:jc w:val="both"/>
      </w:pPr>
      <w:r>
        <w:rPr>
          <w:rFonts w:ascii="B Nazanin" w:hAnsi="B Nazanin" w:cs="B Nazanin" w:hint="cs"/>
          <w:sz w:val="24"/>
          <w:szCs w:val="24"/>
          <w:rtl/>
          <w:lang w:bidi="fa-IR"/>
        </w:rPr>
        <w:t xml:space="preserve">علاوه بر ابعاد فردی و بالینی، نتایج کاربردی این پژوهش می‌تواند در سطح کلان‌تر و سازمانی، تحولی در رویکرد نهادهای مالی و آموزشی (نظیر کارگزاری‌ها، شرکت‌های تأمین سرمایه و آموزشگاه‌های معامله‌گری) ایجاد کند. این نهادها که نقش اصلی را در آموزش، مشاوره و ارائه پلتفرم‌های معاملاتی به عموم جامعه بر عهده دارند، می‌توانند با بهره‌گیری از شواهد علمی این تحقیق، سرفصل‌های آموزشی خود را فراتر از مباحث صرفاً فنی و تکنیکال گسترش داده و ماژول‌های تخصصی روان‌شناسی معامله‌گری و مدیریت هیجان را به برنامه‌های درسی و بسته‌های آموزشی خود بیفزایند.</w:t>
      </w:r>
    </w:p>
    <w:p>
      <w:pPr>
        <w:bidi w:val="1"/>
        <w:spacing w:lineRule="exact" w:line="580" w:after="0"/>
        <w:jc w:val="both"/>
      </w:pPr>
      <w:r>
        <w:rPr>
          <w:rFonts w:ascii="B Nazanin" w:hAnsi="B Nazanin" w:cs="B Nazanin" w:hint="cs"/>
          <w:sz w:val="24"/>
          <w:szCs w:val="24"/>
          <w:rtl/>
          <w:lang w:bidi="fa-IR"/>
        </w:rPr>
        <w:t xml:space="preserve">این اقدام استراتژیک، نه تنها کیفیت آموزش و مهارت‌افزایی سرمایه‌گذاران را ارتقا می‌بخشد، بلکه به‌عنوان گامی عملی در جهت ایفای مسئولیت اجتماعی شرکتی در قبال سلامت مالی، روانی و امنیت سرمایه مشتریان تلقی می‌گردد. با آگاه‌سازی فعالانه سرمایه‌گذاران نسبت به خطرات شناختی و تله‌های روانی، این نهادها می‌توانند به‌طور موثر از وقوع زیان‌های هیجانی و فاجعه‌بار جلوگیری کرده و به پایداری بلندمدت و سلامت کل اکوسیستم بازار سرمایه کمک نمایند (بیکر و نوفسینگر، ۲۰۱۰).</w:t>
      </w:r>
    </w:p>
    <w:p>
      <w:pPr>
        <w:bidi w:val="1"/>
        <w:spacing w:lineRule="exact" w:line="580" w:after="0"/>
        <w:jc w:val="both"/>
      </w:pPr>
      <w:r>
        <w:rPr>
          <w:rFonts w:ascii="B Nazanin" w:hAnsi="B Nazanin" w:cs="B Nazanin" w:hint="cs"/>
          <w:sz w:val="24"/>
          <w:szCs w:val="24"/>
          <w:rtl/>
          <w:lang w:bidi="fa-IR"/>
        </w:rPr>
        <w:t xml:space="preserve">فراتر از سطح فردی و سازمانی، یافته‌های این پژوهش می‌تواند در سیاست‌گذاری آموزشی نیز به کار آید. گزارش‌های بین‌المللی تأکید دارند که حمایت از سرمایه‌گذاران خرد، در کنار تنظیم‌گری بازار، نیازمند اقدامات نظام‌مند برای ارتقای سواد مالی و مهارت‌های معاملاتی است (سازمان همکاری و توسعه اقتصادی، ۲۰۲۱). با شناسایی طرحواره‌ها و ویژگی‌های شخصیتی همراه با رفتار پرخطر، پژوهش حاضر می‌تواند محتوایی برای طراحی ماژول‌های آموزشی هدفمند‌شده بر گروه‌های آسیب‌پذیر فراهم آورد؛ ماژول‌هایی که از آموزش صرفاً فنی فراتر رفته و بر مدیریت روان‌شناختی تصمیم‌گیری متمرکز باشند. چنین رویکردی می‌تواند هزینه‌های آموزشی را با هدف‌گیری مخاطب درست کاهش و اثربخشی مداخلات را افزایش دهد.</w:t>
      </w:r>
    </w:p>
    <w:p>
      <w:pPr>
        <w:pStyle w:val="Heading3"/>
        <w:bidi w:val="1"/>
        <w:jc w:val="right"/>
      </w:pPr>
      <w:r>
        <w:rPr>
          <w:rFonts w:ascii="B Nazanin" w:hAnsi="B Nazanin" w:cs="B Nazanin" w:hint="cs"/>
          <w:b/>
          <w:bCs/>
          <w:sz w:val="26"/>
          <w:szCs w:val="26"/>
          <w:rtl/>
          <w:lang w:bidi="fa-IR"/>
        </w:rPr>
        <w:t xml:space="preserve">اهمیت اجتماعی (در سطح سرمایه‌گذاران خرد و خانواده‌ها)</w:t>
      </w:r>
    </w:p>
    <w:p>
      <w:pPr>
        <w:bidi w:val="1"/>
        <w:spacing w:lineRule="exact" w:line="580" w:after="0"/>
        <w:jc w:val="both"/>
      </w:pPr>
      <w:r>
        <w:rPr>
          <w:rFonts w:ascii="B Nazanin" w:hAnsi="B Nazanin" w:cs="B Nazanin" w:hint="cs"/>
          <w:sz w:val="24"/>
          <w:szCs w:val="24"/>
          <w:rtl/>
          <w:lang w:bidi="fa-IR"/>
        </w:rPr>
        <w:t xml:space="preserve">در نهایت و در سطح کلان‌ترین لایه تحلیلی، اهمیت اجتماعی و زمینه‌ای این پژوهش، هنگامی که در متن شرایط زمانی پرشتاب، تحولات تکنولوژیک و ساختارهای اجتماعی پیچیده کنونی مورد بازخوانی قرار می‌گیرد، اهمیتی دوچندان و استراتژیک می‌یابد. در برهه‌ای حساس از تاریخ اقتصادی جهان، پدیده رشد انفجاری، بی‌سابقه و توده‌وار تعداد سرمایه‌گذاران خرد در سطح جهانی، به‌ویژه با ظهور پلتفرم‌های دموکراتیک معاملاتی، میلیون‌ها فرد فاقد تجربه و آموزش تخصصی را به‌طور ناگهانی وارد عرصه‌ای کرده است که تا پیش از این قلمرو انحصاری نخبگان مالی بود.</w:t>
      </w:r>
    </w:p>
    <w:p>
      <w:pPr>
        <w:bidi w:val="1"/>
        <w:spacing w:lineRule="exact" w:line="580" w:after="0"/>
        <w:jc w:val="both"/>
      </w:pPr>
      <w:r>
        <w:rPr>
          <w:rFonts w:ascii="B Nazanin" w:hAnsi="B Nazanin" w:cs="B Nazanin" w:hint="cs"/>
          <w:sz w:val="24"/>
          <w:szCs w:val="24"/>
          <w:rtl/>
          <w:lang w:bidi="fa-IR"/>
        </w:rPr>
        <w:t xml:space="preserve">این موج عظیم مشارکت عمومی، اگرچه فرصت‌های جدیدی برای خلق ثروت ایجاد کرده، اما همزمان میلیون‌ها انسان را بدون آمادگی و تاب‌آوری روان‌شناختی لازم، در خط مقدم جبهه ریسک‌های مالی سنگین و نوسانات بازار قرار داده است. گزارش‌های معتبر نشان می‌دهند که این گروه از سرمایه‌گذاران نوظهور، به دلیل فقدان مکانیزم‌های حفاظتی نهادی و سواد مالی کافی، بیش از سایر گروه‌ها در معرض زیان‌های جبران‌ناپذیر، استرس‌های مزمن و پیامدهای مخرب اجتماعی ناشی از تصمیمات هیجانی هستند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علاوه بر این، مطالعات بسیار جدید و جریان‌ساز که بر روی ویژگی‌های رفتاری نسل‌های جدید سرمایه‌گذار به‌ویژه نسل‌های هزاره متمرکز شده‌اند، نشان می‌دهند که این گروه‌های جمعیتی که اکنون بخش غالب فعالان بازار را تشکیل می‌دهند، دارای الگوهای شخصیتی و روان‌شناختی منحصر به فرد و آسیب‌پذیری هستند. این نسل‌ها که در عصر دیجیتال و جریان بی‌وقفه اطلاعات رشد کرده‌اند، سطوح بالاتری از اضطراب صفتی و حساسیت هیجانی را نسبت به نسل‌های پیشین تجربه می‌کنند که با کیفیت تصمیم‌گیری‌های مالی آن‌ها مرتبط گزارش شده است.</w:t>
      </w:r>
    </w:p>
    <w:p>
      <w:pPr>
        <w:bidi w:val="1"/>
        <w:spacing w:lineRule="exact" w:line="580" w:after="0"/>
        <w:jc w:val="both"/>
      </w:pPr>
      <w:r>
        <w:rPr>
          <w:rFonts w:ascii="B Nazanin" w:hAnsi="B Nazanin" w:cs="B Nazanin" w:hint="cs"/>
          <w:sz w:val="24"/>
          <w:szCs w:val="24"/>
          <w:rtl/>
          <w:lang w:bidi="fa-IR"/>
        </w:rPr>
        <w:t xml:space="preserve">یافته‌های این پژوهش‌ها حاکی از آن است که اضطراب صفتی بالا در این معامله‌گران جوان، نه تنها با تصمیمات عجولانه مرتبط است، بلکه پدیده‌ای به نام «فلج تصمیم‌گیری» را رقم می‌زند؛ وضعیتی که در آن فرد به دلیل ترس از اشتباه و کمال‌گرایی افراطی، توانایی اقدام موثر در بازار را از دست داده و در چرخه‌ای از استرس و ناکارآمدی گرفتار می‌شود. بنابراین، شناخت و مدیریت این عوامل روان‌شناختی، برای حفظ سلامت این نسل حیاتی است (ماهاتو و همکاران، ۲۰۲۵)</w:t>
      </w:r>
    </w:p>
    <w:p>
      <w:pPr>
        <w:bidi w:val="1"/>
        <w:spacing w:lineRule="exact" w:line="580" w:after="0"/>
        <w:jc w:val="both"/>
      </w:pPr>
      <w:r>
        <w:rPr>
          <w:rFonts w:ascii="B Nazanin" w:hAnsi="B Nazanin" w:cs="B Nazanin" w:hint="cs"/>
          <w:sz w:val="24"/>
          <w:szCs w:val="24"/>
          <w:rtl/>
          <w:lang w:bidi="fa-IR"/>
        </w:rPr>
        <w:t xml:space="preserve">از منظر آسیب‌شناسی اجتماعی نیز، ظهور مفاهیم نوینی مانند «اختلال معامله‌گری» در ادبیات علمی سال ۲۰۲۵، نشان‌دهنده عمق نفوذ این چالش‌ها در بطن جامعه است. پژوهشگران هشدار می‌دهند که معامله‌گری افراطی برای بسیاری از افراد، دیگر نه یک فعالیت اقتصادی، بلکه راهکاری ناسازگار برای تنظیم هیجانات منفی و فرار از اضطراب‌های زندگی روزمره است که می‌تواند با اعتیادهای رفتاری مخرب همراه باشد (گرال-برونک و همکاران، ۲۰۲۵).</w:t>
      </w:r>
    </w:p>
    <w:p>
      <w:pPr>
        <w:bidi w:val="1"/>
        <w:spacing w:lineRule="exact" w:line="580" w:after="0"/>
        <w:jc w:val="both"/>
      </w:pPr>
      <w:r>
        <w:rPr>
          <w:rFonts w:ascii="B Nazanin" w:hAnsi="B Nazanin" w:cs="B Nazanin" w:hint="cs"/>
          <w:sz w:val="24"/>
          <w:szCs w:val="24"/>
          <w:rtl/>
          <w:lang w:bidi="fa-IR"/>
        </w:rPr>
        <w:t xml:space="preserve">نقش تقویت‌کننده رسانه‌های اجتماعی در این میان نباید نادیده گرفته شود. این رسانه‌ها با ایجاد جریان بی‌وقفه‌ای از محتوای مرتبط با سودهای دیگران، ترس از دست دادن فرصت را در سرمایه‌گذاران جوان تشدید کرده و آن‌ها را به تصمیمات هیجانی و بدون برنامه سوق می‌دهند (اور و شوماخر، ۲۰۲۳). از آنجا که شواهد موجود نشان می‌دهند نسل‌های جدید سرمایه‌گذار سطوح بالاتری از اضطراب را نسبت به نسل‌های پیشین تجربه می‌کنند (ماهاتو و همکاران، ۲۰۲۵)، تلاقی این دو عامل — اضطراب زمینه‌ای و محرک‌های رسانه‌ای — آسیب‌پذیری مضاعفی ایجاد می‌کند که طراحی مداخلات پیشگیرانه روان‌شناختی ویژه دوران دیجیتال را ضروری می‌سازد. شناخت دقیق این تلاقی، از جمله ابعاد کاربردی‌ای است که پژوهش حاضر می‌تواند به روشن شدن آن کمک کند.</w:t>
      </w:r>
    </w:p>
    <w:p>
      <w:pPr>
        <w:pStyle w:val="Heading3"/>
        <w:bidi w:val="1"/>
        <w:jc w:val="right"/>
      </w:pPr>
      <w:r>
        <w:rPr>
          <w:rFonts w:ascii="B Nazanin" w:hAnsi="B Nazanin" w:cs="B Nazanin" w:hint="cs"/>
          <w:b/>
          <w:bCs/>
          <w:sz w:val="26"/>
          <w:szCs w:val="26"/>
          <w:rtl/>
          <w:lang w:bidi="fa-IR"/>
        </w:rPr>
        <w:t xml:space="preserve">ضرورت زمینه‌ای (بافت بازارهای مالی ایران)</w:t>
      </w:r>
    </w:p>
    <w:p>
      <w:pPr>
        <w:bidi w:val="1"/>
        <w:spacing w:lineRule="exact" w:line="580" w:after="0"/>
        <w:jc w:val="both"/>
      </w:pPr>
      <w:r>
        <w:rPr>
          <w:rFonts w:ascii="B Nazanin" w:hAnsi="B Nazanin" w:cs="B Nazanin" w:hint="cs"/>
          <w:sz w:val="24"/>
          <w:szCs w:val="24"/>
          <w:rtl/>
          <w:lang w:bidi="fa-IR"/>
        </w:rPr>
        <w:t xml:space="preserve">اما هنگامی که کانون توجه به‌طور مشخص بر بافت اجتماعی و اقتصادی خاص ایران معطوف می‌شود، ضرورت اجرای چنین پژوهش‌های آسیب‌شناسانه‌ای، ابعادی به مراتب گسترده‌تر، حیاتی‌تر و فوری‌تر به خود می‌گیرد. جامعه ایران طی دهه‌های اخیر با پدیده‌ای مزمن و ساختاری به نام «فشارهای اقتصادی مداوم» و نرخ تورم دو رقمی روبرو بوده است؛ شرایطی که در آن، حفظ قدرت خرید و ارزش واقعی دارایی‌ها به اصلی‌ترین دغدغه خانوارها تبدیل شده است. این محیط پرفشار، انگیزه‌ای قدرتمند و اجتناب‌ناپذیر را برای طیف وسیعی از اقشار جامعه (حتی افراد با درآمد متوسط و پایین) ایجاد کرده است تا برای بقای مالی، به سمت بازارهای سرمایه متنوع و اغلب پرریسک (نظیر بورس، طلا، ارز و رمزارزها) هجوم آورند.</w:t>
      </w:r>
    </w:p>
    <w:p>
      <w:pPr>
        <w:bidi w:val="1"/>
        <w:spacing w:lineRule="exact" w:line="580" w:after="0"/>
        <w:jc w:val="both"/>
      </w:pPr>
      <w:r>
        <w:rPr>
          <w:rFonts w:ascii="B Nazanin" w:hAnsi="B Nazanin" w:cs="B Nazanin" w:hint="cs"/>
          <w:sz w:val="24"/>
          <w:szCs w:val="24"/>
          <w:rtl/>
          <w:lang w:bidi="fa-IR"/>
        </w:rPr>
        <w:t xml:space="preserve">در چنین شرایطی که سرمایه‌گذاری نه به‌عنوان یک انتخاب برای افزایش ثروت، بلکه به‌عنوان یک استراتژی بقا برای فرار از فقر تلقی می‌شود، بار هیجانی ناشی از نوسانات بازار به شدت افزایش یافته و احتمال بروز رفتارهای هیجانی، تقلیدی و پرخطر برای جبران سریع عقب‌ماندگی‌های مالی، به طرز چشمگیری تشدید می‌گردد. بنابراین، شناخت دقیق و علمی عوامل خطر روان‌شناختی و شخصیتی در میان جامعه خاص معامله‌گران ایرانی، نه تنها از نظر آکادمیک و نظری ارزشمند است، بلکه برای سیاست‌گذاران، نهادهای مالی و متخصصان سلامت روان، به منظور ارائه راهکارهای پیشگیرانه، آموزشی و درمانی «بومی‌سازی‌شده» و متناسب با فرهنگ و اقتصاد ایران، یک ضرورت اجتماعی انکارناپذیر و فوری محسوب می‌شود (ستایش و همکاران، ۱۳۹۹).</w:t>
      </w:r>
    </w:p>
    <w:p>
      <w:pPr>
        <w:bidi w:val="1"/>
        <w:spacing w:lineRule="exact" w:line="580" w:after="0"/>
        <w:jc w:val="both"/>
      </w:pPr>
      <w:r>
        <w:rPr>
          <w:rFonts w:ascii="B Nazanin" w:hAnsi="B Nazanin" w:cs="B Nazanin" w:hint="cs"/>
          <w:sz w:val="24"/>
          <w:szCs w:val="24"/>
          <w:rtl/>
          <w:lang w:bidi="fa-IR"/>
        </w:rPr>
        <w:t xml:space="preserve">علاوه بر فشارهای اقتصادی، مطالعات بومی انجام شده در حوزه روان‌شناسی شخصیت و طرحواره‌درمانی، نشان‌دهنده وجود الگوهای شناختی خاصی در میان جمعیت جوان و تحصیل‌کرده ایرانی است که می‌تواند زمینه‌ساز آسیب‌پذیری بیشتر در بازارهای مالی باشد. پژوهش‌های معتبر داخلی حاکی از آن است که طرحواره‌های ناسازگار اولیه — به‌ویژه در حوزه‌های «بریدگی و طرد» و «خودگردانی مختل» — با اضطراب اجتماعی به‌عنوان سازه‌ای جداگانه، در میان دانشجویان و قشر جوان ایرانی رابطه قابل توجهی دارند (نوری و هاشمیان، ۱۳۹۶). این یافته‌ها هشدار می‌دهند که ورود این گروه جمعیتی به بازار سرمایه، بدون حل‌وفصل تعارضات شناختی و هیجانی زیربنایی، می‌تواند با انتقال مستقیم اضطراب‌های بین‌فردی به محیط تصمیم‌گیری مالی و تشدید رفتارهای اجتنابی یا جبرانی در معامله‌گری همراه باشد (نوری و هاشمیان، ۱۳۹۶)</w:t>
      </w:r>
    </w:p>
    <w:p>
      <w:pPr>
        <w:bidi w:val="1"/>
        <w:spacing w:lineRule="exact" w:line="580" w:after="0"/>
        <w:jc w:val="both"/>
      </w:pPr>
      <w:r>
        <w:rPr>
          <w:rFonts w:ascii="B Nazanin" w:hAnsi="B Nazanin" w:cs="B Nazanin" w:hint="cs"/>
          <w:sz w:val="24"/>
          <w:szCs w:val="24"/>
          <w:rtl/>
          <w:lang w:bidi="fa-IR"/>
        </w:rPr>
        <w:t xml:space="preserve">همچنین، شواهد تجربی به دست آمده از مطالعات میدانی بر روی رفتار سرمایه‌گذاران حقیقی در بورس اوراق بهادار تهران، مؤید این واقعیت است که در بازار ایران، متغیرهای روان‌شناختی و شخصیتی سهم بسیار تعیین‌کننده‌تری نسبت به متغیرهای جمعیت‌شناختی (مانند سن یا جنسیت) در تبیین تفاوت‌های فردی در ریسک‌پذیری ایفا می‌کنند. به عبارت دیگر، تحمل ریسک مالی و تمایل به رفتارهای پرخطر در میان معامله‌گران ایرانی، بیش از آنکه تابع منطق اقتصادی باشد، تحت تأثیر مستقیم ویژگی‌های شخصیتی و هیجانی آن‌ها قرار دارد که ضرورت مداخله‌های روان‌شناختی را دوچندان می‌سازد (طالبی و همکاران، ۱۳۹۸)</w:t>
      </w:r>
    </w:p>
    <w:p>
      <w:pPr>
        <w:bidi w:val="1"/>
        <w:spacing w:lineRule="exact" w:line="580" w:after="0"/>
        <w:jc w:val="both"/>
      </w:pPr>
      <w:r>
        <w:rPr>
          <w:rFonts w:ascii="B Nazanin" w:hAnsi="B Nazanin" w:cs="B Nazanin" w:hint="cs"/>
          <w:sz w:val="24"/>
          <w:szCs w:val="24"/>
          <w:rtl/>
          <w:lang w:bidi="fa-IR"/>
        </w:rPr>
        <w:t xml:space="preserve">از سوی دیگر، بافت خاص فرهنگی و اجتماعی حاکم بر بازارهای مالی ایران، بستر مساعدی را برای بروز پدیده «رفتار گله‌ای» و پیروی کورکورانه از هیجانات جمعی فراهم آورده است. مطالعات میدانی بر روی سرمایه‌گذاران حقیقی بورس اوراق بهادار تهران، به وضوح نشان داده‌اند که در شرایط نوسانی، ویژگی‌های شخصیتی زمینه‌ای نظیر روان‌رنجورخویی و تمایل به ریسک، محرک‌های اصلی بروز رفتار توده‌وار هستند که این امر می‌تواند با شکل‌گیری حباب‌های قیمتی کاذب و سقوط‌های ناگهانی همراه باشد. در این میان، نقش منابع اطلاعاتی غیررسمی (مانند کانال‌های تلگرامی و شایعات بازار) در جهت‌دهی به تصمیمات معامله‌گران مضطرب ایرانی، بسیار پررنگ‌تر از اخبار و تحلیل‌های رسمی برآورد شده است؛ واقعیتی که ضرورت مداخله‌های آموزشی مبتنی بر سواد رسانه‌ای و مدیریت روان‌شناختی شایعات را برجسته می‌سازد (ستایش و همکاران، ۱۳۹۹؛ بهدیو و همکاران، ۱۳۹۸)</w:t>
      </w:r>
    </w:p>
    <w:p>
      <w:pPr>
        <w:bidi w:val="1"/>
        <w:spacing w:lineRule="exact" w:line="580" w:after="0"/>
        <w:jc w:val="both"/>
      </w:pPr>
      <w:r>
        <w:rPr>
          <w:rFonts w:ascii="B Nazanin" w:hAnsi="B Nazanin" w:cs="B Nazanin" w:hint="cs"/>
          <w:sz w:val="24"/>
          <w:szCs w:val="24"/>
          <w:rtl/>
          <w:lang w:bidi="fa-IR"/>
        </w:rPr>
        <w:t xml:space="preserve">نکته دیگر در تبیین ضرورت این پژوهش در بافت ایران، ماهیت موجی ورود به بازارهای سرمایه است. در سال‌های اخیر، همزمان با هر تشدید فشار تورمی و نوسان ارزی، موج تازه‌ای از سرمایه‌گذاران خرد وارد بازار سرمایه شده‌اند که بسیاری از آن‌ها بدون آموزش تخصصی و آمادگی روان‌شناختی، با نوسانات بازار مواجه شده‌اند (بهدیو و همکاران، ۱۳۹۸). بار هیجانی برخاسته از این فرآیند، وقتی با رواج منابع اطلاعاتی غیررسمی و شایعات همراه می‌شود، با تشدید رفتار توده‌وار و شکل‌گیری حباب‌های قیمتی کاذب همراه است (ستایش و همکاران، ۱۳۹۹). تداوم این چرخه بدون شناسایی علمی عوامل روان‌شناختی زمینه‌ساز، به معنای تکرار زیان‌های مالی گسترده است؛ از همین رو، پژوهش حاضر ضرورتی به‌موقع و فوری در بافت ایرانی محسوب می‌شود.</w:t>
      </w:r>
    </w:p>
    <w:p>
      <w:pPr>
        <w:pStyle w:val="Heading3"/>
        <w:bidi w:val="1"/>
        <w:jc w:val="right"/>
      </w:pPr>
      <w:r>
        <w:rPr>
          <w:rFonts w:ascii="B Nazanin" w:hAnsi="B Nazanin" w:cs="B Nazanin" w:hint="cs"/>
          <w:b/>
          <w:bCs/>
          <w:sz w:val="26"/>
          <w:szCs w:val="26"/>
          <w:rtl/>
          <w:lang w:bidi="fa-IR"/>
        </w:rPr>
        <w:t xml:space="preserve">جمع‌بندی اهمیت و ضرورت پژوهش (پر کردن شکاف تبیینی)</w:t>
      </w:r>
    </w:p>
    <w:p>
      <w:pPr>
        <w:bidi w:val="1"/>
        <w:spacing w:lineRule="exact" w:line="580" w:after="0"/>
        <w:jc w:val="both"/>
      </w:pPr>
      <w:r>
        <w:rPr>
          <w:rFonts w:ascii="B Nazanin" w:hAnsi="B Nazanin" w:cs="B Nazanin" w:hint="cs"/>
          <w:sz w:val="24"/>
          <w:szCs w:val="24"/>
          <w:rtl/>
          <w:lang w:bidi="fa-IR"/>
        </w:rPr>
        <w:t xml:space="preserve">در جمع‌بندی نهایی و به باور و استدلال پژوهشگر، این مطالعه پتانسیل آن را دارد که «یک نقشه راه روان‌شناختی» چندلایه و فرآیندی ترسیم کند؛ نقشه‌ای که مسیر اثرگذاری پیچیده و غیرمستقیم یک ویژگی شخصیتی بنیادین و دیرپا نظیر اضطراب صفتی را بر شکل‌گیری و بروز رفتارهای مالی عینی و پرخطر، از مجرای یک فرآیند شناختی واسطه‌ای و تعیین‌کننده به نام طرحواره‌های ناسازگار، تبیین و شفاف‌سازی نماید. این رویکرد تحلیلی از سطح توصیف همبستگی‌های ساده و ایستا فراتر می‌رود و دینامیک درونی و پویای تعامل میان شخصیت، شناخت و رفتار را در بافت واقعی و چالش‌برانگیز تصمیم‌گیری‌های مالی آشکار می‌سازد. دستاورد چنین درک عمیق و چندبعدی، هم برای جامعه علمی چشمگیر خواهد بود — از طریق یکپارچه‌سازی نظریه‌های گسسته روان‌شناسی بالینی و اقتصاد رفتاری — و هم برای جامعه عملگرا، با فراهم کردن ابزارهای عملی، پروتکل‌های مداخله‌ای و راهکارهای پیشگیرانه. این پژوهش کانون توجه را از پرسش توصیفی «چه چیزی رخ می‌دهد؟» به پرسش تبیینی «چگونه و چرا رخ می‌دهد؟» منتقل می‌کند؛ گامی که به حل معمای رفتار انسان در شرایط فشار مالی کمک می‌کند و نشان می‌دهد چرا افراد با وجود دانش اقتصادی، در لحظات بحرانی تصمیماتی می‌گیرند که به زیان خودشان تمام می‌شود و چگونه می‌توان با مداخلات هدفمند، به آن‌ها برای اتخاذ تصمیمات عقلانی‌تر و سالم‌تر یاری رساند.</w:t>
      </w:r>
    </w:p>
    <w:p>
      <w:pPr>
        <w:bidi w:val="1"/>
        <w:spacing w:lineRule="exact" w:line="580" w:after="0"/>
        <w:jc w:val="both"/>
      </w:pPr>
      <w:r>
        <w:rPr>
          <w:rFonts w:ascii="B Nazanin" w:hAnsi="B Nazanin" w:cs="B Nazanin" w:hint="cs"/>
          <w:sz w:val="24"/>
          <w:szCs w:val="24"/>
          <w:rtl/>
          <w:lang w:bidi="fa-IR"/>
        </w:rPr>
        <w:t xml:space="preserve">مجموع ملاحظات نظری، کاربردی، اجتماعی و زمینه‌ای مطرح‌شده در این بخش، ضرورت اجرای پژوهش حاضر را از زوایای مکمل یکدیگر نشان می‌دهد. از منظر نظری، آزمون مدل میانجی‌گری پیشنهادی می‌تواند شکاف تبیینی موجود در ادبیات را پر کند و به درک چگونگی تبدیل یک ویژگی شخصیتی پایدار به رفتار مالی عینی بینجامد؛ از منظر کاربردی و اجتماعی نیز، یافته‌های آن می‌تواند پایه‌ای شواهد‌محور برای طراحی ابزارهای غربالگری، پروتکل‌های درمانی کوتاه‌مدت و ماژول‌های آموزشی روان‌شناسی معامله‌گری فراهم آورد؛ و در بافت بازارهای مالی ایران، این ضرورت به دلیل فشارهای تورمی مزمن و ورود موجی سرمایه‌گذاران فاقد آمادگی، فوریتی دوچندان می‌یابد. بر همین اساس، پژوهش حاضر با تمرکز بر نقش میانجی‌گر طرحواره‌های ناسازگار اولیه، در صدد است هم به پیشرفت دانش در این حوزه کمک کند و هم پاسخی عملی به نیازهای جامعه معامله‌گران ارائه دهد.</w:t>
      </w:r>
    </w:p>
    <w:p>
      <w:pPr>
        <w:pStyle w:val="Heading2"/>
        <w:bidi w:val="1"/>
        <w:jc w:val="right"/>
        <w:outlineLvl w:val="1"/>
      </w:pPr>
      <w:r>
        <w:rPr>
          <w:rFonts w:ascii="B Nazanin" w:hAnsi="B Nazanin" w:cs="B Nazanin" w:hint="cs"/>
          <w:b/>
          <w:bCs/>
          <w:sz w:val="28"/>
          <w:szCs w:val="28"/>
          <w:rtl/>
          <w:lang w:bidi="fa-IR"/>
        </w:rPr>
        <w:t xml:space="preserve">۱-۴. اهداف پژوهش</w:t>
      </w:r>
    </w:p>
    <w:p>
      <w:pPr>
        <w:bidi w:val="1"/>
        <w:spacing w:lineRule="exact" w:line="580" w:after="0"/>
        <w:jc w:val="both"/>
      </w:pPr>
      <w:r>
        <w:rPr>
          <w:rFonts w:ascii="B Nazanin" w:hAnsi="B Nazanin" w:cs="B Nazanin" w:hint="cs"/>
          <w:sz w:val="24"/>
          <w:szCs w:val="24"/>
          <w:rtl/>
          <w:lang w:bidi="fa-IR"/>
        </w:rPr>
        <w:t xml:space="preserve">اهداف پژوهش حاضر در راستای مدل مفهومی آن تدوین شده است؛ بر این اساس، هدف اصلی به نقش میانجی‌گر طرحواره‌های ناسازگار اولیه در رابطه میان اضطراب صفتی و رفتارهای مالی پرخطر معطوف است و هر یک از اهداف فرعی نیز یکی از روابط دوجانبه تشکیل‌دهنده مسیرهای این مدل را هدف می‌گیرند.</w:t>
      </w:r>
    </w:p>
    <w:p>
      <w:pPr>
        <w:pStyle w:val="Heading3"/>
        <w:bidi w:val="1"/>
        <w:jc w:val="right"/>
        <w:outlineLvl w:val="1"/>
      </w:pPr>
      <w:r>
        <w:rPr>
          <w:rFonts w:ascii="B Nazanin" w:hAnsi="B Nazanin" w:cs="B Nazanin" w:hint="cs"/>
          <w:b/>
          <w:bCs/>
          <w:sz w:val="26"/>
          <w:szCs w:val="26"/>
          <w:rtl/>
          <w:lang w:bidi="fa-IR"/>
        </w:rPr>
        <w:t xml:space="preserve">۱-۴-۱. هدف اصلی</w:t>
      </w:r>
    </w:p>
    <w:p>
      <w:pPr>
        <w:bidi w:val="1"/>
        <w:spacing w:lineRule="exact" w:line="580" w:after="0"/>
        <w:jc w:val="both"/>
      </w:pPr>
      <w:r>
        <w:rPr>
          <w:rFonts w:ascii="B Nazanin" w:hAnsi="B Nazanin" w:cs="B Nazanin" w:hint="cs"/>
          <w:sz w:val="24"/>
          <w:szCs w:val="24"/>
          <w:rtl/>
          <w:lang w:bidi="fa-IR"/>
        </w:rPr>
        <w:t xml:space="preserve">تعیین نقش میانجی‌گر طرحواره‌های ناسازگار اولیه در رابطه بین اضطراب صفتی و رفتارهای مالی پرخطر.</w:t>
      </w:r>
    </w:p>
    <w:p>
      <w:pPr>
        <w:pStyle w:val="Heading3"/>
        <w:bidi w:val="1"/>
        <w:jc w:val="right"/>
        <w:outlineLvl w:val="1"/>
      </w:pPr>
      <w:r>
        <w:rPr>
          <w:rFonts w:ascii="B Nazanin" w:hAnsi="B Nazanin" w:cs="B Nazanin" w:hint="cs"/>
          <w:b/>
          <w:bCs/>
          <w:sz w:val="26"/>
          <w:szCs w:val="26"/>
          <w:rtl/>
          <w:lang w:bidi="fa-IR"/>
        </w:rPr>
        <w:t xml:space="preserve">۱-۴-۲. اهداف فرعی</w:t>
      </w:r>
    </w:p>
    <w:p>
      <w:pPr>
        <w:bidi w:val="1"/>
        <w:spacing w:lineRule="exact" w:line="580" w:after="0"/>
        <w:jc w:val="both"/>
      </w:pPr>
      <w:r>
        <w:rPr>
          <w:rFonts w:ascii="B Nazanin" w:hAnsi="B Nazanin" w:cs="B Nazanin" w:hint="cs"/>
          <w:sz w:val="24"/>
          <w:szCs w:val="24"/>
          <w:rtl/>
          <w:lang w:bidi="fa-IR"/>
        </w:rPr>
        <w:t xml:space="preserve">۱. تعیین رابطه بین اضطراب صفتی و رفتارهای مالی پرخطر.</w:t>
      </w:r>
    </w:p>
    <w:p>
      <w:pPr>
        <w:bidi w:val="1"/>
        <w:spacing w:lineRule="exact" w:line="580" w:after="0"/>
        <w:jc w:val="both"/>
      </w:pPr>
      <w:r>
        <w:rPr>
          <w:rFonts w:ascii="B Nazanin" w:hAnsi="B Nazanin" w:cs="B Nazanin" w:hint="cs"/>
          <w:sz w:val="24"/>
          <w:szCs w:val="24"/>
          <w:rtl/>
          <w:lang w:bidi="fa-IR"/>
        </w:rPr>
        <w:t xml:space="preserve">۲. تعیین رابطه بین اضطراب صفتی و طرحواره‌های ناسازگار اولیه.</w:t>
      </w:r>
    </w:p>
    <w:p>
      <w:pPr>
        <w:bidi w:val="1"/>
        <w:spacing w:lineRule="exact" w:line="580" w:after="0"/>
        <w:jc w:val="both"/>
      </w:pPr>
      <w:r>
        <w:rPr>
          <w:rFonts w:ascii="B Nazanin" w:hAnsi="B Nazanin" w:cs="B Nazanin" w:hint="cs"/>
          <w:sz w:val="24"/>
          <w:szCs w:val="24"/>
          <w:rtl/>
          <w:lang w:bidi="fa-IR"/>
        </w:rPr>
        <w:t xml:space="preserve">۳. تعیین رابطه بین طرحواره‌های ناسازگار اولیه و رفتارهای مالی پرخطر.</w:t>
      </w:r>
    </w:p>
    <w:p>
      <w:pPr>
        <w:pStyle w:val="Heading2"/>
        <w:bidi w:val="1"/>
        <w:jc w:val="right"/>
        <w:outlineLvl w:val="1"/>
      </w:pPr>
      <w:r>
        <w:rPr>
          <w:rFonts w:ascii="B Nazanin" w:hAnsi="B Nazanin" w:cs="B Nazanin" w:hint="cs"/>
          <w:b/>
          <w:bCs/>
          <w:sz w:val="28"/>
          <w:szCs w:val="28"/>
          <w:rtl/>
          <w:lang w:bidi="fa-IR"/>
        </w:rPr>
        <w:t xml:space="preserve">۱-۵. فرضیه‌های پژوهش</w:t>
      </w:r>
    </w:p>
    <w:p>
      <w:pPr>
        <w:bidi w:val="1"/>
        <w:spacing w:lineRule="exact" w:line="580" w:after="0"/>
        <w:jc w:val="both"/>
      </w:pPr>
      <w:r>
        <w:rPr>
          <w:rFonts w:ascii="B Nazanin" w:hAnsi="B Nazanin" w:cs="B Nazanin" w:hint="cs"/>
          <w:sz w:val="24"/>
          <w:szCs w:val="24"/>
          <w:rtl/>
          <w:lang w:bidi="fa-IR"/>
        </w:rPr>
        <w:t xml:space="preserve">فرضیه‌های پژوهش بر پایه مدل میانجی‌گری سه‌متغیره پژوهش و در امتداد منطق مدل استعداد-استرس (زاکرمن، ۱۹۹۹) تدوین شده‌اند. در این مدل، اضطراب صفتی نقطه آغاز، طرحواره‌های ناسازگار اولیه مجرای انتقال اثر اضطراب به رفتار، و رفتارهای مالی پرخطر پیامد نهایی فرآیند هستند. بر همین اساس، فرضیه نخست نقش میانجی‌گر طرحواره‌ها را هدف می‌گیرد و سه فرضیه پس از آن، روابط دوجانبه تشکیل‌دهنده مسیرهای مدل را می‌سنجند.</w:t>
      </w:r>
    </w:p>
    <w:p>
      <w:pPr>
        <w:bidi w:val="1"/>
        <w:spacing w:lineRule="exact" w:line="580" w:after="0"/>
        <w:jc w:val="both"/>
      </w:pPr>
      <w:r>
        <w:rPr>
          <w:rFonts w:ascii="B Nazanin" w:hAnsi="B Nazanin" w:cs="B Nazanin" w:hint="cs"/>
          <w:sz w:val="24"/>
          <w:szCs w:val="24"/>
          <w:rtl/>
          <w:lang w:bidi="fa-IR"/>
        </w:rPr>
        <w:t xml:space="preserve">۱. طرحواره‌های ناسازگار اولیه در رابطه بین اضطراب صفتی و رفتارهای مالی پرخطر، نقش میانجی‌گر معناداری دارند.</w:t>
      </w:r>
    </w:p>
    <w:p>
      <w:pPr>
        <w:bidi w:val="1"/>
        <w:spacing w:lineRule="exact" w:line="580" w:after="0"/>
        <w:jc w:val="both"/>
      </w:pPr>
      <w:r>
        <w:rPr>
          <w:rFonts w:ascii="B Nazanin" w:hAnsi="B Nazanin" w:cs="B Nazanin" w:hint="cs"/>
          <w:sz w:val="24"/>
          <w:szCs w:val="24"/>
          <w:rtl/>
          <w:lang w:bidi="fa-IR"/>
        </w:rPr>
        <w:t xml:space="preserve">۲. بین اضطراب صفتی و رفتارهای مالی پرخطر، رابطه مثبت و معناداری وجود دارد.</w:t>
      </w:r>
    </w:p>
    <w:p>
      <w:pPr>
        <w:bidi w:val="1"/>
        <w:spacing w:lineRule="exact" w:line="580" w:after="0"/>
        <w:jc w:val="both"/>
      </w:pPr>
      <w:r>
        <w:rPr>
          <w:rFonts w:ascii="B Nazanin" w:hAnsi="B Nazanin" w:cs="B Nazanin" w:hint="cs"/>
          <w:sz w:val="24"/>
          <w:szCs w:val="24"/>
          <w:rtl/>
          <w:lang w:bidi="fa-IR"/>
        </w:rPr>
        <w:t xml:space="preserve">۳. بین اضطراب صفتی و طرحواره‌های ناسازگار اولیه، رابطه مثبت و معناداری وجود دارد.</w:t>
      </w:r>
    </w:p>
    <w:p>
      <w:pPr>
        <w:bidi w:val="1"/>
        <w:spacing w:lineRule="exact" w:line="580" w:after="0"/>
        <w:jc w:val="both"/>
      </w:pPr>
      <w:r>
        <w:rPr>
          <w:rFonts w:ascii="B Nazanin" w:hAnsi="B Nazanin" w:cs="B Nazanin" w:hint="cs"/>
          <w:sz w:val="24"/>
          <w:szCs w:val="24"/>
          <w:rtl/>
          <w:lang w:bidi="fa-IR"/>
        </w:rPr>
        <w:t xml:space="preserve">۴. بین طرحواره‌های ناسازگار اولیه و رفتارهای مالی پرخطر، رابطه مثبت و معناداری وجود دارد.</w:t>
      </w:r>
    </w:p>
    <w:p>
      <w:pPr>
        <w:pStyle w:val="Heading2"/>
        <w:bidi w:val="1"/>
        <w:jc w:val="right"/>
        <w:outlineLvl w:val="1"/>
      </w:pPr>
      <w:r>
        <w:rPr>
          <w:rFonts w:ascii="B Nazanin" w:hAnsi="B Nazanin" w:cs="B Nazanin" w:hint="cs"/>
          <w:b/>
          <w:bCs/>
          <w:sz w:val="28"/>
          <w:szCs w:val="28"/>
          <w:rtl/>
          <w:lang w:bidi="fa-IR"/>
        </w:rPr>
        <w:t xml:space="preserve">۱-۶. تعاریف مفهومی و عملیاتی متغیرهای پژوهش</w:t>
      </w:r>
    </w:p>
    <w:p>
      <w:pPr>
        <w:pStyle w:val="Heading3"/>
        <w:bidi w:val="1"/>
        <w:jc w:val="right"/>
        <w:outlineLvl w:val="1"/>
      </w:pPr>
      <w:r>
        <w:rPr>
          <w:rFonts w:ascii="B Nazanin" w:hAnsi="B Nazanin" w:cs="B Nazanin" w:hint="cs"/>
          <w:b/>
          <w:bCs/>
          <w:sz w:val="26"/>
          <w:szCs w:val="26"/>
          <w:rtl/>
          <w:lang w:bidi="fa-IR"/>
        </w:rPr>
        <w:t xml:space="preserve">۱-۶-۱. اضطراب صفتی</w:t>
      </w:r>
      <w:r>
        <w:rPr>
          <w:rFonts w:ascii="B Nazanin" w:hAnsi="B Nazanin" w:cs="B Nazanin" w:hint="cs"/>
          <w:vertAlign w:val="superscript"/>
          <w:rtl/>
        </w:rPr>
        <w:footnoteReference w:id="12"/>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اضطراب صفتی یک ویژگی شخصیتی پایدار است که تمایل فرد به درک موقعیت‌های مبهم یا چالش‌برانگیز به‌عنوان تهدیدآمیز و پاسخ به آن‌ها با اضطراب، تنش، نگرانی و برانگیختگی فیزیولوژیک شدیدتر را نشان می‌دهد. بر اساس نظریه حالت-صفت اسپیلبرگر، اضطراب صفتی به یک سیستم هشدار روانیِ بیش‌فعال اشاره دارد که در طول زمان پایدار است و پایه‌ی پاسخ‌های اضطرابی (حالت اضطراب) فرد در موقعیت‌های مختلف را تشکیل می‌دهد (اسپیلبرگر، ۱۹۸۳).</w:t>
      </w:r>
    </w:p>
    <w:p>
      <w:pPr>
        <w:bidi w:val="1"/>
        <w:spacing w:lineRule="exact" w:line="580" w:after="0"/>
        <w:jc w:val="both"/>
      </w:pPr>
      <w:r>
        <w:rPr>
          <w:rFonts w:ascii="B Nazanin" w:hAnsi="B Nazanin" w:cs="B Nazanin" w:hint="cs"/>
          <w:sz w:val="24"/>
          <w:szCs w:val="24"/>
          <w:rtl/>
          <w:lang w:bidi="fa-IR"/>
        </w:rPr>
        <w:t xml:space="preserve">اضطراب صفتی در ادبیات روان‌شناسی بازارهای مالی از توجه ویژه‌ای برخوردار شده است؛ زیرا ویژگی‌ای پایدار و قابل سنجش است که مستقیماً با نحوه پردازش عدم قطعیت و تهدید توسط فرد ارتباط دارد. شواهد نشان می‌دهند که افراد مضطرب به‌طور کلی به اجتناب از ریسک گرایش دارند و حتی در شرایطی که ارزش مورد انتظار گزینه‌ها یکسان است، گزینه‌های کم‌خطرتر را برمی‌گزینند؛ گرایشی که در رفتار مالی واقعی می‌تواند به شکل سبدهای محافظه‌کارانه یا اجتناب از تصمیم‌گیری نمود یابد (مانر و اشمیت</w:t>
      </w:r>
      <w:r>
        <w:rPr>
          <w:rFonts w:ascii="B Nazanin" w:hAnsi="B Nazanin" w:cs="B Nazanin" w:hint="cs"/>
          <w:vertAlign w:val="superscript"/>
          <w:rtl/>
        </w:rPr>
        <w:footnoteReference w:id="74"/>
      </w:r>
      <w:r>
        <w:rPr>
          <w:rFonts w:ascii="B Nazanin" w:hAnsi="B Nazanin" w:cs="B Nazanin" w:hint="cs"/>
          <w:sz w:val="24"/>
          <w:szCs w:val="24"/>
          <w:rtl/>
          <w:lang w:bidi="fa-IR"/>
        </w:rPr>
        <w:t xml:space="preserve">، ۲۰۰۶). با این حال، در شرایط فشار بازار، همین اجتناب می‌تواند به شکلی ناگهانی به واکنش‌های تکانشی برای فرار از تنش تبدیل شود. بنابراین، اضطراب صفتی را می‌توان یکی از متغیرهای فردی کلیدی در تبیین تنوع رفتار معامله‌گران دانست.</w:t>
      </w:r>
    </w:p>
    <w:p>
      <w:pPr>
        <w:bidi w:val="1"/>
        <w:spacing w:lineRule="exact" w:line="580" w:after="0"/>
        <w:jc w:val="both"/>
      </w:pPr>
      <w:r>
        <w:rPr>
          <w:rFonts w:ascii="B Nazanin" w:hAnsi="B Nazanin" w:cs="B Nazanin" w:hint="cs"/>
          <w:sz w:val="24"/>
          <w:szCs w:val="24"/>
          <w:rtl/>
          <w:lang w:bidi="fa-IR"/>
        </w:rPr>
        <w:t xml:space="preserve">نکته مهم در فهم مفهومی این سازه، تمایز میان دو سطح «حالت» و «صفت» در نظریه اسپیلبرگر است. اضطراب حالتی به واکنش هیجانی گذرا و وابسته به موقعیت اطلاق می‌شود که با تنش و برانگیختگی فیزیولوژیک همراه است و با رفع موقعیت فروکش می‌کند؛ اما اضطراب صفتی، تفاوت فردی پایداری در فراوانی و شدت تجربه این حالت‌هاست و تعیین می‌کند که فرد با چه بسامدی در برابر عوامل استرس‌زا، واکنش اضطرابی نشان دهد (اسپیلبرگر، ۱۹۸۳). بر اساس این دیدگاه، معامله‌گر با اضطراب صفتی بالا، در مواجهه با نوسانات بازار، اپیزودهای مکررتر و شدیدتری از اضطراب حالتی را نسبت به دیگران تجربه می‌کند و در عمل، به‌طور مداوم با سطح پایه‌ای بالاتری از تنش روانی وارد فرآیند تصمیم‌گیری می‌شود؛ وضعیتی که تمام کارکردهای تحلیلی و رفتاری او را تحت تأثیر قرار می‌دهد.</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پژوهش حاضر، منظور از اضطراب صفتی، نمره‌ای است که آزمودنی از پاسخگویی به ۲۰ گویه بخش دوم فرم پرسشنامه استاندارد اضطراب حالت-صفت اسپیلبرگر</w:t>
      </w:r>
      <w:r>
        <w:rPr>
          <w:rFonts w:ascii="B Nazanin" w:hAnsi="B Nazanin" w:cs="B Nazanin" w:hint="cs"/>
          <w:vertAlign w:val="superscript"/>
          <w:rtl/>
        </w:rPr>
        <w:footnoteReference w:id="13"/>
      </w:r>
      <w:r>
        <w:rPr>
          <w:rFonts w:ascii="B Nazanin" w:hAnsi="B Nazanin" w:cs="B Nazanin" w:hint="cs"/>
          <w:sz w:val="24"/>
          <w:szCs w:val="24"/>
          <w:rtl/>
          <w:lang w:bidi="fa-IR"/>
        </w:rPr>
        <w:t xml:space="preserve"> کسب می‌کند. نمرات بالاتر در این مقیاس، نشان‌دهنده سطح بالاتر اضطراب صفتی است. نمره‌گذاری گویه‌های این فرم بر اساس مقیاس ۴ درجه‌ای لیکرت (از ۱=تقریباً هرگز تا ۴=تقریباً همیشه) انجام می‌شود و دامنه نمره کل بین ۲۰ تا ۸۰ است. در نسخه مورد استفاده، هشت گویه ۱، ۶، ۷، ۱۰، ۱۳، ۱۴، ۱۶ و ۱۹ به‌صورت معکوس نمره‌گذاری می‌شوند. دامنه نمره کل پس از اعمال این نمره‌گذاری ۲۰ تا ۸۰ است. پایایی درونی این ابزار در مطالعات متعدد با ضرایب آلفای کرونباخ بالا تأیید شده است (اسپیلبرگر، ۱۹۸۳) و در ایران نیز پژوهش بشارت و همکاران (۱۳۹۵) ساختار عاملی آن را در نمونه‌های ایرانی مجدداً تأیید کرده است؛ پایایی نسخه فارسی این ابزار در پژوهش بشارت و همکاران (۱۳۹۵) با آلفای کرونباخ ۰٫۸۹ گزارش شده است.</w:t>
      </w:r>
    </w:p>
    <w:p>
      <w:pPr>
        <w:pStyle w:val="Heading3"/>
        <w:bidi w:val="1"/>
        <w:jc w:val="right"/>
        <w:outlineLvl w:val="1"/>
      </w:pPr>
      <w:r>
        <w:rPr>
          <w:rFonts w:ascii="B Nazanin" w:hAnsi="B Nazanin" w:cs="B Nazanin" w:hint="cs"/>
          <w:b/>
          <w:bCs/>
          <w:sz w:val="26"/>
          <w:szCs w:val="26"/>
          <w:rtl/>
          <w:lang w:bidi="fa-IR"/>
        </w:rPr>
        <w:t xml:space="preserve">۱-۶-۲. طرحواره‌های ناسازگار اولیه</w:t>
      </w:r>
      <w:r>
        <w:rPr>
          <w:rFonts w:ascii="B Nazanin" w:hAnsi="B Nazanin" w:cs="B Nazanin" w:hint="cs"/>
          <w:vertAlign w:val="superscript"/>
          <w:rtl/>
        </w:rPr>
        <w:footnoteReference w:id="14"/>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طرحواره‌های ناسازگار اولیه، الگوهای هیجانی و شناختی عمیق، فراگیر و خودآسیب‌رسانی هستند که در دوران کودکی یا نوجوانی شکل گرفته و در سراسر زندگی فرد تداوم می‌یابند. این الگوها که از خاطرات، هیجانات، شناخت‌واره‌ها و احساسات بدنی تشکیل شده‌اند، باورهای بنیادین و ناکارآمدی درباره خود و رابطه با دیگران هستند که از ناکامی در ارضای نیازهای هیجانی اساسی (مانند امنیت و دلبستگی) نشأت می‌گیرند (یانگ، کلوسکو و ویشار</w:t>
      </w:r>
      <w:r>
        <w:rPr>
          <w:rFonts w:ascii="B Nazanin" w:hAnsi="B Nazanin" w:cs="B Nazanin" w:hint="cs"/>
          <w:vertAlign w:val="superscript"/>
          <w:rtl/>
        </w:rPr>
        <w:footnoteReference w:id="75"/>
      </w:r>
      <w:r>
        <w:rPr>
          <w:rFonts w:ascii="B Nazanin" w:hAnsi="B Nazanin" w:cs="B Nazanin" w:hint="cs"/>
          <w:sz w:val="24"/>
          <w:szCs w:val="24"/>
          <w:rtl/>
          <w:lang w:bidi="fa-IR"/>
        </w:rPr>
        <w:t xml:space="preserve">، ۲۰۰۳).</w:t>
      </w:r>
    </w:p>
    <w:p>
      <w:pPr>
        <w:bidi w:val="1"/>
        <w:spacing w:lineRule="exact" w:line="580" w:after="0"/>
        <w:jc w:val="both"/>
      </w:pPr>
      <w:r>
        <w:rPr>
          <w:rFonts w:ascii="B Nazanin" w:hAnsi="B Nazanin" w:cs="B Nazanin" w:hint="cs"/>
          <w:sz w:val="24"/>
          <w:szCs w:val="24"/>
          <w:rtl/>
          <w:lang w:bidi="fa-IR"/>
        </w:rPr>
        <w:t xml:space="preserve">طرحواره‌های ناسازگار اولیه در حوزه‌هایی سازمان می‌یابند که هسته مشترک آن‌ها ناکامی در ارضای نیازهای هیجانی بنیادین است؛ نیازهایی مانند امنیت، دلبستگی، خودمختاری، پذیرش و محبت که هرگاه در محیط خانواده به‌طور مزمن برآورده نشوند، زمینه‌ساز شکل‌گیری طرحواره‌ها در حوزه‌هایی نظیر «بریدگی و طرد» و «محدودیت‌های مختل» می‌شوند (یانگ و همکاران، ۲۰۰۳). این طرحواره‌ها در بیشتر افراد، در حالت خفته باقی می‌مانند و در مواجهه با موقعیت‌های فعال‌ساز — به‌ویژه موقعیت‌های استرس‌زا و پرفشار — فعال می‌شوند؛ فعال‌سازی‌ای که ادراک، تفسیر و حافظه فرد از موقعیت را رنگ‌آمیزی کرده و رفتار او را جهت می‌دهد (آرنتز و جیکوب، ۲۰۱۲). در بافت معامله‌گری، یک زیان مالی یا نوسان شدید می‌تواند نقش چنین فعال‌سازی را ایفا کند و به جای واکنش متوازن، واکنش‌های هیجانی و رفتاری طرحواره‌محور را برانگیزد.</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این پژوهش، منظور از طرحواره‌های ناسازگار اولیه، نمره‌ای است که آزمودنی از پرسشنامه طرحواره یانگ-فرم کوتاه</w:t>
      </w:r>
      <w:r>
        <w:rPr>
          <w:rFonts w:ascii="B Nazanin" w:hAnsi="B Nazanin" w:cs="B Nazanin" w:hint="cs"/>
          <w:vertAlign w:val="superscript"/>
          <w:rtl/>
        </w:rPr>
        <w:footnoteReference w:id="15"/>
      </w:r>
      <w:r>
        <w:rPr>
          <w:rFonts w:ascii="B Nazanin" w:hAnsi="B Nazanin" w:cs="B Nazanin" w:hint="cs"/>
          <w:sz w:val="24"/>
          <w:szCs w:val="24"/>
          <w:rtl/>
          <w:lang w:bidi="fa-IR"/>
        </w:rPr>
        <w:t xml:space="preserve"> که دارای ۷۵ گویه و ۱۵ خرده‌مقیاس است، به دست می‌آورد. نمره‌گذاری گویه‌ها بر اساس مقیاس ۶ درجه‌ای لیکرت (از ۱=کاملاً درباره من نادرست است تا ۶=کاملاً مرا توصیف می‌کند) انجام می‌شود؛ برای هر طرحواره نمره‌ای بین ۵ تا ۳۰ به دست می‌آید و نمره بالاتر، نشان‌دهنده شدت بیشتر آن طرحواره است (یانگ</w:t>
      </w:r>
      <w:r>
        <w:rPr>
          <w:rFonts w:ascii="B Nazanin" w:hAnsi="B Nazanin" w:cs="B Nazanin" w:hint="cs"/>
          <w:vertAlign w:val="superscript"/>
          <w:rtl/>
        </w:rPr>
        <w:footnoteReference w:id="76"/>
      </w:r>
      <w:r>
        <w:rPr>
          <w:rFonts w:ascii="B Nazanin" w:hAnsi="B Nazanin" w:cs="B Nazanin" w:hint="cs"/>
          <w:sz w:val="24"/>
          <w:szCs w:val="24"/>
          <w:rtl/>
          <w:lang w:bidi="fa-IR"/>
        </w:rPr>
        <w:t xml:space="preserve">، ۱۹۹۸). در مدل اصلی پژوهش، نمره کل ۷۵ گویه به‌عنوان شاخص متغیر میانجی استفاده می‌شود و دامنه نظری آن از ۷۵ تا ۴۵۰ است. تحلیل حوزه‌های پنج‌گانه، در صورت تأیید کلید رسمی و کفایت داده‌ها، صرفاً به‌صورت تکمیلی بررسی خواهد شد. پایایی نسخه فارسی این پرسشنامه در پژوهش یوسفی (۱۳۹۶) با ضرایب آلفای ۰٫۶۸ تا ۰٫۸۵ برای خرده‌مقیاس‌ها گزارش شده و روایی سازه آن در نمونه غیربالینی قابل قبول بوده است (یوسفی، ۱۳۹۶).</w:t>
      </w:r>
    </w:p>
    <w:p>
      <w:pPr>
        <w:pStyle w:val="Heading3"/>
        <w:bidi w:val="1"/>
        <w:jc w:val="right"/>
        <w:outlineLvl w:val="1"/>
      </w:pPr>
      <w:r>
        <w:rPr>
          <w:rFonts w:ascii="B Nazanin" w:hAnsi="B Nazanin" w:cs="B Nazanin" w:hint="cs"/>
          <w:b/>
          <w:bCs/>
          <w:sz w:val="26"/>
          <w:szCs w:val="26"/>
          <w:rtl/>
          <w:lang w:bidi="fa-IR"/>
        </w:rPr>
        <w:t xml:space="preserve">۱-۶-۳. رفتارهای مالی پرخطر</w:t>
      </w:r>
    </w:p>
    <w:p>
      <w:pPr>
        <w:bidi w:val="1"/>
        <w:spacing w:lineRule="exact" w:line="580" w:after="0"/>
        <w:jc w:val="both"/>
      </w:pPr>
      <w:r>
        <w:rPr>
          <w:rFonts w:ascii="B Nazanin" w:hAnsi="B Nazanin" w:cs="B Nazanin" w:hint="cs"/>
          <w:b/>
          <w:bCs/>
          <w:sz w:val="24"/>
          <w:szCs w:val="24"/>
          <w:rtl/>
          <w:lang w:bidi="fa-IR"/>
        </w:rPr>
        <w:t xml:space="preserve">تعریف نظری:</w:t>
      </w:r>
      <w:r>
        <w:rPr>
          <w:rFonts w:ascii="B Nazanin" w:hAnsi="B Nazanin" w:cs="B Nazanin" w:hint="cs"/>
          <w:sz w:val="24"/>
          <w:szCs w:val="24"/>
          <w:rtl/>
          <w:lang w:bidi="fa-IR"/>
        </w:rPr>
        <w:t xml:space="preserve"> رفتارهای مالی پرخطر، به مجموعه‌ای از تصمیمات و اعمالی اطلاق می‌شود که در آن‌ها، سطح ریسک پذیرفته‌شده، نامتناسب با بازده احتمالی بوده و اغلب از هیجانات کنترل‌نشده، سوگیری‌های شناختی و تکانشگری نشأت می‌گیرد، تا اینکه محصول یک تحلیل منطقی و محاسبه‌شده باشد (بیکر و نوفسینگر، ۲۰۱۰). این متغیر، در این پژوهش، از طریق مفهوم «تحمل ریسک مالی» سنجیده می‌شود.</w:t>
      </w:r>
    </w:p>
    <w:p>
      <w:pPr>
        <w:bidi w:val="1"/>
        <w:spacing w:lineRule="exact" w:line="580" w:after="0"/>
        <w:jc w:val="both"/>
      </w:pPr>
      <w:r>
        <w:rPr>
          <w:rFonts w:ascii="B Nazanin" w:hAnsi="B Nazanin" w:cs="B Nazanin" w:hint="cs"/>
          <w:sz w:val="24"/>
          <w:szCs w:val="24"/>
          <w:rtl/>
          <w:lang w:bidi="fa-IR"/>
        </w:rPr>
        <w:t xml:space="preserve">در ادبیات مالی رفتاری، سازه رفتارهای مالی پرخطر با چهار بُعد اصلی شناسایی و سنجیده می‌شود: «معامله‌گری بیش از حد» که به انجام معاملات فراتر از ضرورت اطلاعاتی و برخاسته از بیش‌اطمینانی اشاره دارد؛ «اثر گرایش» که تمایل به فروش زودهنگام دارایی‌های سودده و نگهداری طولانی‌مدت دارایی‌های زیان‌ده است؛ «رفتار گله‌ای» که تقلید از دیگر معامله‌گران به جای اتکا بر تحلیل شخصی، به‌ویژه در شرایط پرنوسان، محسوب می‌شود؛ و «تمرکز ناکافی سبد دارایی» که از سوگیری‌هایی مانند تمایل به آشنایی نشأت می‌گیرد (بیکر و نوفسینگر، ۲۰۱۰؛ باربر و اودین، ۲۰۰۰؛ شفرین و استاتمن، ۱۹۸۵؛ هوانگ و سالمون، ۲۰۰۴؛ گوتزمن و کومار، ۲۰۰۸). در پژوهش حاضر، این مجموعه از ابعاد در قالب سازه تحمل ریسک مالی اندازه‌گیری می‌شود.</w:t>
      </w:r>
    </w:p>
    <w:p>
      <w:pPr>
        <w:bidi w:val="1"/>
        <w:spacing w:lineRule="exact" w:line="580" w:after="0"/>
        <w:jc w:val="both"/>
      </w:pPr>
      <w:r>
        <w:rPr>
          <w:rFonts w:ascii="B Nazanin" w:hAnsi="B Nazanin" w:cs="B Nazanin" w:hint="cs"/>
          <w:sz w:val="24"/>
          <w:szCs w:val="24"/>
          <w:rtl/>
          <w:lang w:bidi="fa-IR"/>
        </w:rPr>
        <w:t xml:space="preserve">این ابعاد، چارچوب مفهومی رفتارهای مالی پرخطر را شکل می‌دهند؛ بااین‌حال، در پژوهش حاضر، متغیر وابسته در سطح عملیاتی از طریق نمره تحمل ریسک مالی سنجیده می‌شود. بنابراین، یافته‌های پژوهش درباره رفتارهای مالی پرخطر باید با توجه به این شاخص عملیاتی تفسیر شوند و به معنای سنجش مستقیم همه ابعاد رفتاری یادشده نیستند.</w:t>
      </w:r>
    </w:p>
    <w:p>
      <w:pPr>
        <w:bidi w:val="1"/>
        <w:spacing w:lineRule="exact" w:line="580" w:after="0"/>
        <w:jc w:val="both"/>
      </w:pPr>
      <w:r>
        <w:rPr>
          <w:rFonts w:ascii="B Nazanin" w:hAnsi="B Nazanin" w:cs="B Nazanin" w:hint="cs"/>
          <w:sz w:val="24"/>
          <w:szCs w:val="24"/>
          <w:rtl/>
          <w:lang w:bidi="fa-IR"/>
        </w:rPr>
        <w:t xml:space="preserve">تحمل ریسک مالی</w:t>
      </w:r>
      <w:r>
        <w:rPr>
          <w:rFonts w:ascii="B Nazanin" w:hAnsi="B Nazanin" w:cs="B Nazanin" w:hint="cs"/>
          <w:vertAlign w:val="superscript"/>
          <w:rtl/>
        </w:rPr>
        <w:footnoteReference w:id="16"/>
      </w:r>
      <w:r>
        <w:rPr>
          <w:rFonts w:ascii="B Nazanin" w:hAnsi="B Nazanin" w:cs="B Nazanin" w:hint="cs"/>
          <w:sz w:val="24"/>
          <w:szCs w:val="24"/>
          <w:rtl/>
          <w:lang w:bidi="fa-IR"/>
        </w:rPr>
        <w:t xml:space="preserve"> به بیشینه سطح عدم قطعیتی اطلاق می‌شود که یک سرمایه‌گذار در اتخاذ تصمیم‌های مالی مایل به پذیرش آن است و میزان آمادگی روان‌شناختی فرد برای مواجهه با پیامدهای نامطلوب احتمالی را منعکس می‌کند. در این تعریف، تفکیک میان ظرفیت عینی ریسک — که به منابع و شرایط اقتصادی فرد بستگی دارد — و تحمل ذهنی ریسک — که ویژگی‌ای ادراکی و شخصیتی است — اهمیت بنیادین دارد؛ ناهماهنگی میان این دو سطح، به‌ویژه زمانی که تحمل ذهنی از ظرفیت عینی فراتر رود، یکی از زمینه‌های اصلی تصمیم‌های مالی آسیب‌زا محسوب می‌شود (گرابل و لایتون</w:t>
      </w:r>
      <w:r>
        <w:rPr>
          <w:rFonts w:ascii="B Nazanin" w:hAnsi="B Nazanin" w:cs="B Nazanin" w:hint="cs"/>
          <w:vertAlign w:val="superscript"/>
          <w:rtl/>
        </w:rPr>
        <w:footnoteReference w:id="77"/>
      </w:r>
      <w:r>
        <w:rPr>
          <w:rFonts w:ascii="B Nazanin" w:hAnsi="B Nazanin" w:cs="B Nazanin" w:hint="cs"/>
          <w:sz w:val="24"/>
          <w:szCs w:val="24"/>
          <w:rtl/>
          <w:lang w:bidi="fa-IR"/>
        </w:rPr>
        <w:t xml:space="preserve">، ۱۹۹۹). البته اگرچه تحمل ریسک یک نگرش و رفتار پرخطر یک عمل است، شواهد گسترده پژوهشی از روایی پیش‌بین بالای این مقیاس برای رفتار واقعی مالی حمایت می‌کنند؛ از این رو، مقیاس یادشده شاخص نیابتی قابل اعتمادی برای سنجش تمایل به رفتارهای مالی پرخطر به شمار می‌رود (گرابل</w:t>
      </w:r>
      <w:r>
        <w:rPr>
          <w:rFonts w:ascii="B Nazanin" w:hAnsi="B Nazanin" w:cs="B Nazanin" w:hint="cs"/>
          <w:vertAlign w:val="superscript"/>
          <w:rtl/>
        </w:rPr>
        <w:footnoteReference w:id="78"/>
      </w:r>
      <w:r>
        <w:rPr>
          <w:rFonts w:ascii="B Nazanin" w:hAnsi="B Nazanin" w:cs="B Nazanin" w:hint="cs"/>
          <w:sz w:val="24"/>
          <w:szCs w:val="24"/>
          <w:rtl/>
          <w:lang w:bidi="fa-IR"/>
        </w:rPr>
        <w:t xml:space="preserve">، ۲۰۱۷).</w:t>
      </w:r>
    </w:p>
    <w:p>
      <w:pPr>
        <w:bidi w:val="1"/>
        <w:spacing w:lineRule="exact" w:line="580" w:after="0"/>
        <w:jc w:val="both"/>
      </w:pPr>
      <w:r>
        <w:rPr>
          <w:rFonts w:ascii="B Nazanin" w:hAnsi="B Nazanin" w:cs="B Nazanin" w:hint="cs"/>
          <w:b/>
          <w:bCs/>
          <w:sz w:val="24"/>
          <w:szCs w:val="24"/>
          <w:rtl/>
          <w:lang w:bidi="fa-IR"/>
        </w:rPr>
        <w:t xml:space="preserve">تعریف عملیاتی:</w:t>
      </w:r>
      <w:r>
        <w:rPr>
          <w:rFonts w:ascii="B Nazanin" w:hAnsi="B Nazanin" w:cs="B Nazanin" w:hint="cs"/>
          <w:sz w:val="24"/>
          <w:szCs w:val="24"/>
          <w:rtl/>
          <w:lang w:bidi="fa-IR"/>
        </w:rPr>
        <w:t xml:space="preserve"> در این پژوهش، منظور از رفتارهای مالی پرخطر، نمره‌ای است که آزمودنی از مقیاس ۱۳ سوالی تحمل ریسک مالی گرابل و لایتون (۱۹۹۹) کسب می‌کند. نمرات بالاتر در این مقیاس، نشان‌دهنده تمایل بیشتر به پذیرش ریسک و در نتیجه، بروز بیشتر رفتارهای مالی پرخطر است. بر اساس کلید نمره‌گذاری مورد استفاده در این پژوهش، نمره کل این مقیاس در دامنه ۱۳ تا ۵۲ قرار می‌گیرد و نمره بالاتر نشان‌دهنده تحمل ریسک مالی بیشتر است. روایی پیش‌بین بالای این مقیاس برای رفتار مالی واقعی در پژوهش‌های متعدد تأیید شده است (گرابل، ۲۰۱۷) و در ایران نیز توسط طالبی و همکاران (۱۳۹۸) بر روی نمونه‌ای از سرمایه‌گذاران بورس تهران اعتباریابی شده است؛ در همین هنجاریابی، پایایی مقیاس با آلفای کرونباخ ۰٫۷۹ گزارش و ساختار عاملی آن نیز تأیید شده است.</w:t>
      </w:r>
    </w:p>
    <w:p>
      <w:pPr>
        <w:pStyle w:val="Heading2"/>
        <w:bidi w:val="1"/>
        <w:jc w:val="right"/>
        <w:outlineLvl w:val="1"/>
      </w:pPr>
      <w:r>
        <w:rPr>
          <w:rFonts w:ascii="B Nazanin" w:hAnsi="B Nazanin" w:cs="B Nazanin" w:hint="cs"/>
          <w:b/>
          <w:bCs/>
          <w:sz w:val="28"/>
          <w:szCs w:val="28"/>
          <w:rtl/>
          <w:lang w:bidi="fa-IR"/>
        </w:rPr>
        <w:t xml:space="preserve">۱-۷. سازمان‌بندی رساله</w:t>
      </w:r>
    </w:p>
    <w:p>
      <w:pPr>
        <w:bidi w:val="1"/>
        <w:spacing w:lineRule="exact" w:line="580" w:after="0"/>
        <w:jc w:val="both"/>
      </w:pPr>
      <w:r>
        <w:rPr>
          <w:rFonts w:ascii="B Nazanin" w:hAnsi="B Nazanin" w:cs="B Nazanin" w:hint="cs"/>
          <w:sz w:val="24"/>
          <w:szCs w:val="24"/>
          <w:rtl/>
          <w:lang w:bidi="fa-IR"/>
        </w:rPr>
        <w:t xml:space="preserve">این رساله در پنج فصل تنظیم شده است؛ فصل‌هایی مجزا و متناسب با فرآیند منطقی اجرای پژوهش. فصل اول به‌عنوان چارچوب کلی پژوهش، شامل بیان مسأله، اهمیت و ضرورت، اهداف، فرضیه‌ها و تعاریف مفهومی و عملیاتی متغیرهاست. فصل دوم به مبانی نظری و پیشینه پژوهش اختصاص دارد. در بخش مبانی نظری، ابتدا ادبیات اضطراب صفتی با تأکید بر سازوکارهای شناختی و توجهی مرور می‌شود؛ سپس ادبیات طرحواره‌های ناسازگار اولیه و نظریه طرحواره، و پس از آن ادبیات رفتارهای مالی پرخطر شامل اقتصاد رفتاری و سازه تحمل ریسک مالی. در پایان این بخش، مدل مفهومی پژوهش ارائه می‌شود و بخش پیشینه نیز مطالعات تجربی داخلی و خارجی مرتبط را پوشش می‌دهد. فصل سوم، روش‌شناسی پژوهش را در قالب طرح توصیفی-همبستگی کاربردی تبیین می‌کند و به جامعه آماری و روش نمونه‌گیری، ابزارهای اندازه‌گیری، روایی و پایایی، روش اجرا، روش‌های تحلیل داده‌ها شامل همبستگی پیرسون و مدل‌سازی معادلات ساختاری و ملاحظات اخلاقی می‌پردازد. فصل چهارم یافته‌های پژوهش را در دو بخش توصیفی و استنباطی ارائه می‌دهد؛ یافته‌های استنباطی شامل ماتریس همبستگی میان سه متغیر برای آزمون فرضیه‌های فرعی و نتایج آزمون مدل میانجی‌گری برای فرضیه اصلی است. فصل پنجم نیز به بحث و تبیین یافته‌ها در چارچوب مدل استعداد-استرس، بررسی همسویی و ناهمسویی آن‌ها با پیشینه پژوهشی، کاربردهای عملی، محدودیت‌ها و پیشنهادهای پژوهشی و کاربردی اختصاص دارد. در مجموع، فصل‌های پنج‌گانه رساله به ترتیب از چرایی و چیستی پژوهش آغاز می‌شوند، به چگونگی اجرا و یافته‌های آن می‌رسند و در نهایت به تبیین نظری یافته‌ها و ارائه کاربردهای عملی نتایج ختم می‌گردند.</w:t>
      </w:r>
    </w:p>
    <w:p>
      <w:pPr>
        <w:sectPr>
          <w:footerReference w:type="default" r:id="rId18"/>
          <w:pgNumType w:fmt="hindi" w:start="1"/>
          <w:titlePg/>
        </w:sectPr>
      </w:pPr>
    </w:p>
    <w:p>
      <w:pPr>
        <w:bidi w:val="1"/>
        <w:spacing w:lineRule="exact" w:line="580" w:before="480" w:after="180"/>
        <w:jc w:val="center"/>
        <w:outlineLvl w:val="0"/>
        <w:outlineLvl w:val="0"/>
      </w:pPr>
      <w:r>
        <w:rPr>
          <w:rFonts w:ascii="B Nazanin" w:hAnsi="B Nazanin" w:cs="B Nazanin" w:hint="cs"/>
          <w:b/>
          <w:bCs/>
          <w:sz w:val="56"/>
          <w:szCs w:val="56"/>
          <w:rtl/>
          <w:lang w:bidi="fa-IR"/>
        </w:rPr>
        <w:t xml:space="preserve">فصل دوم</w:t>
      </w:r>
    </w:p>
    <w:p>
      <w:pPr>
        <w:bidi w:val="1"/>
        <w:spacing w:lineRule="exact" w:line="580" w:before="120" w:after="480"/>
        <w:jc w:val="center"/>
      </w:pPr>
      <w:r>
        <w:rPr>
          <w:rFonts w:ascii="B Nazanin" w:hAnsi="B Nazanin" w:cs="B Nazanin" w:hint="cs"/>
          <w:b/>
          <w:bCs/>
          <w:sz w:val="52"/>
          <w:szCs w:val="52"/>
          <w:rtl/>
          <w:lang w:bidi="fa-IR"/>
        </w:rPr>
        <w:t xml:space="preserve">مبانی نظری و پیشینه پژوهش</w:t>
      </w:r>
    </w:p>
    <w:p>
      <w:pPr>
        <w:pStyle w:val="Heading2"/>
        <w:bidi w:val="1"/>
        <w:jc w:val="right"/>
        <w:outlineLvl w:val="1"/>
      </w:pPr>
      <w:r>
        <w:rPr>
          <w:rFonts w:ascii="B Nazanin" w:hAnsi="B Nazanin" w:cs="B Nazanin" w:hint="cs"/>
          <w:b/>
          <w:bCs/>
          <w:sz w:val="28"/>
          <w:szCs w:val="28"/>
          <w:rtl/>
          <w:lang w:bidi="fa-IR"/>
        </w:rPr>
        <w:t xml:space="preserve">۲-۱ مقدمه</w:t>
      </w:r>
    </w:p>
    <w:p>
      <w:pPr>
        <w:bidi w:val="1"/>
        <w:spacing w:lineRule="exact" w:line="580" w:after="0"/>
        <w:jc w:val="both"/>
      </w:pPr>
      <w:r>
        <w:rPr>
          <w:rFonts w:ascii="B Nazanin" w:hAnsi="B Nazanin" w:cs="B Nazanin" w:hint="cs"/>
          <w:sz w:val="24"/>
          <w:szCs w:val="24"/>
          <w:rtl/>
          <w:lang w:bidi="fa-IR"/>
        </w:rPr>
        <w:t xml:space="preserve">فصل حاضر به مرور جامع مبانی نظری و پیشینه تجربی متغیرهای اصلی مطالعه حاضر اختصاص دارد. در مدل مفهومی این مطالعه، اضطراب صفتی به‌عنوان متغیر مستقل، رفتارهای مالی پرخطر به‌عنوان متغیر وابسته و طرحواره‌های ناسازگار اولیه به‌عنوان متغیر میانجی در نظر گرفته شده‌اند. مبانی نظری پژوهش ریشه در رویکردهای شناختی دارد؛ در دیدگاه بک، رویدادها به‌خودی‌خود موجب شکل‌گیری هیجان‌ها نمی‌شوند، بلکه تفسیر و ارزیابی فرد از آن رویدادهاست که واکنش‌های هیجانی را می‌سازد (بک، ۱۹۷۶). بر این اساس، اضطراب صفتی را می‌توان نوعی آسیب‌پذیری شناختی-هیجانی پایدار دانست که بر شیوه پردازش اطلاعات و تصمیم‌گیری اثر می‌گذارد. از سوی دیگر، طرحواره‌های ناسازگار اولیه در مدل یانگ، الگوهایی فراگیر و عمیق هستند که در جریان رشد اولیه شکل گرفته‌اند و ادراک فرد از خود و محیط را در بزرگسالی نیز هدایت می‌کنند (یانگ و همکاران، ۲۰۰۳). مرور این چارچوب‌های نظری و یافته‌های تجربی برخاسته از آن‌ها به تبیین دقیق‌تر مکانیسم‌های شناختی و هیجانی حاکم بر تصمیم‌گیری معامله‌گران بازارهای مالی</w:t>
      </w:r>
      <w:r>
        <w:rPr>
          <w:rFonts w:ascii="B Nazanin" w:hAnsi="B Nazanin" w:cs="B Nazanin" w:hint="cs"/>
          <w:vertAlign w:val="superscript"/>
          <w:rtl/>
        </w:rPr>
        <w:footnoteReference w:id="17"/>
      </w:r>
      <w:r>
        <w:rPr>
          <w:rFonts w:ascii="B Nazanin" w:hAnsi="B Nazanin" w:cs="B Nazanin" w:hint="cs"/>
          <w:sz w:val="24"/>
          <w:szCs w:val="24"/>
          <w:rtl/>
          <w:lang w:bidi="fa-IR"/>
        </w:rPr>
        <w:t xml:space="preserve"> کمک می‌کند؛ گروهی که به‌طور مداوم در شرایط عدم قطعیت و فشار روانی دست به تصمیم‌گیری می‌زنند.</w:t>
      </w:r>
    </w:p>
    <w:p>
      <w:pPr>
        <w:bidi w:val="1"/>
        <w:spacing w:lineRule="exact" w:line="580" w:after="0"/>
        <w:jc w:val="both"/>
      </w:pPr>
      <w:r>
        <w:rPr>
          <w:rFonts w:ascii="B Nazanin" w:hAnsi="B Nazanin" w:cs="B Nazanin" w:hint="cs"/>
          <w:sz w:val="24"/>
          <w:szCs w:val="24"/>
          <w:rtl/>
          <w:lang w:bidi="fa-IR"/>
        </w:rPr>
        <w:t xml:space="preserve">ساختار فصل حاضر مسیر مشخصی را طی می‌کند. نخست در بخش‌های ۲-۲-۱ تا ۲-۲-۳، تعاریف، نظریه‌ها و ابعاد هر یک از متغیرهای پژوهش به‌طور مجزا بررسی می‌شود. در ادامه، در بخش ۲-۲-۴ روابط بین متغیرها و مدل نظری میانجی‌گری تحلیل می‌گردد؛ از جمله روابط دوجانبه میان اضطراب صفتی و رفتارهای مالی پرخطر و نقش طرحواره‌های ناسازگار اولیه در تبیین این روابط. سپس در بخش ۲-۳ پیشینه پژوهشی داخلی و خارجی مرور می‌شود و مدل میانجی‌گری پژوهش در پرتو آن به تصویر درمی‌آید؛ هدف، مشخص‌شدن شکاف پژوهشی</w:t>
      </w:r>
      <w:r>
        <w:rPr>
          <w:rFonts w:ascii="B Nazanin" w:hAnsi="B Nazanin" w:cs="B Nazanin" w:hint="cs"/>
          <w:vertAlign w:val="superscript"/>
          <w:rtl/>
        </w:rPr>
        <w:footnoteReference w:id="18"/>
      </w:r>
      <w:r>
        <w:rPr>
          <w:rFonts w:ascii="B Nazanin" w:hAnsi="B Nazanin" w:cs="B Nazanin" w:hint="cs"/>
          <w:sz w:val="24"/>
          <w:szCs w:val="24"/>
          <w:rtl/>
          <w:lang w:bidi="fa-IR"/>
        </w:rPr>
        <w:t xml:space="preserve"> موجود در ادبیات و روشن‌ترشدن ضرورت انجام پژوهش حاضر است. در مرور پیشینه تجربی، اولویت با مطالعاتی است که در جمعیت معامله‌گران انجام شده‌اند یا یافته‌های آن‌ها قابلیت تعمیم به این جمعیت را دارد؛ بدین ترتیب، مسیر منطقی فصل از مفاهیم بنیادین به‌سوی مدل مفهومی نهایی پژوهش پیش می‌رود.</w:t>
      </w:r>
    </w:p>
    <w:p>
      <w:pPr>
        <w:pStyle w:val="Heading2"/>
        <w:bidi w:val="1"/>
        <w:jc w:val="right"/>
        <w:outlineLvl w:val="1"/>
      </w:pPr>
      <w:r>
        <w:rPr>
          <w:rFonts w:ascii="B Nazanin" w:hAnsi="B Nazanin" w:cs="B Nazanin" w:hint="cs"/>
          <w:b/>
          <w:bCs/>
          <w:sz w:val="28"/>
          <w:szCs w:val="28"/>
          <w:rtl/>
          <w:lang w:bidi="fa-IR"/>
        </w:rPr>
        <w:t xml:space="preserve">۲-۲ مبانی نظری</w:t>
      </w:r>
    </w:p>
    <w:p>
      <w:pPr>
        <w:pStyle w:val="Heading3"/>
        <w:bidi w:val="1"/>
        <w:jc w:val="right"/>
        <w:outlineLvl w:val="1"/>
      </w:pPr>
      <w:r>
        <w:rPr>
          <w:rFonts w:ascii="B Nazanin" w:hAnsi="B Nazanin" w:cs="B Nazanin" w:hint="cs"/>
          <w:b/>
          <w:bCs/>
          <w:sz w:val="26"/>
          <w:szCs w:val="26"/>
          <w:rtl/>
          <w:lang w:bidi="fa-IR"/>
        </w:rPr>
        <w:t xml:space="preserve">۲-۲-۱ اضطراب صفتی</w:t>
      </w:r>
    </w:p>
    <w:p>
      <w:pPr>
        <w:bidi w:val="1"/>
        <w:spacing w:lineRule="exact" w:line="580" w:after="0"/>
        <w:jc w:val="both"/>
      </w:pPr>
      <w:r>
        <w:rPr>
          <w:rFonts w:ascii="B Nazanin" w:hAnsi="B Nazanin" w:cs="B Nazanin" w:hint="cs"/>
          <w:sz w:val="24"/>
          <w:szCs w:val="24"/>
          <w:rtl/>
          <w:lang w:bidi="fa-IR"/>
        </w:rPr>
        <w:t xml:space="preserve">بر اساس چارچوب نظری و مدل کلاسیک و معتبری که توسط چارلز اسپیلبرگر ارائه شده است، برای درک دقیق ماهیت اضطراب، باید تمایز مفهومی مهمی بین دو بعد آن قائل شد: نخست، «اضطراب حالتی» که یک واکنش هیجانی گذرا، موقتی و کاملاً وابسته به شدت خطر آنی موقعیت است؛ و دوم، «اضطراب صفتی» که یک ویژگی شخصیتی پایدار، ریشه‌دار و نوعی تفاوت فردی در استعداد یا تمایل ذاتی برای تجربه کردن حالات اضطرابی است. به عبارت دقیق‌تر، افرادی که دارای سطوح بالایی از اضطراب صفتی هستند، مجهز به یک «سیستم هشدار روانی» بیش‌فعال و حساس هستند؛ آن‌ها به طور نظام‌مند دارای آستانه پایین‌تری برای تحریک‌پذیری بوده و تمایل دارند موقعیت‌های مبهم، خنثی و حتی عینی غیرخطرناک (مانند نوسانات طبیعی بازار) را به عنوان موقعیت‌های تهدیدآمیز و فاجعه‌بار ادراک کنند و در پاسخ به آن‌ها، با سطوح بالاتری از نگرانی ذهنی، تنش و برانگیختگی فیزیولوژیک واکنش نشان دهند (اسپیلبرگر، ۱۹۸۳).</w:t>
      </w:r>
    </w:p>
    <w:p>
      <w:pPr>
        <w:bidi w:val="1"/>
        <w:spacing w:lineRule="exact" w:line="580" w:after="0"/>
        <w:jc w:val="both"/>
      </w:pPr>
      <w:r>
        <w:rPr>
          <w:rFonts w:ascii="B Nazanin" w:hAnsi="B Nazanin" w:cs="B Nazanin" w:hint="cs"/>
          <w:sz w:val="24"/>
          <w:szCs w:val="24"/>
          <w:rtl/>
          <w:lang w:bidi="fa-IR"/>
        </w:rPr>
        <w:t xml:space="preserve">این استعداد روانشناختی برای تجربه کردن اضطراب، صرفاً یک مفهوم انتزاعی نیست؛ ریشه‌های عمیق عصب‌شناختی دارد. مطالعات نوین تصویربرداری مغزی نشان داده‌اند که اضطراب صفتی با یک عدم تعادل عملکردی و پایدار در مدارهای کلیدی پردازش هیجانی مغز، به ویژه مدار حیاتی آمیگدال-پیش‌پیشانی، ارتباط تنگاتنگی دارد. در این ساختار عصبی، آمیگدال به عنوان مرکز هشداردهنده خطر و پردازش ترس، در افراد با اضطراب صفتی بالا، دارای فعالیت بیش از حد معمول و حساسیت بالا است؛ در حالی که قشر پیش‌پیشانی که مسئولیت تنظیم هیجانات، کنترل تکانه‌ها و استدلال منطقی را بر عهده دارد، توانایی کافی برای مهار و بازداری این فعالیت آمیگدالی را از خود نشان نمی‌دهد.</w:t>
      </w:r>
    </w:p>
    <w:p>
      <w:pPr>
        <w:bidi w:val="1"/>
        <w:spacing w:lineRule="exact" w:line="580" w:after="0"/>
        <w:jc w:val="both"/>
      </w:pPr>
      <w:r>
        <w:rPr>
          <w:rFonts w:ascii="B Nazanin" w:hAnsi="B Nazanin" w:cs="B Nazanin" w:hint="cs"/>
          <w:sz w:val="24"/>
          <w:szCs w:val="24"/>
          <w:rtl/>
          <w:lang w:bidi="fa-IR"/>
        </w:rPr>
        <w:t xml:space="preserve">این وضعیت عصب‌شناختی، منجر به شکل‌گیری یک «سوگیری توجهی» مشخص و نیرومند به سمت پردازش محرک‌های تهدیدآمیز می‌گردد؛ به این معنا که سیستم توجهی فرد به طور خودکار و سریع، بر روی هر گونه نشانه بالقوه خطر (مانند نوسان منفی قیمت یا اخبار بد اقتصادی) متمرکز شده و منابع شناختی را از پردازش سایر اطلاعات خنثی یا مثبت منحرف می‌کند. در نتیجه، فرد در یک حالت گوش‌به‌زنگی دائمی و آماده‌باش برای مقابله با خطر قرار می‌گیرد که اگرچه از نظر تکاملی برای بقا مفید است، اما در محیط پیچیده بازار مالی، به مانعی جدی برای تصمیم‌گیری عقلانی و بی‌طرفانه تبدیل می‌شود (بیشاپ، ۲۰۰۷)</w:t>
      </w:r>
    </w:p>
    <w:p>
      <w:pPr>
        <w:bidi w:val="1"/>
        <w:spacing w:lineRule="exact" w:line="580" w:after="0"/>
        <w:jc w:val="both"/>
      </w:pPr>
      <w:r>
        <w:rPr>
          <w:rFonts w:ascii="B Nazanin" w:hAnsi="B Nazanin" w:cs="B Nazanin" w:hint="cs"/>
          <w:sz w:val="24"/>
          <w:szCs w:val="24"/>
          <w:rtl/>
          <w:lang w:bidi="fa-IR"/>
        </w:rPr>
        <w:t xml:space="preserve">این پویایی مغزی مختل‌شده در افراد با اضطراب صفتی بالا، یک ویژگی کلیدی و مشخصه روانشناختی دیگری را نیز به همراه دارد: حالت آینده‌محوری و درگیری مداوم ذهنی با سناریوهای منفی احتمالی. بر خلاف ترس که واکنشی هیجانی به یک خطر آنی و ملموس است، اضطراب ماهیتی پیش‌نگرانه دارد و با تمرکز وسواسی بر پیش‌بینی و عدم قطعیت درباره تهدیدات مبهمی که ممکن است در آینده رخ دهند، مشخص می‌شود. در بافت بازار مالی، این حالت به صورت یک اشتغال ذهنی مداوم و ناتوان‌کننده درباره "چه می‌شود اگر بازار سقوط کند؟" یا "اگر تحلیل من اشتباه باشد؟" نمود می‌یابد.</w:t>
      </w:r>
    </w:p>
    <w:p>
      <w:pPr>
        <w:bidi w:val="1"/>
        <w:spacing w:lineRule="exact" w:line="580" w:after="0"/>
        <w:jc w:val="both"/>
      </w:pPr>
      <w:r>
        <w:rPr>
          <w:rFonts w:ascii="B Nazanin" w:hAnsi="B Nazanin" w:cs="B Nazanin" w:hint="cs"/>
          <w:sz w:val="24"/>
          <w:szCs w:val="24"/>
          <w:rtl/>
          <w:lang w:bidi="fa-IR"/>
        </w:rPr>
        <w:t xml:space="preserve">این تمرکز بیش از حد بر تهدیدات آتی، منجر به شکل‌گیری پدیده‌ای می‌شود که در ادبیات روانشناسی به عنوان «عدم تحمل عدم قطعیت» شناخته می‌شود؛ وضعیتی که توانایی فرد را برای پردازش منطقی احتمالات و مدیریت موثر ریسک به شدت مختل می‌سازد. در واقع، فرد مضطرب به جای تلاش برای کاهش عدم قطعیت از طریق تحلیل عینی داده‌ها و کسب اطلاعات بیشتر، مسیر دیگری می‌پیماید: انرژی شناختی خود را صرف نگرانی درباره ناشناخته‌ها و تلاش بی‌حاصل برای کنترل تمام متغیرهای غیرقابل کنترل می‌کند. نتیجه این فرآیند، بروز اختلال در عملکرد اجرایی مغز، اجتناب از تصمیم‌گیری‌های ضروری (فلج تحلیل) یا اتخاذ تصمیمات عجولانه و هیجانی صرفاً برای فرار از ابهام و کاهش تنش درونی است (گروپ و نیچکه، ۲۰۱۳).</w:t>
      </w:r>
    </w:p>
    <w:p>
      <w:pPr>
        <w:bidi w:val="1"/>
        <w:spacing w:lineRule="exact" w:line="580" w:after="0"/>
        <w:jc w:val="both"/>
      </w:pPr>
      <w:r>
        <w:rPr>
          <w:rFonts w:ascii="B Nazanin" w:hAnsi="B Nazanin" w:cs="B Nazanin" w:hint="cs"/>
          <w:sz w:val="24"/>
          <w:szCs w:val="24"/>
          <w:rtl/>
          <w:lang w:bidi="fa-IR"/>
        </w:rPr>
        <w:t xml:space="preserve">این اختلال عصب‌شناختی و هیجانی، پیامدهای شناختی مشخص و قابل اندازه‌گیری دارد که مکانیسم اثرگذاری آن بر عملکرد، به بهترین و دقیق‌ترین شکل توسط چارچوب نظری قدرتمندی به نام «نظریه کنترل توجه» تبیین و تشریح می‌شود. طبق این نظریه که توسط آیزنک و همکاران توسعه یافته است، اضطراب لزوماً کیفیت عملکرد (اثربخشی) را کاهش نمی‌دهد، بلکه با ایجاد اختلال در توازن سیستم‌های پردازش اطلاعات، کارایی شناختی مغز را مختل می‌سازد.</w:t>
      </w:r>
    </w:p>
    <w:p>
      <w:pPr>
        <w:bidi w:val="1"/>
        <w:spacing w:lineRule="exact" w:line="580" w:after="0"/>
        <w:jc w:val="both"/>
      </w:pPr>
      <w:r>
        <w:rPr>
          <w:rFonts w:ascii="B Nazanin" w:hAnsi="B Nazanin" w:cs="B Nazanin" w:hint="cs"/>
          <w:sz w:val="24"/>
          <w:szCs w:val="24"/>
          <w:rtl/>
          <w:lang w:bidi="fa-IR"/>
        </w:rPr>
        <w:t xml:space="preserve">بر اساس این مدل، اضطراب تعادل میان دو سیستم اصلی توجه در مغز را برهم می‌زند: از یک سو، باعث افزایش نفوذ و غلبه سیستم توجهی «محرک-محور« (پایین-به-بالا) می‌شود؛ سیستمی که مسئول پایش محیط و واکنش سریع و خودکار به محرک‌های برجسته، ناگهانی و تهدیدآمیز است. و از سوی دیگر، موجب کاهش کارایی و تضعیف سیستم توجهی «هدف-محور« (بالا-به-پایین) می‌گردد؛ سیستمی ارادی و آگاهانه که مسئولیت تمرکز پایدار بر اهداف بلندمدت، برنامه‌ریزی استراتژیک و نادیده گرفتن عوامل مزاحم را بر عهده دارد. در نتیجه این عدم تعادل، فرد مضطرب به راحتی تسلیم حواس‌پرتی‌های محیطی شده و توانایی خود را برای حفظ تمرکز بر روی استراتژی اصلی و هدف نهایی از دست می‌دهد. (آیزنک و همکاران، ۲۰۰۷)</w:t>
      </w:r>
    </w:p>
    <w:p>
      <w:pPr>
        <w:bidi w:val="1"/>
        <w:spacing w:lineRule="exact" w:line="580" w:after="0"/>
        <w:jc w:val="both"/>
      </w:pPr>
      <w:r>
        <w:rPr>
          <w:rFonts w:ascii="B Nazanin" w:hAnsi="B Nazanin" w:cs="B Nazanin" w:hint="cs"/>
          <w:sz w:val="24"/>
          <w:szCs w:val="24"/>
          <w:rtl/>
          <w:lang w:bidi="fa-IR"/>
        </w:rPr>
        <w:t xml:space="preserve">این پدیده که در روانشناسی شناختی از آن به عنوان » ربایش توجه«توسط محرک‌های برجسته، ناگهانی و تهدیدآمیز یاد می‌شود، پیامد مستقیم و مخربی بر عملکرد شناختی فرد دارد: اشغال ظرفیت محدود و حیاتی حافظه کاری. به طور دقیق‌تر، این فرایند منابع «مجری مرکزی» را که به عنوان اتاق فرمان سیستم شناختی عمل می‌کند، به خود اختصاص می‌دهد و آن‌ها را از پردازش اطلاعات مرتبط با هدف اصلی (معامله‌گری سودده) منحرف می‌سازد.</w:t>
      </w:r>
    </w:p>
    <w:p>
      <w:pPr>
        <w:bidi w:val="1"/>
        <w:spacing w:lineRule="exact" w:line="580" w:after="0"/>
        <w:jc w:val="both"/>
      </w:pPr>
      <w:r>
        <w:rPr>
          <w:rFonts w:ascii="B Nazanin" w:hAnsi="B Nazanin" w:cs="B Nazanin" w:hint="cs"/>
          <w:sz w:val="24"/>
          <w:szCs w:val="24"/>
          <w:rtl/>
          <w:lang w:bidi="fa-IR"/>
        </w:rPr>
        <w:t xml:space="preserve">مجری مرکزی، همان سیستم پیشرفته و پیچیده‌ای است که مسئولیت تخصیص هوشمندانه منابع توجهی، کنترل تکانه‌ها، استدلال انتزاعی و انجام تحلیل‌های منطقی و چندمرحله‌ای را بر عهده دارد. عملکرد بی‌نقص و کارآمد این سیستم، برای انجام یک تحلیل مالی حساب‌شده، پردازش همزمان متغیرهای متعدد بازار و اتخاذ تصمیمات استراتژیک در شرایط پیچیده، ضروری و حیاتی است. اما زمانی که ظرفیت محدود این سیستم توسط نگرانی‌های مزاحم، افکار نشخوارکننده و پایش وسواس‌گونه تهدیدات اشغال می‌شود، توانایی فرد برای تفکر عمیق و تصمیم‌گیری عقلانی به شدت کاهش می‌یابد و او را مستعد خطاهای شناختی و رفتارهای تکانشی می‌سازد (بدلی و همکاران</w:t>
      </w:r>
      <w:r>
        <w:rPr>
          <w:rFonts w:ascii="B Nazanin" w:hAnsi="B Nazanin" w:cs="B Nazanin" w:hint="cs"/>
          <w:vertAlign w:val="superscript"/>
          <w:rtl/>
        </w:rPr>
        <w:footnoteReference w:id="79"/>
      </w:r>
      <w:r>
        <w:rPr>
          <w:rFonts w:ascii="B Nazanin" w:hAnsi="B Nazanin" w:cs="B Nazanin" w:hint="cs"/>
          <w:sz w:val="24"/>
          <w:szCs w:val="24"/>
          <w:rtl/>
          <w:lang w:bidi="fa-IR"/>
        </w:rPr>
        <w:t xml:space="preserve">، ۲۰۲۱).</w:t>
      </w:r>
    </w:p>
    <w:p>
      <w:pPr>
        <w:bidi w:val="1"/>
        <w:spacing w:lineRule="exact" w:line="580" w:after="0"/>
        <w:jc w:val="both"/>
      </w:pPr>
      <w:r>
        <w:rPr>
          <w:rFonts w:ascii="B Nazanin" w:hAnsi="B Nazanin" w:cs="B Nazanin" w:hint="cs"/>
          <w:sz w:val="24"/>
          <w:szCs w:val="24"/>
          <w:rtl/>
          <w:lang w:bidi="fa-IR"/>
        </w:rPr>
        <w:t xml:space="preserve">در میان انبوه هیجانات و تجربیات انسانی، اضطراب به دلیل ماهیت دوگانه و متناقض خود، جایگاهی منحصر به فرد دارد. این هیجان، از یک سو به مثابه یک سیستم هشدار تکاملی عمل کرده و انسان را برای مواجهه با خطرات احتمالی آینده آماده می‌سازد، اما از سوی دیگر، در صورتی که از حد بهینه فراتر رود، می‌تواند به نیرویی فلج‌کننده و مخرب تبدیل شود که فرآیندهای شناختی و تصمیم‌گیری منطقی را به شدت مختل می‌کند (بیشاپ، ۲۰۰۷). درک ماهیت چندوجهی اضطراب، به ویژه در زمینه‌های پرفشاری مانند بازارهای مالی که با عدم قطعیت ذاتی گره خورده‌اند، برای تبیین رفتارهای مالی معامله‌گران از اهمیت ویژه‌ای برخوردار است (لوریولا و لوین، ۲۰۰۱).</w:t>
      </w:r>
    </w:p>
    <w:p>
      <w:pPr>
        <w:bidi w:val="1"/>
        <w:spacing w:lineRule="exact" w:line="580" w:after="0"/>
        <w:jc w:val="both"/>
      </w:pPr>
      <w:r>
        <w:rPr>
          <w:rFonts w:ascii="B Nazanin" w:hAnsi="B Nazanin" w:cs="B Nazanin" w:hint="cs"/>
          <w:sz w:val="24"/>
          <w:szCs w:val="24"/>
          <w:rtl/>
          <w:lang w:bidi="fa-IR"/>
        </w:rPr>
        <w:t xml:space="preserve">از منظر ریشه‌شناسی، واژه اضطراب</w:t>
      </w:r>
      <w:r>
        <w:rPr>
          <w:rFonts w:ascii="B Nazanin" w:hAnsi="B Nazanin" w:cs="B Nazanin" w:hint="cs"/>
          <w:vertAlign w:val="superscript"/>
          <w:rtl/>
        </w:rPr>
        <w:footnoteReference w:id="19"/>
      </w:r>
      <w:r>
        <w:rPr>
          <w:rFonts w:ascii="B Nazanin" w:hAnsi="B Nazanin" w:cs="B Nazanin" w:hint="cs"/>
          <w:sz w:val="24"/>
          <w:szCs w:val="24"/>
          <w:rtl/>
          <w:lang w:bidi="fa-IR"/>
        </w:rPr>
        <w:t xml:space="preserve"> ریشه در کلمه لاتین</w:t>
      </w:r>
      <w:r>
        <w:rPr>
          <w:rFonts w:ascii="Times New Roman" w:hAnsi="Times New Roman" w:cs="Times New Roman"/>
          <w:sz w:val="22"/>
          <w:szCs w:val="22"/>
          <w:lang w:val="en-US"/>
        </w:rPr>
        <w:t xml:space="preserve"> Angere </w:t>
      </w:r>
      <w:r>
        <w:rPr>
          <w:rFonts w:ascii="B Nazanin" w:hAnsi="B Nazanin" w:cs="B Nazanin" w:hint="cs"/>
          <w:sz w:val="24"/>
          <w:szCs w:val="24"/>
          <w:rtl/>
          <w:lang w:bidi="fa-IR"/>
        </w:rPr>
        <w:t xml:space="preserve">به معنای «فشردن»، «منقبض کردن» یا «خفه کردن» دارد. این ریشه، توصیفی دقیق از تجربه جسمانی اضطراب است که اغلب با احساس فشار در قفسه سینه، تنگی نفس و یک حس ناخوشایند درونی همراه بوده و نشان‌دهنده ماهیت روان‌تنی این هیجان است (بارلو</w:t>
      </w:r>
      <w:r>
        <w:rPr>
          <w:rFonts w:ascii="B Nazanin" w:hAnsi="B Nazanin" w:cs="B Nazanin" w:hint="cs"/>
          <w:vertAlign w:val="superscript"/>
          <w:rtl/>
        </w:rPr>
        <w:footnoteReference w:id="80"/>
      </w:r>
      <w:r>
        <w:rPr>
          <w:rFonts w:ascii="B Nazanin" w:hAnsi="B Nazanin" w:cs="B Nazanin" w:hint="cs"/>
          <w:sz w:val="24"/>
          <w:szCs w:val="24"/>
          <w:rtl/>
          <w:lang w:bidi="fa-IR"/>
        </w:rPr>
        <w:t xml:space="preserve">، ۲۰۰۲).</w:t>
      </w:r>
    </w:p>
    <w:p>
      <w:pPr>
        <w:bidi w:val="1"/>
        <w:spacing w:lineRule="exact" w:line="580" w:after="0"/>
        <w:jc w:val="both"/>
      </w:pPr>
      <w:r>
        <w:rPr>
          <w:rFonts w:ascii="B Nazanin" w:hAnsi="B Nazanin" w:cs="B Nazanin" w:hint="cs"/>
          <w:sz w:val="24"/>
          <w:szCs w:val="24"/>
          <w:rtl/>
          <w:lang w:bidi="fa-IR"/>
        </w:rPr>
        <w:t xml:space="preserve">در ادبیات روانشناسی، اضطراب به عنوان یک واکنش هیجانی پیچیده و آینده‌نگر تعریف می‌شود که در پاسخ به یک تهدید مبهم و ناشناخته رخ می‌دهد. برخلاف ترس که واکنشی به یک خطر مشخص و عینی در زمان حال است، اضطراب ذاتاً معطوف به پیش‌بینی رویدادهای منفی در آینده است (گروپ و نیچکه، ۲۰۱۳). انجمن روانشناسی آمریکا اضطراب را سازه‌ای چندبعدی می‌داند که شامل سه مؤلفه اصلی در هم تنیده است:</w:t>
      </w:r>
    </w:p>
    <w:p>
      <w:pPr>
        <w:bidi w:val="1"/>
        <w:spacing w:lineRule="exact" w:line="580" w:after="0"/>
        <w:jc w:val="both"/>
      </w:pPr>
      <w:r>
        <w:rPr>
          <w:rFonts w:ascii="B Nazanin" w:hAnsi="B Nazanin" w:cs="B Nazanin" w:hint="cs"/>
          <w:sz w:val="24"/>
          <w:szCs w:val="24"/>
          <w:rtl/>
          <w:lang w:bidi="fa-IR"/>
        </w:rPr>
        <w:t xml:space="preserve">مؤلفه شناختی (نگرانی): شامل زنجیره‌ای از افکار منفی، تردیدها و پیش‌بینی‌های فاجعه‌آمیز درباره آینده، مانند «اگر وارد این معامله شوم، تمام سرمایه‌ام را از دست خواهم داد» (بورکووک</w:t>
      </w:r>
      <w:r>
        <w:rPr>
          <w:rFonts w:ascii="B Nazanin" w:hAnsi="B Nazanin" w:cs="B Nazanin" w:hint="cs"/>
          <w:vertAlign w:val="superscript"/>
          <w:rtl/>
        </w:rPr>
        <w:footnoteReference w:id="81"/>
      </w:r>
      <w:r>
        <w:rPr>
          <w:rFonts w:ascii="B Nazanin" w:hAnsi="B Nazanin" w:cs="B Nazanin" w:hint="cs"/>
          <w:sz w:val="24"/>
          <w:szCs w:val="24"/>
          <w:rtl/>
          <w:lang w:bidi="fa-IR"/>
        </w:rPr>
        <w:t xml:space="preserve">، ۱۹۹۴).</w:t>
      </w:r>
    </w:p>
    <w:p>
      <w:pPr>
        <w:bidi w:val="1"/>
        <w:spacing w:lineRule="exact" w:line="580" w:after="0"/>
        <w:jc w:val="both"/>
      </w:pPr>
      <w:r>
        <w:rPr>
          <w:rFonts w:ascii="B Nazanin" w:hAnsi="B Nazanin" w:cs="B Nazanin" w:hint="cs"/>
          <w:sz w:val="24"/>
          <w:szCs w:val="24"/>
          <w:rtl/>
          <w:lang w:bidi="fa-IR"/>
        </w:rPr>
        <w:t xml:space="preserve">مؤلفه فیزیولوژیک (برانگیختگی جسمانی): شامل فعال شدن سیستم عصبی سمپاتیک که منجر به علائمی نظیر افزایش ضربان قلب، تعریق، لرزش و تنش عضلانی و اختلالات گوارشی می‌شود. این علائم، خود می‌توانند به منبع جدیدی برای نگرانی تبدیل شده و یک چرخه معیوب اضطرابی ایجاد کنند. (کاپلان و سادوک</w:t>
      </w:r>
      <w:r>
        <w:rPr>
          <w:rFonts w:ascii="B Nazanin" w:hAnsi="B Nazanin" w:cs="B Nazanin" w:hint="cs"/>
          <w:vertAlign w:val="superscript"/>
          <w:rtl/>
        </w:rPr>
        <w:footnoteReference w:id="82"/>
      </w:r>
      <w:r>
        <w:rPr>
          <w:rFonts w:ascii="B Nazanin" w:hAnsi="B Nazanin" w:cs="B Nazanin" w:hint="cs"/>
          <w:sz w:val="24"/>
          <w:szCs w:val="24"/>
          <w:rtl/>
          <w:lang w:bidi="fa-IR"/>
        </w:rPr>
        <w:t xml:space="preserve">، ۲۰۱۵).</w:t>
      </w:r>
    </w:p>
    <w:p>
      <w:pPr>
        <w:bidi w:val="1"/>
        <w:spacing w:lineRule="exact" w:line="580" w:after="0"/>
        <w:jc w:val="both"/>
      </w:pPr>
      <w:r>
        <w:rPr>
          <w:rFonts w:ascii="B Nazanin" w:hAnsi="B Nazanin" w:cs="B Nazanin" w:hint="cs"/>
          <w:sz w:val="24"/>
          <w:szCs w:val="24"/>
          <w:rtl/>
          <w:lang w:bidi="fa-IR"/>
        </w:rPr>
        <w:t xml:space="preserve">مؤلفه رفتاری (اجتناب): شامل تمایل به فرار یا دوری از موقعیت‌ها، افراد یا تصمیماتی که اضطراب را برمی‌انگیزند، و همچنین انجام اعمالی برای کاهش حس خطر (رفتارهای ایمنی‌طلب). برای یک معامله‌گر، این رفتارها می‌تواند شامل اجتناب کامل از بازار، یا رفتارهای ایمنی‌طلب مانند چک کردن وسواسی قیمت‌ها، تنظیم حد ضررهای بسیار نزدیک به نقطه ورود، یا جستجوی دائمی تأیید از دیگران باشد. (مانر و اشمیت، ۲۰۰۶).</w:t>
      </w:r>
    </w:p>
    <w:p>
      <w:pPr>
        <w:bidi w:val="1"/>
        <w:spacing w:lineRule="exact" w:line="580" w:after="0"/>
        <w:jc w:val="both"/>
      </w:pPr>
      <w:r>
        <w:rPr>
          <w:rFonts w:ascii="B Nazanin" w:hAnsi="B Nazanin" w:cs="B Nazanin" w:hint="cs"/>
          <w:sz w:val="24"/>
          <w:szCs w:val="24"/>
          <w:rtl/>
          <w:lang w:bidi="fa-IR"/>
        </w:rPr>
        <w:t xml:space="preserve">از دیدگاه تکاملی، اضطراب یک میراث ارزشمند برای بقای بشر است. این هیجان با فعال کردن سیستم «جنگ یا گریز»، بدن را برای واکنش سریع به خطرات احتمالی آماده می‌کند. مقدار بهینه‌ای از اضطراب که به آن «اضطراب سازنده» نیز گفته می‌شود،  می‌تواند منجر به افزایش هوشیاری، تمرکز، برنامه‌ریزی دقیق‌تر و بهبود عملکرد شود. این پدیده در قالب قانون یرکز-دادسون توضیح داده می‌شود که بیان می‌کند عملکرد تا یک نقطه بهینه با افزایش برانگیختگی (اضطراب) بهبود می‌یابد، اما پس از آن نقطه، افزایش بیشتر اضطراب منجر به اشغال منابع شناختی و افت شدید عملکرد تصمیم‌گیری می‌شود (آیزنک و همکاران، ۲۰۰۷). در محیط پیچیده بازارهای مالی، عبور از این نقطه بهینه به معنای ورود به منطقه «فلج تحلیلی» (ناتوانی در تصمیم‌گیری به دلیل تحلیل بیش از حد) یا «تصمیم‌گیری تکانشی» (اقدام شتاب‌زده برای فرار از حس ناخوشایند اضطراب) است (میت</w:t>
      </w:r>
      <w:r>
        <w:rPr>
          <w:rFonts w:ascii="B Nazanin" w:hAnsi="B Nazanin" w:cs="B Nazanin" w:hint="cs"/>
          <w:vertAlign w:val="superscript"/>
          <w:rtl/>
        </w:rPr>
        <w:footnoteReference w:id="83"/>
      </w:r>
      <w:r>
        <w:rPr>
          <w:rFonts w:ascii="B Nazanin" w:hAnsi="B Nazanin" w:cs="B Nazanin" w:hint="cs"/>
          <w:sz w:val="24"/>
          <w:szCs w:val="24"/>
          <w:rtl/>
          <w:lang w:bidi="fa-IR"/>
        </w:rPr>
        <w:t xml:space="preserve">، ۲۰۰۷).</w:t>
      </w:r>
    </w:p>
    <w:p>
      <w:pPr>
        <w:pStyle w:val="Heading4"/>
        <w:bidi w:val="1"/>
        <w:jc w:val="right"/>
        <w:outlineLvl w:val="1"/>
      </w:pPr>
      <w:r>
        <w:rPr>
          <w:rFonts w:ascii="B Nazanin" w:hAnsi="B Nazanin" w:cs="B Nazanin" w:hint="cs"/>
          <w:b/>
          <w:bCs/>
          <w:sz w:val="24"/>
          <w:szCs w:val="24"/>
          <w:rtl/>
          <w:lang w:bidi="fa-IR"/>
        </w:rPr>
        <w:t xml:space="preserve">۲-۲-۱-۱ تمایزهای مفهومی کلیدی</w:t>
      </w:r>
    </w:p>
    <w:p>
      <w:pPr>
        <w:bidi w:val="1"/>
        <w:spacing w:lineRule="exact" w:line="580" w:after="0"/>
        <w:jc w:val="both"/>
      </w:pPr>
      <w:r>
        <w:rPr>
          <w:rFonts w:ascii="B Nazanin" w:hAnsi="B Nazanin" w:cs="B Nazanin" w:hint="cs"/>
          <w:sz w:val="24"/>
          <w:szCs w:val="24"/>
          <w:rtl/>
          <w:lang w:bidi="fa-IR"/>
        </w:rPr>
        <w:t xml:space="preserve">برای درک عمیق ماهیت اضطراب و نقش آن در رفتارهای پیچیده‌ای همچون تصمیم‌گیری مالی، لازم است ابتدا دو تمایز مفهومی بنیادین را روشن سازیم. اولین تمایز، تفاوت بین هیجان «ترس» و «اضطراب» است و دومین تمایز، مرزبندی بین «اضطراب بهنجار» و «اضطراب مرضی» است. این تفکیک‌ها، چارچوبی برای فهم این موضوع فراهم می‌آورند که چگونه یک واکنش هیجانی طبیعی می‌تواند به یک عامل مخرب و آسیب‌زا در عملکرد فرد، به ویژه در عرصه پرچالش معامله‌گری، تبدیل شود.</w:t>
      </w:r>
    </w:p>
    <w:p>
      <w:pPr>
        <w:bidi w:val="1"/>
        <w:spacing w:lineRule="exact" w:line="580" w:after="0"/>
        <w:jc w:val="both"/>
      </w:pPr>
      <w:r>
        <w:rPr>
          <w:rFonts w:ascii="B Nazanin" w:hAnsi="B Nazanin" w:cs="B Nazanin" w:hint="cs"/>
          <w:b/>
          <w:bCs/>
          <w:sz w:val="24"/>
          <w:szCs w:val="24"/>
          <w:rtl/>
          <w:lang w:bidi="fa-IR"/>
        </w:rPr>
        <w:t xml:space="preserve">تفاوت ترس و اضطراب.</w:t>
      </w:r>
    </w:p>
    <w:p>
      <w:pPr>
        <w:bidi w:val="1"/>
        <w:spacing w:lineRule="exact" w:line="580" w:after="0"/>
        <w:jc w:val="both"/>
      </w:pPr>
      <w:r>
        <w:rPr>
          <w:rFonts w:ascii="B Nazanin" w:hAnsi="B Nazanin" w:cs="B Nazanin" w:hint="cs"/>
          <w:sz w:val="24"/>
          <w:szCs w:val="24"/>
          <w:rtl/>
          <w:lang w:bidi="fa-IR"/>
        </w:rPr>
        <w:t xml:space="preserve">گرچه در زبان روزمره، واژگان ترس و اضطراب اغلب به جای یکدیگر به کار می‌روند، اما در روانشناسی، این دو، سازه‌هایی کاملاً متمایز با مدارهای عصبی متفاوت هستند. اصلی‌ترین تفاوت آن‌ها در منبع و زمان‌بندی تهدید ادراک‌شده نهفته است (بارلو، ۲۰۰۲؛ هارتلی و فلپس</w:t>
      </w:r>
      <w:r>
        <w:rPr>
          <w:rFonts w:ascii="B Nazanin" w:hAnsi="B Nazanin" w:cs="B Nazanin" w:hint="cs"/>
          <w:vertAlign w:val="superscript"/>
          <w:rtl/>
        </w:rPr>
        <w:footnoteReference w:id="84"/>
      </w:r>
      <w:r>
        <w:rPr>
          <w:rFonts w:ascii="B Nazanin" w:hAnsi="B Nazanin" w:cs="B Nazanin" w:hint="cs"/>
          <w:sz w:val="24"/>
          <w:szCs w:val="24"/>
          <w:rtl/>
          <w:lang w:bidi="fa-IR"/>
        </w:rPr>
        <w:t xml:space="preserve">، ۲۰۱۲).</w:t>
      </w:r>
    </w:p>
    <w:p>
      <w:pPr>
        <w:bidi w:val="1"/>
        <w:spacing w:lineRule="exact" w:line="580" w:after="0"/>
        <w:jc w:val="both"/>
      </w:pPr>
      <w:r>
        <w:rPr>
          <w:rFonts w:ascii="B Nazanin" w:hAnsi="B Nazanin" w:cs="B Nazanin" w:hint="cs"/>
          <w:sz w:val="24"/>
          <w:szCs w:val="24"/>
          <w:rtl/>
          <w:lang w:bidi="fa-IR"/>
        </w:rPr>
        <w:t xml:space="preserve">منبع تهدید: ترس، واکنشی هیجانی به یک خطر مشخص، عینی و قریب‌الوقوع در زمان حال است. برای مثال، مواجهه با یک حیوان درنده یا مشاهده سقوط ناگهانی و شدید شاخص بورس، واکنش ترس را برمی‌انگیزد. در مقابل، اضطراب واکنشی به یک تهدید مبهم، درونی و معطوف به آینده است. معامله‌گری که نگران احتمال وقوع یک بحران مالی در ماه‌های آینده است یا از امکان شکست در معاملات بعدی خود هراسان است، در حال تجربه اضطراب است، نه ترس (گروپ و نیچکه، ۲۰۱۳). به عبارت دیگر، ترس پاسخی به یک خطر واقعی و حاضر است، در حالی که اضطراب پاسخی به یک «چه می‌شود اگر...» است.</w:t>
      </w:r>
    </w:p>
    <w:p>
      <w:pPr>
        <w:bidi w:val="1"/>
        <w:spacing w:lineRule="exact" w:line="580" w:after="0"/>
        <w:jc w:val="both"/>
      </w:pPr>
      <w:r>
        <w:rPr>
          <w:rFonts w:ascii="B Nazanin" w:hAnsi="B Nazanin" w:cs="B Nazanin" w:hint="cs"/>
          <w:sz w:val="24"/>
          <w:szCs w:val="24"/>
          <w:rtl/>
          <w:lang w:bidi="fa-IR"/>
        </w:rPr>
        <w:t xml:space="preserve">جهت‌گیری زمانی: این تفاوت در منبع، مستقیماً به جهت‌گیری زمانی این دو هیجان منجر می‌شود. ترس، یک هیجان حال-محور است که سیستم «جنگ یا گریز» را برای بقای فوری فعال می‌کند. اما اضطراب، یک حالت هیجانی آینده-محور است که فرد را در یک وضعیت «آماده‌باش و گوش‌به‌زنگی» مزمن برای مواجهه با خطرات احتمالی آینده قرار می‌دهد. این حالت گوش‌به‌زنگی، اگرچه می‌تواند سازگارانه باشد، اما در صورت تداوم، منابع شناختی فرد را به شدت تحلیل برده و او را مستعد سوگیری در پردازش اطلاعات می‌کند (بیشاپ، ۲۰۰۷).</w:t>
      </w:r>
    </w:p>
    <w:p>
      <w:pPr>
        <w:bidi w:val="1"/>
        <w:spacing w:lineRule="exact" w:line="580" w:after="0"/>
        <w:jc w:val="both"/>
      </w:pPr>
      <w:r>
        <w:rPr>
          <w:rFonts w:ascii="B Nazanin" w:hAnsi="B Nazanin" w:cs="B Nazanin" w:hint="cs"/>
          <w:sz w:val="24"/>
          <w:szCs w:val="24"/>
          <w:rtl/>
          <w:lang w:bidi="fa-IR"/>
        </w:rPr>
        <w:t xml:space="preserve">مدار عصبی: از منظر عصب‌شناختی، ترس پاسخی سریع و خودکار است که عمدتاً توسط آمیگدال مدیریت می‌شود تا واکنش فوری برای بقا را ممکن سازد. در مقابل، اضطراب فرآیندی پیچیده‌تر است که شامل فعالیت پایدار در هسته بستر استریا ترمینالیس</w:t>
      </w:r>
      <w:r>
        <w:rPr>
          <w:rFonts w:ascii="B Nazanin" w:hAnsi="B Nazanin" w:cs="B Nazanin" w:hint="cs"/>
          <w:vertAlign w:val="superscript"/>
          <w:rtl/>
        </w:rPr>
        <w:footnoteReference w:id="20"/>
      </w:r>
      <w:r>
        <w:rPr>
          <w:rFonts w:ascii="B Nazanin" w:hAnsi="B Nazanin" w:cs="B Nazanin" w:hint="cs"/>
          <w:sz w:val="24"/>
          <w:szCs w:val="24"/>
          <w:rtl/>
          <w:lang w:bidi="fa-IR"/>
        </w:rPr>
        <w:t xml:space="preserve"> و تعامل گسترده با قشر پیش‌پیشانی (مرکز برنامه‌ریزی و تفکر انتزاعی) می‌شود (گروپ و نیچکه، ۲۰۱۳). این تمایز بسیار کلیدی است؛ زیرا نشان می‌دهد اضطراب، برخلاف ترس، به شدت با فرآیندهای شناختی عالی مانند قضاوت، تحلیل و پیش‌بینی گره خورده و به همین دلیل پتانسیل بالایی برای ایجاد سوگیری در این فرآیندها دارد..</w:t>
      </w:r>
    </w:p>
    <w:p>
      <w:pPr>
        <w:bidi w:val="1"/>
        <w:spacing w:lineRule="exact" w:line="580" w:after="0"/>
        <w:jc w:val="both"/>
      </w:pPr>
      <w:r>
        <w:rPr>
          <w:rFonts w:ascii="B Nazanin" w:hAnsi="B Nazanin" w:cs="B Nazanin" w:hint="cs"/>
          <w:b/>
          <w:bCs/>
          <w:sz w:val="24"/>
          <w:szCs w:val="24"/>
          <w:rtl/>
          <w:lang w:bidi="fa-IR"/>
        </w:rPr>
        <w:t xml:space="preserve">تفاوت اضطراب بهنجار و مرضی.</w:t>
      </w:r>
    </w:p>
    <w:p>
      <w:pPr>
        <w:bidi w:val="1"/>
        <w:spacing w:lineRule="exact" w:line="580" w:after="0"/>
        <w:jc w:val="both"/>
      </w:pPr>
      <w:r>
        <w:rPr>
          <w:rFonts w:ascii="B Nazanin" w:hAnsi="B Nazanin" w:cs="B Nazanin" w:hint="cs"/>
          <w:sz w:val="24"/>
          <w:szCs w:val="24"/>
          <w:rtl/>
          <w:lang w:bidi="fa-IR"/>
        </w:rPr>
        <w:t xml:space="preserve">اضطراب، به خودی خود، یک اختلال نیست؛ بلکه یک هیجان طبیعی و ضروری برای زندگی است. مرز بین اضطراب بهنجار (سازگارانه) و مرضی (ناسازگارانه) با سه معیار اصلی تعیین می‌شود: شدت، مدت و اختلال در عملکرد.</w:t>
      </w:r>
    </w:p>
    <w:p>
      <w:pPr>
        <w:bidi w:val="1"/>
        <w:spacing w:lineRule="exact" w:line="580" w:after="0"/>
        <w:jc w:val="both"/>
      </w:pPr>
      <w:r>
        <w:rPr>
          <w:rFonts w:ascii="B Nazanin" w:hAnsi="B Nazanin" w:cs="B Nazanin" w:hint="cs"/>
          <w:sz w:val="24"/>
          <w:szCs w:val="24"/>
          <w:rtl/>
          <w:lang w:bidi="fa-IR"/>
        </w:rPr>
        <w:t xml:space="preserve">شدت و مدت: اضطراب بهنجار، واکنشی متناسب با موقعیت است و با برطرف شدن عامل تهدید، فروکش می‌کند. برای مثال، احساس دلهره پیش از یک ارائه مهم، کاملاً طبیعی است. اما اضطراب مرضی، واکنشی نامتناسب، شدید و طولانی‌مدت است. این حالت پایدار، نتیجه چیزی است که بارلو (۲۰۰۲) آن را «هشدار کاذب» می‌نامد؛ در این وضعیت، سیستم اضطراب بدن در غیاب یک تهدید واقعی فعال شده و فرد را در یک حالت برانگیختگی مزمن نگه می‌دارد.که حتی در غیاب یک محرک واقعی نیز ادامه می‌یابد. فردی که هفته‌ها پس از یک زیان کوچک در بازار، همچنان دچار بی‌خوابی و نگرانی فلج‌کننده است، اضطراب مرضی را تجربه می‌کند.</w:t>
      </w:r>
    </w:p>
    <w:p>
      <w:pPr>
        <w:bidi w:val="1"/>
        <w:spacing w:lineRule="exact" w:line="580" w:after="0"/>
        <w:jc w:val="both"/>
      </w:pPr>
      <w:r>
        <w:rPr>
          <w:rFonts w:ascii="B Nazanin" w:hAnsi="B Nazanin" w:cs="B Nazanin" w:hint="cs"/>
          <w:sz w:val="24"/>
          <w:szCs w:val="24"/>
          <w:rtl/>
          <w:lang w:bidi="fa-IR"/>
        </w:rPr>
        <w:t xml:space="preserve">اختلال در عملکرد: مهم‌ترین شاخص برای تمایز این دو، میزان تأثیر مخرب بر زندگی روزمره فرد است. اضطراب زمانی مرضی تلقی می‌شود که به طور معناداری عملکرد شغلی، تحصیلی یا اجتماعی فرد را مختل کند (انجمن روانپزشکی آمریکا</w:t>
      </w:r>
      <w:r>
        <w:rPr>
          <w:rFonts w:ascii="B Nazanin" w:hAnsi="B Nazanin" w:cs="B Nazanin" w:hint="cs"/>
          <w:vertAlign w:val="superscript"/>
          <w:rtl/>
        </w:rPr>
        <w:footnoteReference w:id="85"/>
      </w:r>
      <w:r>
        <w:rPr>
          <w:rFonts w:ascii="B Nazanin" w:hAnsi="B Nazanin" w:cs="B Nazanin" w:hint="cs"/>
          <w:sz w:val="24"/>
          <w:szCs w:val="24"/>
          <w:rtl/>
          <w:lang w:bidi="fa-IR"/>
        </w:rPr>
        <w:t xml:space="preserve">، ۲۰۱۳). برای یک معامله‌گر، این اختلال می‌تواند خود را به شکل «فلج تحلیلی» (ناتوانی درتمرکز و تصمیم‌گیری) (گامبتی و گیوسبرتی</w:t>
      </w:r>
      <w:r>
        <w:rPr>
          <w:rFonts w:ascii="B Nazanin" w:hAnsi="B Nazanin" w:cs="B Nazanin" w:hint="cs"/>
          <w:vertAlign w:val="superscript"/>
          <w:rtl/>
        </w:rPr>
        <w:footnoteReference w:id="86"/>
      </w:r>
      <w:r>
        <w:rPr>
          <w:rFonts w:ascii="B Nazanin" w:hAnsi="B Nazanin" w:cs="B Nazanin" w:hint="cs"/>
          <w:sz w:val="24"/>
          <w:szCs w:val="24"/>
          <w:rtl/>
          <w:lang w:bidi="fa-IR"/>
        </w:rPr>
        <w:t xml:space="preserve">، ۲۰۱۲).، «اجتناب از بازار» (ترس از انجام هرگونه معامله) یا برعکس(لو و همکاران</w:t>
      </w:r>
      <w:r>
        <w:rPr>
          <w:rFonts w:ascii="B Nazanin" w:hAnsi="B Nazanin" w:cs="B Nazanin" w:hint="cs"/>
          <w:vertAlign w:val="superscript"/>
          <w:rtl/>
        </w:rPr>
        <w:footnoteReference w:id="87"/>
      </w:r>
      <w:r>
        <w:rPr>
          <w:rFonts w:ascii="B Nazanin" w:hAnsi="B Nazanin" w:cs="B Nazanin" w:hint="cs"/>
          <w:sz w:val="24"/>
          <w:szCs w:val="24"/>
          <w:rtl/>
          <w:lang w:bidi="fa-IR"/>
        </w:rPr>
        <w:t xml:space="preserve">، ۲۰۰۵).، «رفتارهای تکانشی و پرخطر» (برای فرار از حس ناخوشایند اضطراب) نشان دهد. در واقع، اضطراب از یک «ابزار» مفید به یک «مانع» بزرگ در مسیر تصمیم‌گیری عقلانی تبدیل می‌شود.</w:t>
      </w:r>
    </w:p>
    <w:p>
      <w:pPr>
        <w:pStyle w:val="Heading4"/>
        <w:bidi w:val="1"/>
        <w:jc w:val="right"/>
        <w:outlineLvl w:val="1"/>
      </w:pPr>
      <w:r>
        <w:rPr>
          <w:rFonts w:ascii="B Nazanin" w:hAnsi="B Nazanin" w:cs="B Nazanin" w:hint="cs"/>
          <w:b/>
          <w:bCs/>
          <w:sz w:val="24"/>
          <w:szCs w:val="24"/>
          <w:rtl/>
          <w:lang w:bidi="fa-IR"/>
        </w:rPr>
        <w:t xml:space="preserve">۲-۲-۱-۲ مبانی زیست‌شناختی و عصب‌شناختی اضطراب</w:t>
      </w:r>
    </w:p>
    <w:p>
      <w:pPr>
        <w:bidi w:val="1"/>
        <w:spacing w:lineRule="exact" w:line="580" w:after="0"/>
        <w:jc w:val="both"/>
      </w:pPr>
      <w:r>
        <w:rPr>
          <w:rFonts w:ascii="B Nazanin" w:hAnsi="B Nazanin" w:cs="B Nazanin" w:hint="cs"/>
          <w:sz w:val="24"/>
          <w:szCs w:val="24"/>
          <w:rtl/>
          <w:lang w:bidi="fa-IR"/>
        </w:rPr>
        <w:t xml:space="preserve">دیدگاه‌های روانشناختی، چارچوبی برای فهم تجربه و تفسیر اضطراب فراهم می‌کنند، اما پیشرفت‌های چشمگیر در علوم اعصاب در دهه‌های اخیر، این امکان را فراهم آورده است که به «سخت‌افزار» بیولوژیک این هیجان بتوان نگاهی عمیق‌تر انداخت. درک مبانی زیست‌شناختی نشان می‌دهد که چرا برخی افراد به طور ذاتی مستعد اضطراب بیشتری هستند و چگونه این استعداد در سطح مدارهای مغزی، انتقال‌دهنده‌های عصبی و واکنش‌های فیزیولوژیک، به یک واقعیت ملموس تبدیل می‌شود.</w:t>
      </w:r>
    </w:p>
    <w:p>
      <w:pPr>
        <w:bidi w:val="1"/>
        <w:spacing w:lineRule="exact" w:line="580" w:after="0"/>
        <w:jc w:val="both"/>
      </w:pPr>
      <w:r>
        <w:rPr>
          <w:rFonts w:ascii="B Nazanin" w:hAnsi="B Nazanin" w:cs="B Nazanin" w:hint="cs"/>
          <w:b/>
          <w:bCs/>
          <w:sz w:val="24"/>
          <w:szCs w:val="24"/>
          <w:rtl/>
          <w:lang w:bidi="fa-IR"/>
        </w:rPr>
        <w:t xml:space="preserve">ساختارهای مغزی درگیر در اضطراب.</w:t>
      </w:r>
    </w:p>
    <w:p>
      <w:pPr>
        <w:bidi w:val="1"/>
        <w:spacing w:lineRule="exact" w:line="580" w:after="0"/>
        <w:jc w:val="both"/>
      </w:pPr>
      <w:r>
        <w:rPr>
          <w:rFonts w:ascii="B Nazanin" w:hAnsi="B Nazanin" w:cs="B Nazanin" w:hint="cs"/>
          <w:sz w:val="24"/>
          <w:szCs w:val="24"/>
          <w:rtl/>
          <w:lang w:bidi="fa-IR"/>
        </w:rPr>
        <w:t xml:space="preserve">اضطراب محصول فعالیت یک بخش مجزا از مغز نیست، بلکه نتیجه تعامل پیچیده در شبکه‌ای از ساختارهای مغزی است که به آن «شبکه ترس» یا «شبکه اضطراب» می‌گویند. سه بخش کلیدی در این شبکه عبارتند از:</w:t>
      </w:r>
    </w:p>
    <w:p>
      <w:pPr>
        <w:bidi w:val="1"/>
        <w:spacing w:lineRule="exact" w:line="580" w:after="0"/>
        <w:jc w:val="both"/>
      </w:pPr>
      <w:r>
        <w:rPr>
          <w:rFonts w:ascii="B Nazanin" w:hAnsi="B Nazanin" w:cs="B Nazanin" w:hint="cs"/>
          <w:sz w:val="24"/>
          <w:szCs w:val="24"/>
          <w:rtl/>
          <w:lang w:bidi="fa-IR"/>
        </w:rPr>
        <w:t xml:space="preserve">آمیگدال: این ساختار بادامی‌شکل در عمق لوب گیجگاهی، به عنوان «آژیر خطر» یا «سیستم تشخیص تهدید» مغز عمل می‌کند. آمیگدال به طور مداوم اطلاعات ورودی از حواس را برای یافتن نشانه‌های خطر اسکن کرده و قادر است پیش از آنکه اطلاعات به قشر مغز (مرکز تفکر آگاهانه) برسد، یک واکنش سریع و خودکار ترس را فعال کند (بیشاپ، ۲۰۰۷). در افراد با اضطراب صفتی بالا، آمیگدال بیش‌فعال است؛ یعنی آستانه تحریک آن پایین‌تر بوده و حتی به محرک‌های خنثی یا مبهم نیز به گونه‌ای واکنش نشان می‌دهد که گویی یک تهدید واقعی هستند. این پدیده توضیح می‌دهد چرا یک نوسان عادی در نمودار قیمت می‌تواند در یک معامله‌گر مضطرب، یک واکنش هیجانی شدید و آنی ایجاد کند.</w:t>
      </w:r>
    </w:p>
    <w:p>
      <w:pPr>
        <w:bidi w:val="1"/>
        <w:spacing w:lineRule="exact" w:line="580" w:after="0"/>
        <w:jc w:val="both"/>
      </w:pPr>
      <w:r>
        <w:rPr>
          <w:rFonts w:ascii="B Nazanin" w:hAnsi="B Nazanin" w:cs="B Nazanin" w:hint="cs"/>
          <w:sz w:val="24"/>
          <w:szCs w:val="24"/>
          <w:rtl/>
          <w:lang w:bidi="fa-IR"/>
        </w:rPr>
        <w:t xml:space="preserve">قشر پیش‌پیشانی: این بخش، که در جلوی مغز قرار دارد، «مدیرعامل» اجرایی مغز است و مسئول کارکردهایی نظیر برنامه‌ریزی، تصمیم‌گیری منطقی، کنترل تکانه و تنظیم هیجان است. یکی از وظایف اصلی قشر پیش‌پیشانی، اعمال کنترل «بالا به پایین» بر آمیگدال و تعدیل واکنش‌های هیجانی است. در یک مغز سالم، زمانی که آمیگدال سیگنال خطر را صادر می‌کند، قشر پیش‌پیشانی به سرعت موقعیت را ارزیابی کرده و در صورت غیرواقعی بودن تهدید، به آمیگدال دستور «آرام باش» می‌دهد. اما پژوهش‌های تصویربرداری عصبی نشان داده‌اند که در افراد مضطرب، این ارتباط دوطرفه مختل است؛ فعالیت بیش از حد آمیگدال، عملکرد قشر پیش‌پیشانی را «می‌رباید» و توانایی فرد برای تفکر منطقی و تنظیم هیجان را به شدت کاهش می‌دهد (هارتلی و فلپس، ۲۰۱۲؛ دی مارتینو و همکاران</w:t>
      </w:r>
      <w:r>
        <w:rPr>
          <w:rFonts w:ascii="B Nazanin" w:hAnsi="B Nazanin" w:cs="B Nazanin" w:hint="cs"/>
          <w:vertAlign w:val="superscript"/>
          <w:rtl/>
        </w:rPr>
        <w:footnoteReference w:id="88"/>
      </w:r>
      <w:r>
        <w:rPr>
          <w:rFonts w:ascii="B Nazanin" w:hAnsi="B Nazanin" w:cs="B Nazanin" w:hint="cs"/>
          <w:sz w:val="24"/>
          <w:szCs w:val="24"/>
          <w:rtl/>
          <w:lang w:bidi="fa-IR"/>
        </w:rPr>
        <w:t xml:space="preserve">، ۲۰۰۶).</w:t>
      </w:r>
    </w:p>
    <w:p>
      <w:pPr>
        <w:bidi w:val="1"/>
        <w:spacing w:lineRule="exact" w:line="580" w:after="0"/>
        <w:jc w:val="both"/>
      </w:pPr>
      <w:r>
        <w:rPr>
          <w:rFonts w:ascii="B Nazanin" w:hAnsi="B Nazanin" w:cs="B Nazanin" w:hint="cs"/>
          <w:sz w:val="24"/>
          <w:szCs w:val="24"/>
          <w:rtl/>
          <w:lang w:bidi="fa-IR"/>
        </w:rPr>
        <w:t xml:space="preserve">هیپوکامپ: این ساختار که در مجاورت آمیگدال قرار دارد، نقشی کلیدی در شکل‌گیری و بازیابی حافظه، به ویژه حافظه مرتبط با زمینه (کانتکست) ایفا می‌کند. هیپوکامپ به مغز کمک می‌کند تا تشخیص دهد که یک محرک خاص در چه زمینه‌ای خطرناک و در چه زمینه‌ای ایمن است. اختلال در عملکرد هیپوکامپ می‌تواند منجر به «تعمیم بیش از حد ترس» شود؛ به این معنا که فرد اضطراب آموخته‌شده در یک موقعیت خاص (مثلاً زیان در بازار سهام) را به موقعیت‌های مشابه اما ایمن (مثلاً هر نوع سرمایه‌گذاری دیگر) نیز تعمیم می‌دهد.</w:t>
      </w:r>
    </w:p>
    <w:p>
      <w:pPr>
        <w:bidi w:val="1"/>
        <w:spacing w:lineRule="exact" w:line="580" w:after="0"/>
        <w:jc w:val="both"/>
      </w:pPr>
      <w:r>
        <w:rPr>
          <w:rFonts w:ascii="B Nazanin" w:hAnsi="B Nazanin" w:cs="B Nazanin" w:hint="cs"/>
          <w:b/>
          <w:bCs/>
          <w:sz w:val="24"/>
          <w:szCs w:val="24"/>
          <w:rtl/>
          <w:lang w:bidi="fa-IR"/>
        </w:rPr>
        <w:t xml:space="preserve">نقش انتقال‌دهنده‌های عصبی.</w:t>
      </w:r>
    </w:p>
    <w:p>
      <w:pPr>
        <w:bidi w:val="1"/>
        <w:spacing w:lineRule="exact" w:line="580" w:after="0"/>
        <w:jc w:val="both"/>
      </w:pPr>
      <w:r>
        <w:rPr>
          <w:rFonts w:ascii="B Nazanin" w:hAnsi="B Nazanin" w:cs="B Nazanin" w:hint="cs"/>
          <w:sz w:val="24"/>
          <w:szCs w:val="24"/>
          <w:rtl/>
          <w:lang w:bidi="fa-IR"/>
        </w:rPr>
        <w:t xml:space="preserve">ارتباط بین این ساختارهای مغزی از طریق مواد شیمیایی به نام انتقال‌دهنده‌های عصبی برقرار می‌شود. عدم تعادل در سه سیستم اصلی انتقال‌دهنده عصبی، ارتباط تنگاتنگی با اضطراب دارد:</w:t>
      </w:r>
    </w:p>
    <w:p>
      <w:pPr>
        <w:bidi w:val="1"/>
        <w:spacing w:lineRule="exact" w:line="580" w:after="0"/>
        <w:jc w:val="both"/>
      </w:pPr>
      <w:r>
        <w:rPr>
          <w:rFonts w:ascii="B Nazanin" w:hAnsi="B Nazanin" w:cs="B Nazanin" w:hint="cs"/>
          <w:sz w:val="24"/>
          <w:szCs w:val="24"/>
          <w:rtl/>
          <w:lang w:bidi="fa-IR"/>
        </w:rPr>
        <w:t xml:space="preserve">سیستم گابا: گابا اصلی‌ترین انتقال‌دهنده عصبی مهارکننده در مغز است و مانند «ترمز» سیستم عصبی عمل می‌کند. کاهش فعالیت گابا یا حساسیت کم گیرنده‌های آن، منجر به برانگیختگی و فعالیت عصبی کنترل‌نشده می‌شود که در سطح ذهنی به صورت اضطراب تجربه می‌گردد. بسیاری از داروهای ضداضطراب رایج، مانند بنزودیازپین‌ها، با تقویت اثر گابا عمل می‌کنند.</w:t>
      </w:r>
    </w:p>
    <w:p>
      <w:pPr>
        <w:bidi w:val="1"/>
        <w:spacing w:lineRule="exact" w:line="580" w:after="0"/>
        <w:jc w:val="both"/>
      </w:pPr>
      <w:r>
        <w:rPr>
          <w:rFonts w:ascii="B Nazanin" w:hAnsi="B Nazanin" w:cs="B Nazanin" w:hint="cs"/>
          <w:sz w:val="24"/>
          <w:szCs w:val="24"/>
          <w:rtl/>
          <w:lang w:bidi="fa-IR"/>
        </w:rPr>
        <w:t xml:space="preserve">سیستم سروتونین: این سیستم نقشی بسیار پیچیده در تنظیم خلق، خواب و اضطراب دارد. شواهد متعددی نشان می‌دهند که اختلال در عملکرد سروتونین با اضطراب و افسردگی مرتبط است. داروهای مهارکننده بازجذب سروتونین</w:t>
      </w:r>
      <w:r>
        <w:rPr>
          <w:rFonts w:ascii="B Nazanin" w:hAnsi="B Nazanin" w:cs="B Nazanin" w:hint="cs"/>
          <w:vertAlign w:val="superscript"/>
          <w:rtl/>
        </w:rPr>
        <w:footnoteReference w:id="22"/>
      </w:r>
      <w:r>
        <w:rPr>
          <w:rFonts w:ascii="B Nazanin" w:hAnsi="B Nazanin" w:cs="B Nazanin" w:hint="cs"/>
          <w:sz w:val="24"/>
          <w:szCs w:val="24"/>
          <w:rtl/>
          <w:lang w:bidi="fa-IR"/>
        </w:rPr>
        <w:t xml:space="preserve"> که خط اول درمان بسیاری از اختلالات اضطرابی هستند، با افزایش سطح سروتونین در سیناپس‌ها عمل می‌کنند. پژوهش‌های ژنتیکی نیز نشان داده‌اند که برخی از واریانت‌های ژن انتقال‌دهنده سروتونین</w:t>
      </w:r>
      <w:r>
        <w:rPr>
          <w:rFonts w:ascii="B Nazanin" w:hAnsi="B Nazanin" w:cs="B Nazanin" w:hint="cs"/>
          <w:vertAlign w:val="superscript"/>
          <w:rtl/>
        </w:rPr>
        <w:footnoteReference w:id="21"/>
      </w:r>
      <w:r>
        <w:rPr>
          <w:rFonts w:ascii="B Nazanin" w:hAnsi="B Nazanin" w:cs="B Nazanin" w:hint="cs"/>
          <w:sz w:val="24"/>
          <w:szCs w:val="24"/>
          <w:rtl/>
          <w:lang w:bidi="fa-IR"/>
        </w:rPr>
        <w:t xml:space="preserve">، افراد را به طور ذاتی مستعد اضطراب صفتی بالاتر و رفتارهای مالی ریسک‌گریزتر می‌کند (کوهنن و چیائو</w:t>
      </w:r>
      <w:r>
        <w:rPr>
          <w:rFonts w:ascii="B Nazanin" w:hAnsi="B Nazanin" w:cs="B Nazanin" w:hint="cs"/>
          <w:vertAlign w:val="superscript"/>
          <w:rtl/>
        </w:rPr>
        <w:footnoteReference w:id="89"/>
      </w:r>
      <w:r>
        <w:rPr>
          <w:rFonts w:ascii="B Nazanin" w:hAnsi="B Nazanin" w:cs="B Nazanin" w:hint="cs"/>
          <w:sz w:val="24"/>
          <w:szCs w:val="24"/>
          <w:rtl/>
          <w:lang w:bidi="fa-IR"/>
        </w:rPr>
        <w:t xml:space="preserve">، ۲۰۰۹).</w:t>
      </w:r>
    </w:p>
    <w:p>
      <w:pPr>
        <w:bidi w:val="1"/>
        <w:spacing w:lineRule="exact" w:line="580" w:after="0"/>
        <w:jc w:val="both"/>
      </w:pPr>
      <w:r>
        <w:rPr>
          <w:rFonts w:ascii="B Nazanin" w:hAnsi="B Nazanin" w:cs="B Nazanin" w:hint="cs"/>
          <w:sz w:val="24"/>
          <w:szCs w:val="24"/>
          <w:rtl/>
          <w:lang w:bidi="fa-IR"/>
        </w:rPr>
        <w:t xml:space="preserve">سیستم نوراپی‌نفرین (نورآدرنالین): این انتقال‌دهنده، که در بخش‌هایی از مغز مانند «لوکوس سرولئوس» تولید می‌شود، کلید اصلی پاسخ «جنگ یا گریز» و افزایش هوشیاری و برانگیختگی است. فعالیت بیش از حد این سیستم، که در افراد دارای اختلالات اضطرابی شایع است، منجر به علائم جسمانی شدید اضطراب مانند تپش قلب و افزایش فشار خون می‌شود (کاپلان و سادوک، ۲۰۱۵).</w:t>
      </w:r>
    </w:p>
    <w:p>
      <w:pPr>
        <w:bidi w:val="1"/>
        <w:spacing w:lineRule="exact" w:line="580" w:after="0"/>
        <w:jc w:val="both"/>
      </w:pPr>
      <w:r>
        <w:rPr>
          <w:rFonts w:ascii="B Nazanin" w:hAnsi="B Nazanin" w:cs="B Nazanin" w:hint="cs"/>
          <w:b/>
          <w:bCs/>
          <w:sz w:val="24"/>
          <w:szCs w:val="24"/>
          <w:rtl/>
          <w:lang w:bidi="fa-IR"/>
        </w:rPr>
        <w:t xml:space="preserve">سیستم عصبی خودمختار و علائم جسمانی.</w:t>
      </w:r>
    </w:p>
    <w:p>
      <w:pPr>
        <w:bidi w:val="1"/>
        <w:spacing w:lineRule="exact" w:line="580" w:after="0"/>
        <w:jc w:val="both"/>
      </w:pPr>
      <w:r>
        <w:rPr>
          <w:rFonts w:ascii="B Nazanin" w:hAnsi="B Nazanin" w:cs="B Nazanin" w:hint="cs"/>
          <w:sz w:val="24"/>
          <w:szCs w:val="24"/>
          <w:rtl/>
          <w:lang w:bidi="fa-IR"/>
        </w:rPr>
        <w:t xml:space="preserve">تجربه بدنی اضطراب، محصول فعالیت سیستم عصبی خودمختار است که خود به دو شاخه تقسیم می‌شود: شاخه سمپاتیک (گاز) که بدن را برای عمل بسیج می‌کند، و شاخه پاراسمپاتیک (ترمز) که بدن را به حالت آرامش بازمی‌گرداند. در حالت اضطراب، تعادل به نفع شاخه سمپاتیک به هم می‌خورد و مجموعه‌ای از واکنش‌های فیزیولوژیک مانند افزایش ضربان قلب، تنفس سریع و سطحی، تعریق و انقباض عضلات رخ می‌دهد. یکی از شاخص‌های مهم این تعادل، «تغییرپذیری ضربان قلب»</w:t>
      </w:r>
      <w:r>
        <w:rPr>
          <w:rFonts w:ascii="B Nazanin" w:hAnsi="B Nazanin" w:cs="B Nazanin" w:hint="cs"/>
          <w:vertAlign w:val="superscript"/>
          <w:rtl/>
        </w:rPr>
        <w:footnoteReference w:id="23"/>
      </w:r>
      <w:r>
        <w:rPr>
          <w:rFonts w:ascii="B Nazanin" w:hAnsi="B Nazanin" w:cs="B Nazanin" w:hint="cs"/>
          <w:sz w:val="24"/>
          <w:szCs w:val="24"/>
          <w:rtl/>
          <w:lang w:bidi="fa-IR"/>
        </w:rPr>
        <w:t xml:space="preserve"> است</w:t>
      </w:r>
      <w:r>
        <w:rPr>
          <w:rFonts w:ascii="Times New Roman" w:hAnsi="Times New Roman" w:cs="Times New Roman"/>
          <w:sz w:val="22"/>
          <w:szCs w:val="22"/>
          <w:lang w:val="en-US"/>
        </w:rPr>
        <w:t xml:space="preserve">. HRV </w:t>
      </w:r>
      <w:r>
        <w:rPr>
          <w:rFonts w:ascii="B Nazanin" w:hAnsi="B Nazanin" w:cs="B Nazanin" w:hint="cs"/>
          <w:sz w:val="24"/>
          <w:szCs w:val="24"/>
          <w:rtl/>
          <w:lang w:bidi="fa-IR"/>
        </w:rPr>
        <w:t xml:space="preserve">بالا نشان‌دهنده انعطاف‌پذیری سیستم عصبی و توانایی خوب در تنظیم هیجان است. مطالعات نشان داده‌اند که معامله‌گران حرفه‌ای و موفق،</w:t>
      </w:r>
      <w:r>
        <w:rPr>
          <w:rFonts w:ascii="Times New Roman" w:hAnsi="Times New Roman" w:cs="Times New Roman"/>
          <w:sz w:val="22"/>
          <w:szCs w:val="22"/>
          <w:lang w:val="en-US"/>
        </w:rPr>
        <w:t xml:space="preserve"> HRV </w:t>
      </w:r>
      <w:r>
        <w:rPr>
          <w:rFonts w:ascii="B Nazanin" w:hAnsi="B Nazanin" w:cs="B Nazanin" w:hint="cs"/>
          <w:sz w:val="24"/>
          <w:szCs w:val="24"/>
          <w:rtl/>
          <w:lang w:bidi="fa-IR"/>
        </w:rPr>
        <w:t xml:space="preserve">بالاتری نسبت به معامله‌گران مبتدی دارند، که این امر نشان‌دهنده توانایی فیزیولوژیک آن‌ها در حفظ آرامش تحت فشار است (فنتون-اکریوی و همکاران، ۲۰۱۲).</w:t>
      </w:r>
    </w:p>
    <w:p>
      <w:pPr>
        <w:pStyle w:val="Heading4"/>
        <w:bidi w:val="1"/>
        <w:jc w:val="right"/>
        <w:outlineLvl w:val="1"/>
      </w:pPr>
      <w:r>
        <w:rPr>
          <w:rFonts w:ascii="B Nazanin" w:hAnsi="B Nazanin" w:cs="B Nazanin" w:hint="cs"/>
          <w:b/>
          <w:bCs/>
          <w:sz w:val="24"/>
          <w:szCs w:val="24"/>
          <w:rtl/>
          <w:lang w:bidi="fa-IR"/>
        </w:rPr>
        <w:t xml:space="preserve">۲-۲-۱-۳ دیدگاه‌های روانشناختی درباره اضطراب</w:t>
      </w:r>
    </w:p>
    <w:p>
      <w:pPr>
        <w:bidi w:val="1"/>
        <w:spacing w:lineRule="exact" w:line="580" w:after="0"/>
        <w:jc w:val="both"/>
      </w:pPr>
      <w:r>
        <w:rPr>
          <w:rFonts w:ascii="B Nazanin" w:hAnsi="B Nazanin" w:cs="B Nazanin" w:hint="cs"/>
          <w:sz w:val="24"/>
          <w:szCs w:val="24"/>
          <w:rtl/>
          <w:lang w:bidi="fa-IR"/>
        </w:rPr>
        <w:t xml:space="preserve">تلاش برای تبیین ریشه‌ها و مکانیزم‌های اضطراب، منجر به شکل‌گیری مکاتب و دیدگاه‌های نظری متعددی در حوزه روانشناسی شده است. هر یک از این دیدگاه‌ها، از زاویه‌ای متفاوت به این هیجان پیچیده نگریسته و جنبه‌ای از آن را روشن ساخته‌اند. در ادامه، چهار دیدگاه اصلی روانکاوی، رفتاری، شناختی و وجودی که درک کنونی از اضطراب را شکل داده‌اند، مورد بررسی قرار می‌گیرند.</w:t>
      </w:r>
    </w:p>
    <w:p>
      <w:pPr>
        <w:bidi w:val="1"/>
        <w:spacing w:lineRule="exact" w:line="580" w:after="0"/>
        <w:jc w:val="both"/>
      </w:pPr>
      <w:r>
        <w:rPr>
          <w:rFonts w:ascii="B Nazanin" w:hAnsi="B Nazanin" w:cs="B Nazanin" w:hint="cs"/>
          <w:b/>
          <w:bCs/>
          <w:sz w:val="24"/>
          <w:szCs w:val="24"/>
          <w:rtl/>
          <w:lang w:bidi="fa-IR"/>
        </w:rPr>
        <w:t xml:space="preserve">دیدگاه روانکاوی.</w:t>
      </w:r>
    </w:p>
    <w:p>
      <w:pPr>
        <w:bidi w:val="1"/>
        <w:spacing w:lineRule="exact" w:line="580" w:after="0"/>
        <w:jc w:val="both"/>
      </w:pPr>
      <w:r>
        <w:rPr>
          <w:rFonts w:ascii="B Nazanin" w:hAnsi="B Nazanin" w:cs="B Nazanin" w:hint="cs"/>
          <w:sz w:val="24"/>
          <w:szCs w:val="24"/>
          <w:rtl/>
          <w:lang w:bidi="fa-IR"/>
        </w:rPr>
        <w:t xml:space="preserve">در نظریه روانکاوی کلاسیک، زیگموند فروید</w:t>
      </w:r>
      <w:r>
        <w:rPr>
          <w:rFonts w:ascii="B Nazanin" w:hAnsi="B Nazanin" w:cs="B Nazanin" w:hint="cs"/>
          <w:vertAlign w:val="superscript"/>
          <w:rtl/>
        </w:rPr>
        <w:footnoteReference w:id="90"/>
      </w:r>
      <w:r>
        <w:rPr>
          <w:rFonts w:ascii="B Nazanin" w:hAnsi="B Nazanin" w:cs="B Nazanin" w:hint="cs"/>
          <w:sz w:val="24"/>
          <w:szCs w:val="24"/>
          <w:rtl/>
          <w:lang w:bidi="fa-IR"/>
        </w:rPr>
        <w:t xml:space="preserve"> اضطراب را به عنوان «هسته اصلی روان‌رنجوری» و یک سیگنال خطر حیاتی برای «من» (ایگو) تلقی می‌کرد. از نظر فروید، اضطراب هشداری است که به «من» اعلام می‌کند تعادل روانی در خطر است و یک تکانه غریزی و غیرقابل قبول از سوی «نهاد» (اید) در شرف ورود به حیطه آگاهی است (کاپلان و سادوک، ۲۰۱۵). او سه نوع اضطراب را از هم متمایز کرد: اضطراب واقعی (پاسخ به یک خطر بیرونی)، اضطراب نوروتیک (ترس از اینکه تکانه‌های «نهاد» از کنترل خارج شوند) و اضطراب اخلاقی (ترس از قضاوت «فرامن» یا وجدان).</w:t>
      </w:r>
    </w:p>
    <w:p>
      <w:pPr>
        <w:bidi w:val="1"/>
        <w:spacing w:lineRule="exact" w:line="580" w:after="0"/>
        <w:jc w:val="both"/>
      </w:pPr>
      <w:r>
        <w:rPr>
          <w:rFonts w:ascii="B Nazanin" w:hAnsi="B Nazanin" w:cs="B Nazanin" w:hint="cs"/>
          <w:sz w:val="24"/>
          <w:szCs w:val="24"/>
          <w:rtl/>
          <w:lang w:bidi="fa-IR"/>
        </w:rPr>
        <w:t xml:space="preserve">از منظر این دیدگاه، اضطراب صفتی ریشه در تعارضات حل‌نشده دوران کودکی، به ویژه در مراحل اولیه رشد روانی-جنسی دارد. این تعارضات به صورت انرژی روانی آزادنشده در ساختار شخصیت فرد باقی مانده و او را در بزرگسالی مستعد واکنش‌های اضطرابی شدید می‌کند. این دیدگاه، اگرچه آزمون تجربی آن دشوار است، اما با تاکید بر ریشه‌های تحولی، پیوندی مفهومی با متغیر دیگر این پژوهش، یعنی «طرحواره‌های ناسازگار اولیه» برقرار می‌کند؛ زیرا هر دو نظریه معتقدند که تجارب ناخوشایند کودکی، الگوهای فکری و هیجانی بزرگسالی را شکل می‌دهند (یانگ و همکاران، ۲۰۰۳).</w:t>
      </w:r>
    </w:p>
    <w:p>
      <w:pPr>
        <w:bidi w:val="1"/>
        <w:spacing w:lineRule="exact" w:line="580" w:after="0"/>
        <w:jc w:val="both"/>
      </w:pPr>
      <w:r>
        <w:rPr>
          <w:rFonts w:ascii="B Nazanin" w:hAnsi="B Nazanin" w:cs="B Nazanin" w:hint="cs"/>
          <w:b/>
          <w:bCs/>
          <w:sz w:val="24"/>
          <w:szCs w:val="24"/>
          <w:rtl/>
          <w:lang w:bidi="fa-IR"/>
        </w:rPr>
        <w:t xml:space="preserve">دیدگاه رفتاری (یادگیری).</w:t>
      </w:r>
    </w:p>
    <w:p>
      <w:pPr>
        <w:bidi w:val="1"/>
        <w:spacing w:lineRule="exact" w:line="580" w:after="0"/>
        <w:jc w:val="both"/>
      </w:pPr>
      <w:r>
        <w:rPr>
          <w:rFonts w:ascii="B Nazanin" w:hAnsi="B Nazanin" w:cs="B Nazanin" w:hint="cs"/>
          <w:sz w:val="24"/>
          <w:szCs w:val="24"/>
          <w:rtl/>
          <w:lang w:bidi="fa-IR"/>
        </w:rPr>
        <w:t xml:space="preserve">در نقطه مقابل دیدگاه روانکاوی، رفتارگرایان اضطراب را نه یک تعارض درونی، بلکه یک پاسخ آموخته‌شده به محرک‌های محیطی می‌دانند. این دیدگاه بر دو اصل کلیدی یادگیری استوار است:</w:t>
      </w:r>
    </w:p>
    <w:p>
      <w:pPr>
        <w:bidi w:val="1"/>
        <w:spacing w:lineRule="exact" w:line="580" w:after="0"/>
        <w:jc w:val="both"/>
      </w:pPr>
      <w:r>
        <w:rPr>
          <w:rFonts w:ascii="B Nazanin" w:hAnsi="B Nazanin" w:cs="B Nazanin" w:hint="cs"/>
          <w:sz w:val="24"/>
          <w:szCs w:val="24"/>
          <w:rtl/>
          <w:lang w:bidi="fa-IR"/>
        </w:rPr>
        <w:t xml:space="preserve">شرطی‌سازی کلاسیک: بر اساس اصول پاولف، یک محرک خنثی (مانند صدای زنگ اخبار اقتصادی) اگر به طور مکرر با یک محرک ناخوشایند واقعی (مانند یک زیان سنگین مالی) همراه شود، به تدریج به یک محرک شرطی تبدیل شده و به تنهایی قادر خواهد بود پاسخ اضطراب را برانگیزد.</w:t>
      </w:r>
    </w:p>
    <w:p>
      <w:pPr>
        <w:bidi w:val="1"/>
        <w:spacing w:lineRule="exact" w:line="580" w:after="0"/>
        <w:jc w:val="both"/>
      </w:pPr>
      <w:r>
        <w:rPr>
          <w:rFonts w:ascii="B Nazanin" w:hAnsi="B Nazanin" w:cs="B Nazanin" w:hint="cs"/>
          <w:sz w:val="24"/>
          <w:szCs w:val="24"/>
          <w:rtl/>
          <w:lang w:bidi="fa-IR"/>
        </w:rPr>
        <w:t xml:space="preserve">شرطی‌سازی عامل: طبق نظریه اسکینر، رفتارها توسط پیامدهایشان تقویت یا تضعیف می‌شوند. در زمینه اضطراب، «اجتناب» نقش کلیدی دارد. زمانی که یک معامله‌گر با اجتناب از ورود به یک معامله، از احساس ناخوشایند اضطراب رهایی می‌یابد، رفتار اجتنابی او از طریق «تقویت منفی» تحکیم می‌شود. این چرخه معیوب (موقعیت -&gt; اضطراب -&gt; اجتناب -&gt; تسکین موقت) باعث تداوم و تشدید الگوهای اضطرابی و ریسک‌گریزی افراطی می‌شود (مانر و اشمیت، ۲۰۰۶).</w:t>
      </w:r>
    </w:p>
    <w:p>
      <w:pPr>
        <w:bidi w:val="1"/>
        <w:spacing w:lineRule="exact" w:line="580" w:after="0"/>
        <w:jc w:val="both"/>
      </w:pPr>
      <w:r>
        <w:rPr>
          <w:rFonts w:ascii="B Nazanin" w:hAnsi="B Nazanin" w:cs="B Nazanin" w:hint="cs"/>
          <w:b/>
          <w:bCs/>
          <w:sz w:val="24"/>
          <w:szCs w:val="24"/>
          <w:rtl/>
          <w:lang w:bidi="fa-IR"/>
        </w:rPr>
        <w:t xml:space="preserve">دیدگاه شناختی.</w:t>
      </w:r>
    </w:p>
    <w:p>
      <w:pPr>
        <w:bidi w:val="1"/>
        <w:spacing w:lineRule="exact" w:line="580" w:after="0"/>
        <w:jc w:val="both"/>
      </w:pPr>
      <w:r>
        <w:rPr>
          <w:rFonts w:ascii="B Nazanin" w:hAnsi="B Nazanin" w:cs="B Nazanin" w:hint="cs"/>
          <w:sz w:val="24"/>
          <w:szCs w:val="24"/>
          <w:rtl/>
          <w:lang w:bidi="fa-IR"/>
        </w:rPr>
        <w:t xml:space="preserve">انقلاب شناختی در روانشناسی، کانون توجه را از محیط بیرونی به فرآیندهای پردازش اطلاعات درونی فرد معطوف کرد. طبق این دیدگاه، که پیشگامان آن آرون بک و آلبرت الیس</w:t>
      </w:r>
      <w:r>
        <w:rPr>
          <w:rFonts w:ascii="B Nazanin" w:hAnsi="B Nazanin" w:cs="B Nazanin" w:hint="cs"/>
          <w:vertAlign w:val="superscript"/>
          <w:rtl/>
        </w:rPr>
        <w:footnoteReference w:id="91"/>
      </w:r>
      <w:r>
        <w:rPr>
          <w:rFonts w:ascii="B Nazanin" w:hAnsi="B Nazanin" w:cs="B Nazanin" w:hint="cs"/>
          <w:sz w:val="24"/>
          <w:szCs w:val="24"/>
          <w:rtl/>
          <w:lang w:bidi="fa-IR"/>
        </w:rPr>
        <w:t xml:space="preserve"> بودند، این خود رویدادها نیستند که باعث اضطراب می‌شوند، بلکه تفسیر و ارزیابی فرد از آن رویدادهاست که هیجانات را شکل می‌دهد (بک، ۱۹۷۶). افراد مضطرب دارای «طرحواره‌های خطر» هستند که مانند یک فیلتر ذهنی، باعث می‌شوند اطلاعات محیطی به طور سوگیرانه پردازش شوند. این سوگیری‌ها در قالب «خطاهای شناختی» مشخصی ظاهر می‌شوند که در زمینه بازارهای مالی بسیار رایج هستند (دانیل، هیرشلایفر و سوبرامانیام</w:t>
      </w:r>
      <w:r>
        <w:rPr>
          <w:rFonts w:ascii="B Nazanin" w:hAnsi="B Nazanin" w:cs="B Nazanin" w:hint="cs"/>
          <w:vertAlign w:val="superscript"/>
          <w:rtl/>
        </w:rPr>
        <w:footnoteReference w:id="92"/>
      </w:r>
      <w:r>
        <w:rPr>
          <w:rFonts w:ascii="B Nazanin" w:hAnsi="B Nazanin" w:cs="B Nazanin" w:hint="cs"/>
          <w:sz w:val="24"/>
          <w:szCs w:val="24"/>
          <w:rtl/>
          <w:lang w:bidi="fa-IR"/>
        </w:rPr>
        <w:t xml:space="preserve">، ۱۹۹۸)</w:t>
      </w:r>
    </w:p>
    <w:p>
      <w:pPr>
        <w:bidi w:val="1"/>
        <w:spacing w:lineRule="exact" w:line="580" w:after="0"/>
        <w:jc w:val="both"/>
      </w:pPr>
      <w:r>
        <w:rPr>
          <w:rFonts w:ascii="B Nazanin" w:hAnsi="B Nazanin" w:cs="B Nazanin" w:hint="cs"/>
          <w:sz w:val="24"/>
          <w:szCs w:val="24"/>
          <w:rtl/>
          <w:lang w:bidi="fa-IR"/>
        </w:rPr>
        <w:t xml:space="preserve">فاجعه‌سازی: تمایل به تفسیر یک رویداد منفی کوچک (مانند افت ۱ درصدی سهم) به عنوان یک فاجعه غیرقابل جبران («بازار در حال سقوط است، من ورشکست خواهم شد»).</w:t>
      </w:r>
    </w:p>
    <w:p>
      <w:pPr>
        <w:bidi w:val="1"/>
        <w:spacing w:lineRule="exact" w:line="580" w:after="0"/>
        <w:jc w:val="both"/>
      </w:pPr>
      <w:r>
        <w:rPr>
          <w:rFonts w:ascii="B Nazanin" w:hAnsi="B Nazanin" w:cs="B Nazanin" w:hint="cs"/>
          <w:sz w:val="24"/>
          <w:szCs w:val="24"/>
          <w:rtl/>
          <w:lang w:bidi="fa-IR"/>
        </w:rPr>
        <w:t xml:space="preserve">بزرگ‌نمایی و کوچک‌نمایی: اغراق در اهمیت اطلاعات منفی و بی‌اهمیت جلوه دادن اطلاعات مثبت.</w:t>
      </w:r>
    </w:p>
    <w:p>
      <w:pPr>
        <w:bidi w:val="1"/>
        <w:spacing w:lineRule="exact" w:line="580" w:after="0"/>
        <w:jc w:val="both"/>
      </w:pPr>
      <w:r>
        <w:rPr>
          <w:rFonts w:ascii="B Nazanin" w:hAnsi="B Nazanin" w:cs="B Nazanin" w:hint="cs"/>
          <w:sz w:val="24"/>
          <w:szCs w:val="24"/>
          <w:rtl/>
          <w:lang w:bidi="fa-IR"/>
        </w:rPr>
        <w:t xml:space="preserve">تفکر دوقطبی (همه یا هیچ): ارزیابی عملکرد خود در قالب دو قطب افراطی («یا من یک معامله‌گر نابغه هستم یا یک بازنده تمام‌عیار»).</w:t>
      </w:r>
    </w:p>
    <w:p>
      <w:pPr>
        <w:bidi w:val="1"/>
        <w:spacing w:lineRule="exact" w:line="580" w:after="0"/>
        <w:jc w:val="both"/>
      </w:pPr>
      <w:r>
        <w:rPr>
          <w:rFonts w:ascii="B Nazanin" w:hAnsi="B Nazanin" w:cs="B Nazanin" w:hint="cs"/>
          <w:sz w:val="24"/>
          <w:szCs w:val="24"/>
          <w:rtl/>
          <w:lang w:bidi="fa-IR"/>
        </w:rPr>
        <w:t xml:space="preserve">بر اساس مدل شناختی طرحواره‌ها، این ساختارهای شناختی ناسازگار با فعال‌سازی سوگیری‌های پردازش اطلاعات، فرد را در چرخه‌ای مزمن از ارزیابی بیش‌ازحد تهدید، گوش‌به‌زنگی و اضطراب مداوم گرفتار می‌سازند (بک و کلارک، ۱۹۹۷؛ یانگ و همکاران، ۲۰۰۳).</w:t>
      </w:r>
    </w:p>
    <w:p>
      <w:pPr>
        <w:bidi w:val="1"/>
        <w:spacing w:lineRule="exact" w:line="580" w:after="0"/>
        <w:jc w:val="both"/>
      </w:pPr>
      <w:r>
        <w:rPr>
          <w:rFonts w:ascii="B Nazanin" w:hAnsi="B Nazanin" w:cs="B Nazanin" w:hint="cs"/>
          <w:b/>
          <w:bCs/>
          <w:sz w:val="24"/>
          <w:szCs w:val="24"/>
          <w:rtl/>
          <w:lang w:bidi="fa-IR"/>
        </w:rPr>
        <w:t xml:space="preserve">دیدگاه وجودی (اگزیستانسیال).</w:t>
      </w:r>
    </w:p>
    <w:p>
      <w:pPr>
        <w:bidi w:val="1"/>
        <w:spacing w:lineRule="exact" w:line="580" w:after="0"/>
        <w:jc w:val="both"/>
      </w:pPr>
      <w:r>
        <w:rPr>
          <w:rFonts w:ascii="B Nazanin" w:hAnsi="B Nazanin" w:cs="B Nazanin" w:hint="cs"/>
          <w:sz w:val="24"/>
          <w:szCs w:val="24"/>
          <w:rtl/>
          <w:lang w:bidi="fa-IR"/>
        </w:rPr>
        <w:t xml:space="preserve">این دیدگاه فلسفی‌تر، اضطراب را نه یک بیماری یا نقص، بلکه بخشی اجتناب‌ناپذیر از شرایط انسانی می‌داند. متفکرانی چون رولو می</w:t>
      </w:r>
      <w:r>
        <w:rPr>
          <w:rFonts w:ascii="B Nazanin" w:hAnsi="B Nazanin" w:cs="B Nazanin" w:hint="cs"/>
          <w:vertAlign w:val="superscript"/>
          <w:rtl/>
        </w:rPr>
        <w:footnoteReference w:id="93"/>
      </w:r>
      <w:r>
        <w:rPr>
          <w:rFonts w:ascii="B Nazanin" w:hAnsi="B Nazanin" w:cs="B Nazanin" w:hint="cs"/>
          <w:sz w:val="24"/>
          <w:szCs w:val="24"/>
          <w:rtl/>
          <w:lang w:bidi="fa-IR"/>
        </w:rPr>
        <w:t xml:space="preserve"> و اروین یالوم معتقدند که اضطراب، واکنشی عمیق به آگاهی از «دلواپسی‌های غایی» زندگی است: مرگ، آزادی، تنهایی و پوچی. از منظر این دیدگاه، اضطراب یک معامله‌گر صرفاً ناشی از ترس از زیان مالی نیست، بلکه می‌تواند تجلی «اضطراب وجودی» باشد. آزادی انتخاب برای خرید یا فروش و مسئولیت کامل در قبال پیامدهای آن، می‌تواند بار روانی سنگینی ایجاد کند. تنهایی در تصمیم‌گیری و آگاهی از اینکه در نهایت هیچ‌کس جز خود فرد مسئول سرنوشت مالی‌اش نیست، این اضطراب را تشدید می‌کند (یالوم</w:t>
      </w:r>
      <w:r>
        <w:rPr>
          <w:rFonts w:ascii="B Nazanin" w:hAnsi="B Nazanin" w:cs="B Nazanin" w:hint="cs"/>
          <w:vertAlign w:val="superscript"/>
          <w:rtl/>
        </w:rPr>
        <w:footnoteReference w:id="94"/>
      </w:r>
      <w:r>
        <w:rPr>
          <w:rFonts w:ascii="B Nazanin" w:hAnsi="B Nazanin" w:cs="B Nazanin" w:hint="cs"/>
          <w:sz w:val="24"/>
          <w:szCs w:val="24"/>
          <w:rtl/>
          <w:lang w:bidi="fa-IR"/>
        </w:rPr>
        <w:t xml:space="preserve">، ۱۹۸۰).</w:t>
      </w:r>
    </w:p>
    <w:p>
      <w:pPr>
        <w:pStyle w:val="Heading4"/>
        <w:bidi w:val="1"/>
        <w:jc w:val="right"/>
        <w:outlineLvl w:val="1"/>
      </w:pPr>
      <w:r>
        <w:rPr>
          <w:rFonts w:ascii="B Nazanin" w:hAnsi="B Nazanin" w:cs="B Nazanin" w:hint="cs"/>
          <w:b/>
          <w:bCs/>
          <w:sz w:val="24"/>
          <w:szCs w:val="24"/>
          <w:rtl/>
          <w:lang w:bidi="fa-IR"/>
        </w:rPr>
        <w:t xml:space="preserve">۲-۲-۱-۴ جمع‌بندی: جایگاه اضطراب صفتی در تصمیم‌گیری مالی</w:t>
      </w:r>
    </w:p>
    <w:p>
      <w:pPr>
        <w:bidi w:val="1"/>
        <w:spacing w:lineRule="exact" w:line="580" w:after="0"/>
        <w:jc w:val="both"/>
      </w:pPr>
      <w:r>
        <w:rPr>
          <w:rFonts w:ascii="B Nazanin" w:hAnsi="B Nazanin" w:cs="B Nazanin" w:hint="cs"/>
          <w:sz w:val="24"/>
          <w:szCs w:val="24"/>
          <w:rtl/>
          <w:lang w:bidi="fa-IR"/>
        </w:rPr>
        <w:t xml:space="preserve">با توجه به مبانی نظری و سازوکارهای شناختی-عصبی مطرح‌شده در بخش‌های پیشین، اضطراب صفتی  را نمی‌توان صرفاً یک واکنش هیجانی گذرا دانست. این متغیر زمینه شخصیتی پایداری است که بر کل فرایند تصمیم‌گیری معامله‌گر سایه می‌افکند. بر اساس مدل اسپیلبرگر، افراد دارای اضطراب صفتی بالا در مواجهه با رویدادهای تنش‌زای بازار، واکنش‌های اضطراب حالتی مکررتر و شدیدتری را تجربه می‌کنند و این فعال‌سازی مزمن، نظام هشدار روانی آن‌ها را در وضعیت آماده‌باش دائمی نگه می‌دارد (اسپیلبرگر، ۱۹۸۳). در محیط بازارهای مالی که ذاتاً با عدم قطعیت، غیرقابل پیش‌بینی بودن و زیان‌ها و سودهای پی‌درپی همراه است، این استعداد به آن معناست که معامله‌گر به‌طور مداوم با سطح بالاتری از تنش روانی به مصاف نوسانات بازار می‌رود و منابع شناختی او پیش از هرگونه تحلیل فنی یا بنیادی، صرف مدیریت همین تنش درونی می‌شود. در واقع، این متغیر همچون عدسی عمل می‌کند که اطلاعات بازار پیش از هر پردازش تحلیلی از آن عبور می‌کنند و سطح پایه تهدید ادراک‌شده را تعیین می‌کند؛ بدین ترتیب، اضطراب صفتی بافت هیجانی و انگیزشی تصمیم‌گیری مالی را شکل می‌دهد.</w:t>
      </w:r>
    </w:p>
    <w:p>
      <w:pPr>
        <w:bidi w:val="1"/>
        <w:spacing w:lineRule="exact" w:line="580" w:after="0"/>
        <w:jc w:val="both"/>
      </w:pPr>
      <w:r>
        <w:rPr>
          <w:rFonts w:ascii="B Nazanin" w:hAnsi="B Nazanin" w:cs="B Nazanin" w:hint="cs"/>
          <w:sz w:val="24"/>
          <w:szCs w:val="24"/>
          <w:rtl/>
          <w:lang w:bidi="fa-IR"/>
        </w:rPr>
        <w:t xml:space="preserve">یکی از مجراهای اصلی اثرگذاری اضطراب صفتی بر رفتار مالی، تحریف نظام‌مند ادراک ریسک</w:t>
      </w:r>
      <w:r>
        <w:rPr>
          <w:rFonts w:ascii="B Nazanin" w:hAnsi="B Nazanin" w:cs="B Nazanin" w:hint="cs"/>
          <w:vertAlign w:val="superscript"/>
          <w:rtl/>
        </w:rPr>
        <w:footnoteReference w:id="24"/>
      </w:r>
      <w:r>
        <w:rPr>
          <w:rFonts w:ascii="B Nazanin" w:hAnsi="B Nazanin" w:cs="B Nazanin" w:hint="cs"/>
          <w:sz w:val="24"/>
          <w:szCs w:val="24"/>
          <w:rtl/>
          <w:lang w:bidi="fa-IR"/>
        </w:rPr>
        <w:t xml:space="preserve"> است. شواهد تجربی نشان می‌دهند که اضطراب با گرایش به اجتناب از ریسک همراه است؛ به این معنا که افراد مضطرب برای تنظیم هیجان منفی و فرار از تهدید، حتی در شرایطی که ارزش مورد انتظار گزینه‌ها یکسان است، گزینه‌های کم‌خطرتر را برمی‌گزینند (مانر و اشمیت، ۲۰۰۶). در ادبیات روانشناسی مالی، این گرایش در قالب سازه تحمل ریسک مالی مطالعه می‌شود؛ سازه‌ای که سنجش آن قادر است رفتار واقعی مالی و تصمیم‌های واقعی افراد درباره دارایی‌هایشان را پیش‌بینی کند (گرابل و لایتون، ۱۹۹۹). ارزیابی‌های روان‌سنجی بعدی این مقیاس نیز روایی و پایایی آن را برای کاربردهای بالینی و مشاوره‌ای تأیید کرده‌اند (گرابل، ۲۰۱۷). بنابراین، اضطراب صفتی بالای یک معامله‌گر می‌تواند به سطح پایین‌تری از تحمل ریسک مالی بینجامد و این کاهش صرفاً در پاسخ‌های نگرشی به پرسشنامه باقی نمی‌ماند، بلکه در ترکیب واقعی سبد دارایی، حجم معاملات و میزان پایبندی به راهبردهای پرخطر عینیت می‌یابد.</w:t>
      </w:r>
    </w:p>
    <w:p>
      <w:pPr>
        <w:bidi w:val="1"/>
        <w:spacing w:lineRule="exact" w:line="580" w:after="0"/>
        <w:jc w:val="both"/>
      </w:pPr>
      <w:r>
        <w:rPr>
          <w:rFonts w:ascii="B Nazanin" w:hAnsi="B Nazanin" w:cs="B Nazanin" w:hint="cs"/>
          <w:sz w:val="24"/>
          <w:szCs w:val="24"/>
          <w:rtl/>
          <w:lang w:bidi="fa-IR"/>
        </w:rPr>
        <w:t xml:space="preserve">بررسی مستقیم رابطه اضطراب با تصمیم‌های مالی نیز شواهد همسویی به دست داده است. در یک مرور تحلیلی جامع نشان داده شد که اضطراب به‌طور نظام‌مند با تصمیم‌گیری در شرایط ریسک و عدم قطعیت مرتبط است و این ارتباط به نمونه‌های بالینی محدود نمی‌شود (میت، ۲۰۰۷). در مطالعات جدیدتر با بافت واقعی بازارهای مالی نیز نقش اضطراب در تصمیمات مالی به‌عنوان عاملی مستقل تأیید شده است (چارلز و کاسیلینگام</w:t>
      </w:r>
      <w:r>
        <w:rPr>
          <w:rFonts w:ascii="B Nazanin" w:hAnsi="B Nazanin" w:cs="B Nazanin" w:hint="cs"/>
          <w:vertAlign w:val="superscript"/>
          <w:rtl/>
        </w:rPr>
        <w:footnoteReference w:id="95"/>
      </w:r>
      <w:r>
        <w:rPr>
          <w:rFonts w:ascii="B Nazanin" w:hAnsi="B Nazanin" w:cs="B Nazanin" w:hint="cs"/>
          <w:sz w:val="24"/>
          <w:szCs w:val="24"/>
          <w:rtl/>
          <w:lang w:bidi="fa-IR"/>
        </w:rPr>
        <w:t xml:space="preserve">، ۲۰۲۲) و شواهد حاکی از آن است که اضطراب مالی به کاهش نگهداری دارایی‌های پرخطر از سوی سرمایه‌گذاران حقیقی منجر می‌شود (آن، لی و وو</w:t>
      </w:r>
      <w:r>
        <w:rPr>
          <w:rFonts w:ascii="B Nazanin" w:hAnsi="B Nazanin" w:cs="B Nazanin" w:hint="cs"/>
          <w:vertAlign w:val="superscript"/>
          <w:rtl/>
        </w:rPr>
        <w:footnoteReference w:id="96"/>
      </w:r>
      <w:r>
        <w:rPr>
          <w:rFonts w:ascii="B Nazanin" w:hAnsi="B Nazanin" w:cs="B Nazanin" w:hint="cs"/>
          <w:sz w:val="24"/>
          <w:szCs w:val="24"/>
          <w:rtl/>
          <w:lang w:bidi="fa-IR"/>
        </w:rPr>
        <w:t xml:space="preserve">، ۲۰۲۱). همچنین در پژوهش‌های تجربی تصمیم‌گیری سرمایه‌گذاری، اضطراب به‌عنوان یکی از متغیرهای هیجانی شناسایی شده است که الگوی انتخاب افراد را در مواجهه با انتخاب‌های پرخطر مالی تغییر می‌دهد (گامبتی و گیوسبرتی، ۲۰۱۲). نکته حائز اهمیت آن است که این شواهد در فرهنگ‌ها، بازارها و طرح‌های روش‌شناختی مختلف به دست آمده‌اند و از تعمیم‌پذیری قابل قبولی برخوردارند. در مجموع، این یافته‌ها نشان می‌دهند که اثر اضطراب صفتی به تجربه درونی معامله‌گر محدود نمی‌ماند، بلکه به شکل عینی و قابل اندازه‌گیری در سطح ریسک و ترکیب دارایی‌های او نمود می‌یابد.</w:t>
      </w:r>
    </w:p>
    <w:p>
      <w:pPr>
        <w:bidi w:val="1"/>
        <w:spacing w:lineRule="exact" w:line="580" w:after="0"/>
        <w:jc w:val="both"/>
      </w:pPr>
      <w:r>
        <w:rPr>
          <w:rFonts w:ascii="B Nazanin" w:hAnsi="B Nazanin" w:cs="B Nazanin" w:hint="cs"/>
          <w:sz w:val="24"/>
          <w:szCs w:val="24"/>
          <w:rtl/>
          <w:lang w:bidi="fa-IR"/>
        </w:rPr>
        <w:t xml:space="preserve">فراتر از جهت‌گیری انتخاب‌ها، اضطراب صفتی بر کیفیت فرایند تصمیم‌گیری</w:t>
      </w:r>
      <w:r>
        <w:rPr>
          <w:rFonts w:ascii="B Nazanin" w:hAnsi="B Nazanin" w:cs="B Nazanin" w:hint="cs"/>
          <w:vertAlign w:val="superscript"/>
          <w:rtl/>
        </w:rPr>
        <w:footnoteReference w:id="25"/>
      </w:r>
      <w:r>
        <w:rPr>
          <w:rFonts w:ascii="B Nazanin" w:hAnsi="B Nazanin" w:cs="B Nazanin" w:hint="cs"/>
          <w:sz w:val="24"/>
          <w:szCs w:val="24"/>
          <w:rtl/>
          <w:lang w:bidi="fa-IR"/>
        </w:rPr>
        <w:t xml:space="preserve"> نیز اثر می‌گذارد. پژوهش‌ها نشان می‌دهند که این هیجان با تغییر در ارزیابی فرد از کنترل و احتمال‌ها، داوری درباره گزینه‌ها را در شرایط عدم قطعیت دگرگون می‌سازد (هارتلی و فلپس، ۲۰۱۲) و ویژگی‌های شخصیتی مرتبط با اضطراب قادرند تصمیم‌گیری پرخطر واقعی را در موقعیت‌های زندگی واقعی پیش‌بینی کنند (لوریولا و لوین، ۲۰۰۱). در بافت معامله‌گری، معنای کاربردی این یافته‌ها آن است که نقض انضباط معاملاتی از سوی معامله‌گران با اضطراب صفتی بالا را نباید صرفاً ناشی از دانش فنی ناکافی یا ناآگاهی از قواعد مدیریت ریسک دانست، بلکه باید آن را پیامد رفتاری یک نظام تنظیم هیجانی تحت فشار مزمن تلقی کرد. این دیدگاه، کانون تبیین را از سطح اطلاعات و دانش معامله‌گر به سطح معماری روانشناختی او منتقل می‌سازد و پیامد مستقیمی برای برنامه‌های آموزشی و خدمات بالینی ویژه معامله‌گران دارد؛ زیرا مداخله‌ای که تنها سطح دانش را هدف بگیرد و تنظیم هیجان را نادیده بگذارد، بعید است به تغییر رفتار پایدار منجر شود.</w:t>
      </w:r>
    </w:p>
    <w:p>
      <w:pPr>
        <w:bidi w:val="1"/>
        <w:spacing w:lineRule="exact" w:line="580" w:after="0"/>
        <w:jc w:val="both"/>
      </w:pPr>
      <w:r>
        <w:rPr>
          <w:rFonts w:ascii="B Nazanin" w:hAnsi="B Nazanin" w:cs="B Nazanin" w:hint="cs"/>
          <w:sz w:val="24"/>
          <w:szCs w:val="24"/>
          <w:rtl/>
          <w:lang w:bidi="fa-IR"/>
        </w:rPr>
        <w:t xml:space="preserve">مجموع شواهد مرورشده جهت مشخصی را نشان می‌دهد: در مدل مفهومی پژوهش حاضر، اضطراب صفتی به‌عنوان پیشایند اصلی و بنیادینی جای می‌گیرد که از مسیر تشدید ادراک تهدید و فرسایش منابع شناختی، زمینه رفتارهای مالی پرخطر را فراهم می‌آورد. البته شواهدی ناهمسو نیز وجود دارد: اضطراب گاه به رفتار پرخطر تکانشی برای فرار از تنش هیجانی منجر می‌شود؛ مانند معامله‌گری برای گریز از پریشانی هیجانی که از مؤلفه‌های اختلال معامله‌گری است (گرال-برونک و همکاران، ۲۰۲۵). با این حال، شواهد تجربی همچنین نشان می‌دهند که رابطه این متغیر با پیامدهای مالی، ساده، مستقیم و همسان نیست و افراد در تبدیل اضطراب به رفتار، تفاوت‌های چشمگیری با یکدیگر دارند. همین مشاهده ضرورت جست‌وجوی سازوکارهای میانجی پایدار را برای تبیین این تبدیل مطرح می‌سازد و مبنای منطقی بررسی نقش طرحواره‌های ناسازگار اولیه را در بخش‌های بعدی این فصل فراهم می‌آورد. از منظر کاربردی نیز، تبیین جایگاه اضطراب صفتی در تصمیم‌گیری مالی، هم طراحی ابزارهای غربالگری هدفمند برای شناسایی معامله‌گران آسیب‌پذیر و هم تدوین مداخله‌های روانشناختی کوتاه‌مدت ویژه این جمعیت را توجیه می‌کند و همزمان چرایی انتخاب این متغیر به‌عنوان نقطه آغاز مدل ساختاری فرضیه‌های پژوهش را روشن می‌سازد.</w:t>
      </w:r>
    </w:p>
    <w:p>
      <w:pPr>
        <w:pStyle w:val="Heading3"/>
        <w:bidi w:val="1"/>
        <w:jc w:val="right"/>
        <w:outlineLvl w:val="1"/>
      </w:pPr>
      <w:r>
        <w:rPr>
          <w:rFonts w:ascii="B Nazanin" w:hAnsi="B Nazanin" w:cs="B Nazanin" w:hint="cs"/>
          <w:b/>
          <w:bCs/>
          <w:sz w:val="26"/>
          <w:szCs w:val="26"/>
          <w:rtl/>
          <w:lang w:bidi="fa-IR"/>
        </w:rPr>
        <w:t xml:space="preserve">۲-۲-۲ طرحواره‌های ناسازگار اولیه</w:t>
      </w:r>
    </w:p>
    <w:p>
      <w:pPr>
        <w:bidi w:val="1"/>
        <w:spacing w:lineRule="exact" w:line="580" w:after="0"/>
        <w:jc w:val="both"/>
      </w:pPr>
      <w:r>
        <w:rPr>
          <w:rFonts w:ascii="B Nazanin" w:hAnsi="B Nazanin" w:cs="B Nazanin" w:hint="cs"/>
          <w:sz w:val="24"/>
          <w:szCs w:val="24"/>
          <w:rtl/>
          <w:lang w:bidi="fa-IR"/>
        </w:rPr>
        <w:t xml:space="preserve">با این وجود، تکیه صرف بر سازه اضطراب و اختلالات توجهی، اگرچه لازم است، اما برای تبیین کامل چرایی و چگونگی تبدیل این حالات هیجانی به رفتارهای مشخص و تکرارشونده در بازار مالی، کافی به نظر نمی‌رسد. برای دستیابی به درکی جامع‌تر و عمیق‌تر از این فرآیند پیچیده روانشناختی، ضروری است تا از سطح واکنش‌های لحظه‌ای و گذرا عبور کرده و به لایه‌های زیرین و ریشه‌دار شناختی-هیجانی نگریست که ساختار شخصیت و نظام باورهای فرد را شکل می‌دهند. در این نقطه تلاقی میان هیجان و شناخت است که نظریه جامع و کارآمد «طرحواره‌های ناسازگار اولیه»، چارچوبی تبیینی و قدرتمند برای رمزگشایی از الگوهای رفتاری ناکارآمد ارائه می‌دهد.</w:t>
      </w:r>
    </w:p>
    <w:p>
      <w:pPr>
        <w:bidi w:val="1"/>
        <w:spacing w:lineRule="exact" w:line="580" w:after="0"/>
        <w:jc w:val="both"/>
      </w:pPr>
      <w:r>
        <w:rPr>
          <w:rFonts w:ascii="B Nazanin" w:hAnsi="B Nazanin" w:cs="B Nazanin" w:hint="cs"/>
          <w:sz w:val="24"/>
          <w:szCs w:val="24"/>
          <w:rtl/>
          <w:lang w:bidi="fa-IR"/>
        </w:rPr>
        <w:t xml:space="preserve">طبق این نظریه که توسط جفری یانگ و همکاران توسعه یافته است، طرحواره‌های ناسازگار اولیه، الگوهای عمیق، فراگیر، خود-آسیب‌رسان و بسیار پایداری هستند که از مجموعه‌ای درهم‌تنیده از خاطرات، هیجانات، شناخت‌واره‌ها و احساسات بدنی تشکیل شده‌اند. این سازه‌ها، نه به عنوان افکار ساده، بلکه به مثابه «فیلترهای ذهنی» قدرتمند و تحریف‌گری عمل می‌کنند که فرد از طریق آن‌ها، خود، دیگران و جهان پیرامون (از جمله بازار مالی) را می‌بیند و تفسیر می‌کند. ویژگی منحصر به فرد و خطرناک این الگوها در آن است که آن‌ها صرفاً منفعل نیستند، بلکه به طور فعال و پویا برای بقای خود تلاش می‌کنند؛ بدین معنا که فرد را ناخودآگاه به سمت انتخاب‌ها، موقعیت‌ها و روابطی سوق می‌دهند که باورهای منفی زیربنایی آن‌ها را تأیید و تقویت کند (تداوم طرحواره)، حتی اگر این انتخاب‌ها به وضوح به زیان منافع فرد باشد. (یانگ و همکاران، ۲۰۰۳).</w:t>
      </w:r>
    </w:p>
    <w:p>
      <w:pPr>
        <w:bidi w:val="1"/>
        <w:spacing w:lineRule="exact" w:line="580" w:after="0"/>
        <w:jc w:val="both"/>
      </w:pPr>
      <w:r>
        <w:rPr>
          <w:rFonts w:ascii="B Nazanin" w:hAnsi="B Nazanin" w:cs="B Nazanin" w:hint="cs"/>
          <w:sz w:val="24"/>
          <w:szCs w:val="24"/>
          <w:rtl/>
          <w:lang w:bidi="fa-IR"/>
        </w:rPr>
        <w:t xml:space="preserve">این سازه‌های شناختی عمیق و پایدار که یانگ از آن‌ها تحت عنوان طرحواره‌های ناسازگار اولیه یاد می‌کند، محصول خلأهای روانشناختی و تجارب آسیب‌زا در حساس‌ترین سال‌های رشد و تحول شخصیت هستند. ریشه اصلی شکل‌گیری این الگوها، در محرومیت مکرر، پایدار و ناکافی از مجموعه‌ای از نیازهای هیجانی بنیادین و حیاتی کودک نهفته است. این نیازها که ارضای آن‌ها برای سلامت روان ضروری است، عبارت‌اند از امنیت پایدار و دلبستگی ایمن با مراقبین اولیه، خودمختاری و استقلال در عمل، پذیرش بی‌قیدوشرط و محبت عاطفی، و محدودیت‌های واقع‌بینانه. زمانی که این نیازها به طور مداوم نادیده گرفته شوند یا با واکنش‌های نامناسب و خصمانه محیط روبرو گردند، ذهن کودک برای سازگاری با این شرایط دشوار و معنا بخشیدن به تجارب دردناک خود، دست به خلق الگوهایی می‌زند که اگرچه در آن مقطع زمانی کارکردی دفاعی دارند، اما در بزرگسالی به مانعی جدی برای سلامت و عملکرد تبدیل می‌شوند.</w:t>
      </w:r>
    </w:p>
    <w:p>
      <w:pPr>
        <w:bidi w:val="1"/>
        <w:spacing w:lineRule="exact" w:line="580" w:after="0"/>
        <w:jc w:val="both"/>
      </w:pPr>
      <w:r>
        <w:rPr>
          <w:rFonts w:ascii="B Nazanin" w:hAnsi="B Nazanin" w:cs="B Nazanin" w:hint="cs"/>
          <w:sz w:val="24"/>
          <w:szCs w:val="24"/>
          <w:rtl/>
          <w:lang w:bidi="fa-IR"/>
        </w:rPr>
        <w:t xml:space="preserve">در نتیجه این فرآیند پیچیده رشدی، این طرحواره‌ها به تدریج در ساختار روانی فرد حک شده و به باورهایی عمیق، مطلق، فراگیر و اغلب ناهشیار درباره هویت خود (مانند من ذاتاً بی‌کفایتم) و ماهیت جهان پیرامون (مانند دنیا جای خطرناک و غیرقابل اعتمادی است) بدل می‌گردند. یانگ این باورها را به عنوان حقایق پیشین توصیف می‌کند که فرد آن‌ها را بدون پرسش و تردید به عنوان واقعیت مطلق می‌پذیرد و تمام تجارب بعدی زندگی خود را از دریچه تحریف‌شده آن‌ها تفسیر می‌کند. این جزم‌‌اندیشی شناختی باعث می‌شود که طرحواره‌ها حتی در برابر شواهد متناقض بیرونی (مانند موفقیت‌های کوچک در بازار) مقاومت کرده و برای تداوم خود تلاش کنند.</w:t>
      </w:r>
    </w:p>
    <w:p>
      <w:pPr>
        <w:bidi w:val="1"/>
        <w:spacing w:lineRule="exact" w:line="580" w:after="0"/>
        <w:jc w:val="both"/>
      </w:pPr>
      <w:r>
        <w:rPr>
          <w:rFonts w:ascii="B Nazanin" w:hAnsi="B Nazanin" w:cs="B Nazanin" w:hint="cs"/>
          <w:sz w:val="24"/>
          <w:szCs w:val="24"/>
          <w:rtl/>
          <w:lang w:bidi="fa-IR"/>
        </w:rPr>
        <w:t xml:space="preserve">نکته حائز اهمیت و کلیدی در نظریه طرحواره‌درمانی این است که این باورها صرفاً ساختارهایی شناختی و سرد نیستند، بلکه دارای یک هسته هیجانی بسیار قدرتمند، دردناک و فعال هستند که از خاطرات هیجانی دوران کودکی تغذیه می‌کند. هر زمان که فرد در بزرگسالی با موقعیتی مشابه شرایط شکل‌گیری طرحواره (مانند احساس شکست، طرد شدن یا عدم قطعیت در بازار مالی) مواجه شود، این هسته هیجانی بیدار شده و فرد را با همان شدت و کیفیت هیجانی دوران کودکی درگیر می‌کند؛ وضعیتی که آرنتز و جیکوب از آن به عنوان فعال شدن طرحواره یاد می‌کنند و می‌تواند منجر به واکنش‌های هیجانی شدید و رفتارهای غیرتطبیقی شود. (آرنتز و جیکوب، ۲۰۱۲).</w:t>
      </w:r>
    </w:p>
    <w:p>
      <w:pPr>
        <w:bidi w:val="1"/>
        <w:spacing w:lineRule="exact" w:line="580" w:after="0"/>
        <w:jc w:val="both"/>
      </w:pPr>
      <w:r>
        <w:rPr>
          <w:rFonts w:ascii="B Nazanin" w:hAnsi="B Nazanin" w:cs="B Nazanin" w:hint="cs"/>
          <w:sz w:val="24"/>
          <w:szCs w:val="24"/>
          <w:rtl/>
          <w:lang w:bidi="fa-IR"/>
        </w:rPr>
        <w:t xml:space="preserve">پژوهش‌های گسترده و نظام‌مندی که در حوزه‌های مختلف روانشناسی بالینی، اعتیادپژوهی و آسیب‌شناسی روانی انجام شده است، شواهد تجربی و همبستگی بسیار معنادار و قوی را میان حضور و شدت این طرحواره‌های ناسازگار اولیه با طیف وسیعی از رفتارهای غیرتطبیقی، مخرب و خود-آسیب‌رسان به اثبات رسانده‌اند. در این میان، ارتباط این سازه‌های شناختی با انواع اعتیادهای رفتاری (مانند اعتیاد به اینترنت، بازی‌های رایانه‌ای و خرید اجباری) که ویژگی مشترک و بنیادین تمامی آن‌ها، وجود سطح بالایی از تکانشگری، ناتوانی در به تعویق انداختن لذت و جستجوی مداوم و بیمارگونه برای کسب پاداش‌های فوری و کوتاه‌مدت است، از اهمیت ویژه‌ای برخوردار بوده و مورد توجه محققان قرار گرفته است.</w:t>
      </w:r>
    </w:p>
    <w:p>
      <w:pPr>
        <w:bidi w:val="1"/>
        <w:spacing w:lineRule="exact" w:line="580" w:after="0"/>
        <w:jc w:val="both"/>
      </w:pPr>
      <w:r>
        <w:rPr>
          <w:rFonts w:ascii="B Nazanin" w:hAnsi="B Nazanin" w:cs="B Nazanin" w:hint="cs"/>
          <w:sz w:val="24"/>
          <w:szCs w:val="24"/>
          <w:rtl/>
          <w:lang w:bidi="fa-IR"/>
        </w:rPr>
        <w:t xml:space="preserve">به طور خاص و مرتبط با موضوع این پژوهش، مطالعات متعددی که بر روی جمعیت قماربازان آسیب‌شناختی و افراد دارای اختلال قماربازی انجام شده است، نشان داده‌اند که الگوهای شناختی، هیجانی و رفتاری این افراد، شباهت‌های ساختاری و روانشناختی قابل‌توجه و انکارناپذیری با معامله‌گران پرخطر، هیجانی و ناموفق در بازارهای مالی دارد. یافته‌های این پژوهش‌ها حاکی از آن است که طرحواره‌های ناسازگار اولیه در دو حوزه خاص و کلیدی، یعنی حوزه محدودیت‌های مختل (شامل طرحواره‌های استحقاق/بزرگ‌منشی و خویشتن‌داری/خودانضباطی ناکافی) و حوزه بریدگی و طرد (شامل طرحواره‌های رهاشدگی/بی‌ثباتی، محرومیت هیجانی، بی‌اعتمادی/بدرفتاری، انزوای اجتماعی و نقص/شرم)، نقش محوری و تعیین‌کننده‌ای در شکل‌گیری، تداوم و پیش‌بینی شدت رفتارهای پرخطر و اعتیادگونه ایفا می‌کنند (لیندبرگ و همکاران، ۲۰۱۱؛ ویرا و همکاران</w:t>
      </w:r>
      <w:r>
        <w:rPr>
          <w:rFonts w:ascii="B Nazanin" w:hAnsi="B Nazanin" w:cs="B Nazanin" w:hint="cs"/>
          <w:vertAlign w:val="superscript"/>
          <w:rtl/>
        </w:rPr>
        <w:footnoteReference w:id="97"/>
      </w:r>
      <w:r>
        <w:rPr>
          <w:rFonts w:ascii="B Nazanin" w:hAnsi="B Nazanin" w:cs="B Nazanin" w:hint="cs"/>
          <w:sz w:val="24"/>
          <w:szCs w:val="24"/>
          <w:rtl/>
          <w:lang w:bidi="fa-IR"/>
        </w:rPr>
        <w:t xml:space="preserve">، ۲۰۲۳).</w:t>
      </w:r>
    </w:p>
    <w:p>
      <w:pPr>
        <w:bidi w:val="1"/>
        <w:spacing w:lineRule="exact" w:line="580" w:after="0"/>
        <w:jc w:val="both"/>
      </w:pPr>
      <w:r>
        <w:rPr>
          <w:rFonts w:ascii="B Nazanin" w:hAnsi="B Nazanin" w:cs="B Nazanin" w:hint="cs"/>
          <w:sz w:val="24"/>
          <w:szCs w:val="24"/>
          <w:rtl/>
          <w:lang w:bidi="fa-IR"/>
        </w:rPr>
        <w:t xml:space="preserve">به عنوان یک مصداق بارز و ملموس از این تأثیرگذاری شناختی، می‌توان به طرحواره «خویشتن‌داری و خودانضباطی ناکافی» اشاره کرد که یکی از هسته‌های اصلی و بنیادین حوزه طرحواره‌ای محدودیت‌های مختل محسوب می‌شود. ویژگی شاخص و آسیب‌رسان این طرحواره، وجود دشواری مزمن، فراگیر و ریشه‌دار در تحمل ناکامی‌های هیجانی، ضعف مشهود در کنترل و مدیریت تکانه‌ها و امیال آنی، و ناتوانی در به تعویق انداختن ارضای لذت‌های کوتاه‌مدت به نفع دستیابی به اهداف و پاداش‌های بلندمدت و باارزش‌تر است.</w:t>
      </w:r>
    </w:p>
    <w:p>
      <w:pPr>
        <w:bidi w:val="1"/>
        <w:spacing w:lineRule="exact" w:line="580" w:after="0"/>
        <w:jc w:val="both"/>
      </w:pPr>
      <w:r>
        <w:rPr>
          <w:rFonts w:ascii="B Nazanin" w:hAnsi="B Nazanin" w:cs="B Nazanin" w:hint="cs"/>
          <w:sz w:val="24"/>
          <w:szCs w:val="24"/>
          <w:rtl/>
          <w:lang w:bidi="fa-IR"/>
        </w:rPr>
        <w:t xml:space="preserve">در بافت پرتنش و پرنوسان معامله‌گری در بازارهای مالی، وجود این طرحواره می‌تواند پیامدهای ویرانگر و مستقیمی بر عملکرد فرد داشته باشد و به ناتوانی معامله‌گر در پایبندی به قوانین سخت‌گیرانه، انضباطی و حیاتی مدیریت ریسک و سرمایه منجر شود. معامله‌گری که تحت تأثیر این طرحواره عمل می‌کند، اغلب در برابر وسوسه نقض قوانین معاملاتی خود، نادیده گرفتن حد ضررهای از پیش تعیین‌شده و تغییر مداوم استراتژی بر اساس هیجانات لحظه‌ای تسلیم شده و کنترلی بر رفتار خود ندارد.</w:t>
      </w:r>
    </w:p>
    <w:p>
      <w:pPr>
        <w:pStyle w:val="Heading4"/>
        <w:bidi w:val="1"/>
        <w:jc w:val="right"/>
        <w:outlineLvl w:val="1"/>
      </w:pPr>
      <w:r>
        <w:rPr>
          <w:rFonts w:ascii="B Nazanin" w:hAnsi="B Nazanin" w:cs="B Nazanin" w:hint="cs"/>
          <w:b/>
          <w:bCs/>
          <w:sz w:val="24"/>
          <w:szCs w:val="24"/>
          <w:rtl/>
          <w:lang w:bidi="fa-IR"/>
        </w:rPr>
        <w:t xml:space="preserve">۲-۲-۲-۱ حوزه‌ها و طرحواره‌های ناسازگار اولیه و سبک‌های مقابله‌ای</w:t>
      </w:r>
    </w:p>
    <w:p>
      <w:pPr>
        <w:bidi w:val="1"/>
        <w:spacing w:lineRule="exact" w:line="580" w:after="0"/>
        <w:jc w:val="both"/>
      </w:pPr>
      <w:r>
        <w:rPr>
          <w:rFonts w:ascii="B Nazanin" w:hAnsi="B Nazanin" w:cs="B Nazanin" w:hint="cs"/>
          <w:sz w:val="24"/>
          <w:szCs w:val="24"/>
          <w:rtl/>
          <w:lang w:bidi="fa-IR"/>
        </w:rPr>
        <w:t xml:space="preserve">نظریه طرحواره یانگ، ساختار شخصیت را بر پایه مجموعه‌ای از نیازهای هیجانی بنیادین تبیین می‌کند که برآورده‌نشدن آن‌ها در دوران رشد، زمینه شکل‌گیری طرحواره‌های ناسازگار اولیه را فراهم می‌آورد. در مدل یانگ و همکاران، هجده طرحواره در قالب پنج حوزه طرحواره‌ای</w:t>
      </w:r>
      <w:r>
        <w:rPr>
          <w:rFonts w:ascii="B Nazanin" w:hAnsi="B Nazanin" w:cs="B Nazanin" w:hint="cs"/>
          <w:vertAlign w:val="superscript"/>
          <w:rtl/>
        </w:rPr>
        <w:footnoteReference w:id="26"/>
      </w:r>
      <w:r>
        <w:rPr>
          <w:rFonts w:ascii="B Nazanin" w:hAnsi="B Nazanin" w:cs="B Nazanin" w:hint="cs"/>
          <w:sz w:val="24"/>
          <w:szCs w:val="24"/>
          <w:rtl/>
          <w:lang w:bidi="fa-IR"/>
        </w:rPr>
        <w:t xml:space="preserve"> سازمان یافته‌اند و هر حوزه بازتاب محرومیت پایدار از یک یا چند نیاز هیجانی مشخص است؛ به بیان دیگر، حوزه‌ها نه بر اساس شباهت ظاهری طرحواره‌ها، بلکه بر اساس منطق تحولی مشترک آن‌ها تعریف شده‌اند (یانگ و همکاران، ۲۰۰۳). این سازمان‌دهی سلسله‌مراتبی دو کارکرد مهم دارد: نخست، شناسایی نیاز برآورده‌نشده زیربنایی هر طرحواره را ممکن می‌سازد و دوم، پیش‌بینی می‌کند که طرحواره‌های هم‌حوزه معمولاً به‌طور هم‌زمان فعال شوند و تجربه هیجانی فرد را به‌شکل هماهنگ رنگ‌آمیزی کنند. از منظر بالینی نیز، این طبقه‌بندی نقطه آغاز مداخله را مشخص می‌سازد؛ زیرا بازپروری نیاز هیجانی برآورده‌نشده هر حوزه، هدف اصلی فرایند درمان در طرحواره‌درمانی است. فهرست کامل حوزه‌ها و طرحواره‌های این مدل در جدول زیر ارائه شده است.</w:t>
      </w:r>
    </w:p>
    <w:p>
      <w:pPr>
        <w:bidi w:val="1"/>
        <w:spacing w:lineRule="exact" w:line="580" w:before="180" w:after="40"/>
        <w:jc w:val="center"/>
      </w:pPr>
      <w:r>
        <w:rPr>
          <w:rFonts w:ascii="B Nazanin" w:hAnsi="B Nazanin" w:cs="B Nazanin" w:hint="cs"/>
          <w:b/>
          <w:bCs/>
          <w:sz w:val="24"/>
          <w:szCs w:val="24"/>
          <w:rtl/>
          <w:lang w:bidi="fa-IR"/>
        </w:rPr>
        <w:t xml:space="preserve">جدول ۲-۱. حوزه‌ها و طرحواره‌های ناسازگار اولیه در مدل یانگ</w:t>
      </w:r>
    </w:p>
    <w:p>
      <w:pPr>
        <w:bidi/>
      </w:pPr>
      <w:r>
        <w:rPr>
          <w:vanish/>
          <w:rFonts w:ascii="B Nazanin" w:hAnsi="B Nazanin"/>
        </w:rPr>
        <w:fldChar w:fldCharType="begin"/>
      </w:r>
      <w:r>
        <w:rPr>
          <w:vanish/>
          <w:rFonts w:ascii="B Nazanin" w:hAnsi="B Nazanin"/>
        </w:rPr>
        <w:instrText>TC "جدول ۲-۱. حوزه‌ها و طرحواره‌های ناسازگار اولیه در مدل یانگ" \f T \l 1</w:instrText>
      </w:r>
      <w:r>
        <w:rPr>
          <w:vanish/>
          <w:rFonts w:ascii="B Nazanin" w:hAnsi="B Nazanin"/>
        </w:rPr>
        <w:fldChar w:fldCharType="end"/>
      </w:r>
    </w:p>
    <w:tbl>
      <w:tblPr>
        <w:tblStyle w:val="TableGrid"/>
        <w:tblW w:type="auto" w:w="0"/>
        <w:tblLook w:firstColumn="1" w:firstRow="1" w:lastColumn="0" w:lastRow="0" w:noHBand="0" w:noVBand="1" w:val="04A0"/>
        <w:bidiVisual/>
      </w:tblPr>
      <w:tblGrid>
        <w:gridCol w:w="2740"/>
        <w:gridCol w:w="2740"/>
        <w:gridCol w:w="2740"/>
      </w:tblGrid>
      <w:tr>
        <w:tc>
          <w:tcPr>
            <w:tcW w:type="dxa" w:w="2740"/>
          </w:tcPr>
          <w:p>
            <w:pPr>
              <w:bidi w:val="1"/>
              <w:jc w:val="center"/>
            </w:pPr>
            <w:r/>
            <w:r>
              <w:rPr>
                <w:rFonts w:ascii="B Nazanin" w:hAnsi="B Nazanin" w:cs="B Nazanin" w:hint="cs"/>
                <w:b/>
                <w:bCs/>
                <w:sz w:val="22"/>
                <w:szCs w:val="22"/>
                <w:rtl/>
                <w:lang w:bidi="fa-IR"/>
              </w:rPr>
              <w:t xml:space="preserve">حوزه (فارسی / انگلیسی)</w:t>
            </w:r>
          </w:p>
        </w:tc>
        <w:tc>
          <w:tcPr>
            <w:tcW w:type="dxa" w:w="2740"/>
          </w:tcPr>
          <w:p>
            <w:pPr>
              <w:bidi w:val="1"/>
              <w:jc w:val="center"/>
            </w:pPr>
            <w:r/>
            <w:r>
              <w:rPr>
                <w:rFonts w:ascii="B Nazanin" w:hAnsi="B Nazanin" w:cs="B Nazanin" w:hint="cs"/>
                <w:b/>
                <w:bCs/>
                <w:sz w:val="22"/>
                <w:szCs w:val="22"/>
                <w:rtl/>
                <w:lang w:bidi="fa-IR"/>
              </w:rPr>
              <w:t xml:space="preserve">نیاز هیجانی بنیادین برآورده‌نشده</w:t>
            </w:r>
          </w:p>
        </w:tc>
        <w:tc>
          <w:tcPr>
            <w:tcW w:type="dxa" w:w="2740"/>
          </w:tcPr>
          <w:p>
            <w:pPr>
              <w:bidi w:val="1"/>
              <w:jc w:val="center"/>
            </w:pPr>
            <w:r/>
            <w:r>
              <w:rPr>
                <w:rFonts w:ascii="B Nazanin" w:hAnsi="B Nazanin" w:cs="B Nazanin" w:hint="cs"/>
                <w:b/>
                <w:bCs/>
                <w:sz w:val="22"/>
                <w:szCs w:val="22"/>
                <w:rtl/>
                <w:lang w:bidi="fa-IR"/>
              </w:rPr>
              <w:t xml:space="preserve">طرحواره‌های حوزه</w:t>
            </w:r>
          </w:p>
        </w:tc>
      </w:tr>
      <w:tr>
        <w:tc>
          <w:tcPr>
            <w:tcW w:type="dxa" w:w="2740"/>
          </w:tcPr>
          <w:p>
            <w:pPr>
              <w:bidi w:val="1"/>
              <w:jc w:val="both"/>
            </w:pPr>
            <w:r/>
            <w:r>
              <w:rPr>
                <w:rFonts w:ascii="B Nazanin" w:hAnsi="B Nazanin" w:cs="B Nazanin" w:hint="cs"/>
                <w:sz w:val="22"/>
                <w:szCs w:val="22"/>
                <w:rtl/>
                <w:lang w:bidi="fa-IR"/>
              </w:rPr>
              <w:t xml:space="preserve">۱. بریدگی و طرد</w:t>
            </w:r>
            <w:r>
              <w:rPr>
                <w:rFonts w:ascii="Times New Roman" w:hAnsi="Times New Roman" w:cs="Times New Roman"/>
                <w:sz w:val="20"/>
                <w:szCs w:val="20"/>
                <w:lang w:val="en-US"/>
              </w:rPr>
              <w:t xml:space="preserve"> (Disconnection and Rejection)</w:t>
            </w:r>
          </w:p>
        </w:tc>
        <w:tc>
          <w:tcPr>
            <w:tcW w:type="dxa" w:w="2740"/>
          </w:tcPr>
          <w:p>
            <w:pPr>
              <w:bidi w:val="1"/>
              <w:jc w:val="both"/>
            </w:pPr>
            <w:r/>
            <w:r>
              <w:rPr>
                <w:rFonts w:ascii="B Nazanin" w:hAnsi="B Nazanin" w:cs="B Nazanin" w:hint="cs"/>
                <w:sz w:val="22"/>
                <w:szCs w:val="22"/>
                <w:rtl/>
                <w:lang w:bidi="fa-IR"/>
              </w:rPr>
              <w:t xml:space="preserve">امنیت، دلبستگی پایدار، همدلی، پذیرش و محبت</w:t>
            </w:r>
          </w:p>
        </w:tc>
        <w:tc>
          <w:tcPr>
            <w:tcW w:type="dxa" w:w="2740"/>
          </w:tcPr>
          <w:p>
            <w:pPr>
              <w:bidi w:val="1"/>
              <w:jc w:val="both"/>
            </w:pPr>
            <w:r/>
            <w:r>
              <w:rPr>
                <w:rFonts w:ascii="B Nazanin" w:hAnsi="B Nazanin" w:cs="B Nazanin" w:hint="cs"/>
                <w:sz w:val="22"/>
                <w:szCs w:val="22"/>
                <w:rtl/>
                <w:lang w:bidi="fa-IR"/>
              </w:rPr>
              <w:t xml:space="preserve">رهاشدگی/بی‌ثباتی</w:t>
            </w:r>
            <w:r>
              <w:rPr>
                <w:rFonts w:ascii="Times New Roman" w:hAnsi="Times New Roman" w:cs="Times New Roman"/>
                <w:sz w:val="20"/>
                <w:szCs w:val="20"/>
                <w:lang w:val="en-US"/>
              </w:rPr>
              <w:t xml:space="preserve"> (Abandonment/Instability)</w:t>
            </w:r>
            <w:r>
              <w:rPr>
                <w:rFonts w:ascii="B Nazanin" w:hAnsi="B Nazanin" w:cs="B Nazanin" w:hint="cs"/>
                <w:sz w:val="22"/>
                <w:szCs w:val="22"/>
                <w:rtl/>
                <w:lang w:bidi="fa-IR"/>
              </w:rPr>
              <w:t xml:space="preserve">؛ بی‌اعتمادی/بدرفتاری</w:t>
            </w:r>
            <w:r>
              <w:rPr>
                <w:rFonts w:ascii="Times New Roman" w:hAnsi="Times New Roman" w:cs="Times New Roman"/>
                <w:sz w:val="20"/>
                <w:szCs w:val="20"/>
                <w:lang w:val="en-US"/>
              </w:rPr>
              <w:t xml:space="preserve"> (Mistrust/Abuse)</w:t>
            </w:r>
            <w:r>
              <w:rPr>
                <w:rFonts w:ascii="B Nazanin" w:hAnsi="B Nazanin" w:cs="B Nazanin" w:hint="cs"/>
                <w:sz w:val="22"/>
                <w:szCs w:val="22"/>
                <w:rtl/>
                <w:lang w:bidi="fa-IR"/>
              </w:rPr>
              <w:t xml:space="preserve">؛ محرومیت هیجانی</w:t>
            </w:r>
            <w:r>
              <w:rPr>
                <w:rFonts w:ascii="Times New Roman" w:hAnsi="Times New Roman" w:cs="Times New Roman"/>
                <w:sz w:val="20"/>
                <w:szCs w:val="20"/>
                <w:lang w:val="en-US"/>
              </w:rPr>
              <w:t xml:space="preserve"> (Emotional Deprivation)</w:t>
            </w:r>
            <w:r>
              <w:rPr>
                <w:rFonts w:ascii="B Nazanin" w:hAnsi="B Nazanin" w:cs="B Nazanin" w:hint="cs"/>
                <w:sz w:val="22"/>
                <w:szCs w:val="22"/>
                <w:rtl/>
                <w:lang w:bidi="fa-IR"/>
              </w:rPr>
              <w:t xml:space="preserve">؛ نقص/شرم</w:t>
            </w:r>
            <w:r>
              <w:rPr>
                <w:rFonts w:ascii="Times New Roman" w:hAnsi="Times New Roman" w:cs="Times New Roman"/>
                <w:sz w:val="20"/>
                <w:szCs w:val="20"/>
                <w:lang w:val="en-US"/>
              </w:rPr>
              <w:t xml:space="preserve"> (Defectiveness/Shame)</w:t>
            </w:r>
            <w:r>
              <w:rPr>
                <w:rFonts w:ascii="B Nazanin" w:hAnsi="B Nazanin" w:cs="B Nazanin" w:hint="cs"/>
                <w:sz w:val="22"/>
                <w:szCs w:val="22"/>
                <w:rtl/>
                <w:lang w:bidi="fa-IR"/>
              </w:rPr>
              <w:t xml:space="preserve">؛ انزوای اجتماعی/بیگانگی</w:t>
            </w:r>
            <w:r>
              <w:rPr>
                <w:rFonts w:ascii="Times New Roman" w:hAnsi="Times New Roman" w:cs="Times New Roman"/>
                <w:sz w:val="20"/>
                <w:szCs w:val="20"/>
                <w:lang w:val="en-US"/>
              </w:rPr>
              <w:t xml:space="preserve"> (Social Isolation/Alienation)</w:t>
            </w:r>
          </w:p>
        </w:tc>
      </w:tr>
      <w:tr>
        <w:tc>
          <w:tcPr>
            <w:tcW w:type="dxa" w:w="2740"/>
          </w:tcPr>
          <w:p>
            <w:pPr>
              <w:bidi w:val="1"/>
              <w:jc w:val="both"/>
            </w:pPr>
            <w:r/>
            <w:r>
              <w:rPr>
                <w:rFonts w:ascii="B Nazanin" w:hAnsi="B Nazanin" w:cs="B Nazanin" w:hint="cs"/>
                <w:sz w:val="22"/>
                <w:szCs w:val="22"/>
                <w:rtl/>
                <w:lang w:bidi="fa-IR"/>
              </w:rPr>
              <w:t xml:space="preserve">۲. آسیب‌دیدگی در خودمختاری و عملکرد</w:t>
            </w:r>
            <w:r>
              <w:rPr>
                <w:rFonts w:ascii="Times New Roman" w:hAnsi="Times New Roman" w:cs="Times New Roman"/>
                <w:sz w:val="20"/>
                <w:szCs w:val="20"/>
                <w:lang w:val="en-US"/>
              </w:rPr>
              <w:t xml:space="preserve"> (Impaired Autonomy and Performance)</w:t>
            </w:r>
          </w:p>
        </w:tc>
        <w:tc>
          <w:tcPr>
            <w:tcW w:type="dxa" w:w="2740"/>
          </w:tcPr>
          <w:p>
            <w:pPr>
              <w:bidi w:val="1"/>
              <w:jc w:val="both"/>
            </w:pPr>
            <w:r/>
            <w:r>
              <w:rPr>
                <w:rFonts w:ascii="B Nazanin" w:hAnsi="B Nazanin" w:cs="B Nazanin" w:hint="cs"/>
                <w:sz w:val="22"/>
                <w:szCs w:val="22"/>
                <w:rtl/>
                <w:lang w:bidi="fa-IR"/>
              </w:rPr>
              <w:t xml:space="preserve">خودمختاری، شایستگی و هویت مستقل</w:t>
            </w:r>
          </w:p>
        </w:tc>
        <w:tc>
          <w:tcPr>
            <w:tcW w:type="dxa" w:w="2740"/>
          </w:tcPr>
          <w:p>
            <w:pPr>
              <w:bidi w:val="1"/>
              <w:jc w:val="both"/>
            </w:pPr>
            <w:r/>
            <w:r>
              <w:rPr>
                <w:rFonts w:ascii="B Nazanin" w:hAnsi="B Nazanin" w:cs="B Nazanin" w:hint="cs"/>
                <w:sz w:val="22"/>
                <w:szCs w:val="22"/>
                <w:rtl/>
                <w:lang w:bidi="fa-IR"/>
              </w:rPr>
              <w:t xml:space="preserve">آسیب‌پذیری نسبت به آسیب یا بیماری</w:t>
            </w:r>
            <w:r>
              <w:rPr>
                <w:rFonts w:ascii="Times New Roman" w:hAnsi="Times New Roman" w:cs="Times New Roman"/>
                <w:sz w:val="20"/>
                <w:szCs w:val="20"/>
                <w:lang w:val="en-US"/>
              </w:rPr>
              <w:t xml:space="preserve"> (Vulnerability to Harm or Illness)</w:t>
            </w:r>
            <w:r>
              <w:rPr>
                <w:rFonts w:ascii="B Nazanin" w:hAnsi="B Nazanin" w:cs="B Nazanin" w:hint="cs"/>
                <w:sz w:val="22"/>
                <w:szCs w:val="22"/>
                <w:rtl/>
                <w:lang w:bidi="fa-IR"/>
              </w:rPr>
              <w:t xml:space="preserve">؛ وابستگی/بی‌کفایتی</w:t>
            </w:r>
            <w:r>
              <w:rPr>
                <w:rFonts w:ascii="Times New Roman" w:hAnsi="Times New Roman" w:cs="Times New Roman"/>
                <w:sz w:val="20"/>
                <w:szCs w:val="20"/>
                <w:lang w:val="en-US"/>
              </w:rPr>
              <w:t xml:space="preserve"> (Dependence/Incompetence)</w:t>
            </w:r>
            <w:r>
              <w:rPr>
                <w:rFonts w:ascii="B Nazanin" w:hAnsi="B Nazanin" w:cs="B Nazanin" w:hint="cs"/>
                <w:sz w:val="22"/>
                <w:szCs w:val="22"/>
                <w:rtl/>
                <w:lang w:bidi="fa-IR"/>
              </w:rPr>
              <w:t xml:space="preserve">؛ درهم‌تنیدگی/خویشتن رشدنایافته</w:t>
            </w:r>
            <w:r>
              <w:rPr>
                <w:rFonts w:ascii="Times New Roman" w:hAnsi="Times New Roman" w:cs="Times New Roman"/>
                <w:sz w:val="20"/>
                <w:szCs w:val="20"/>
                <w:lang w:val="en-US"/>
              </w:rPr>
              <w:t xml:space="preserve"> (Enmeshment/Undeveloped Self)</w:t>
            </w:r>
            <w:r>
              <w:rPr>
                <w:rFonts w:ascii="B Nazanin" w:hAnsi="B Nazanin" w:cs="B Nazanin" w:hint="cs"/>
                <w:sz w:val="22"/>
                <w:szCs w:val="22"/>
                <w:rtl/>
                <w:lang w:bidi="fa-IR"/>
              </w:rPr>
              <w:t xml:space="preserve">؛ شکست</w:t>
            </w:r>
            <w:r>
              <w:rPr>
                <w:rFonts w:ascii="Times New Roman" w:hAnsi="Times New Roman" w:cs="Times New Roman"/>
                <w:sz w:val="20"/>
                <w:szCs w:val="20"/>
                <w:lang w:val="en-US"/>
              </w:rPr>
              <w:t xml:space="preserve"> (Failure)</w:t>
            </w:r>
          </w:p>
        </w:tc>
      </w:tr>
      <w:tr>
        <w:tc>
          <w:tcPr>
            <w:tcW w:type="dxa" w:w="2740"/>
          </w:tcPr>
          <w:p>
            <w:pPr>
              <w:bidi w:val="1"/>
              <w:jc w:val="both"/>
            </w:pPr>
            <w:r/>
            <w:r>
              <w:rPr>
                <w:rFonts w:ascii="B Nazanin" w:hAnsi="B Nazanin" w:cs="B Nazanin" w:hint="cs"/>
                <w:sz w:val="22"/>
                <w:szCs w:val="22"/>
                <w:rtl/>
                <w:lang w:bidi="fa-IR"/>
              </w:rPr>
              <w:t xml:space="preserve">۳. محدودیت‌های مختل</w:t>
            </w:r>
            <w:r>
              <w:rPr>
                <w:rFonts w:ascii="Times New Roman" w:hAnsi="Times New Roman" w:cs="Times New Roman"/>
                <w:sz w:val="20"/>
                <w:szCs w:val="20"/>
                <w:lang w:val="en-US"/>
              </w:rPr>
              <w:t xml:space="preserve"> (Impaired Limits)</w:t>
            </w:r>
          </w:p>
        </w:tc>
        <w:tc>
          <w:tcPr>
            <w:tcW w:type="dxa" w:w="2740"/>
          </w:tcPr>
          <w:p>
            <w:pPr>
              <w:bidi w:val="1"/>
              <w:jc w:val="both"/>
            </w:pPr>
            <w:r/>
            <w:r>
              <w:rPr>
                <w:rFonts w:ascii="B Nazanin" w:hAnsi="B Nazanin" w:cs="B Nazanin" w:hint="cs"/>
                <w:sz w:val="22"/>
                <w:szCs w:val="22"/>
                <w:rtl/>
                <w:lang w:bidi="fa-IR"/>
              </w:rPr>
              <w:t xml:space="preserve">محدودیت‌های واقع‌بینانه، خودکنترلی و مسئولیت‌پذیری</w:t>
            </w:r>
          </w:p>
        </w:tc>
        <w:tc>
          <w:tcPr>
            <w:tcW w:type="dxa" w:w="2740"/>
          </w:tcPr>
          <w:p>
            <w:pPr>
              <w:bidi w:val="1"/>
              <w:jc w:val="both"/>
            </w:pPr>
            <w:r/>
            <w:r>
              <w:rPr>
                <w:rFonts w:ascii="B Nazanin" w:hAnsi="B Nazanin" w:cs="B Nazanin" w:hint="cs"/>
                <w:sz w:val="22"/>
                <w:szCs w:val="22"/>
                <w:rtl/>
                <w:lang w:bidi="fa-IR"/>
              </w:rPr>
              <w:t xml:space="preserve">استحقاق/بزرگ‌منشی</w:t>
            </w:r>
            <w:r>
              <w:rPr>
                <w:rFonts w:ascii="Times New Roman" w:hAnsi="Times New Roman" w:cs="Times New Roman"/>
                <w:sz w:val="20"/>
                <w:szCs w:val="20"/>
                <w:lang w:val="en-US"/>
              </w:rPr>
              <w:t xml:space="preserve"> (Entitlement/Grandiosity)</w:t>
            </w:r>
            <w:r>
              <w:rPr>
                <w:rFonts w:ascii="B Nazanin" w:hAnsi="B Nazanin" w:cs="B Nazanin" w:hint="cs"/>
                <w:sz w:val="22"/>
                <w:szCs w:val="22"/>
                <w:rtl/>
                <w:lang w:bidi="fa-IR"/>
              </w:rPr>
              <w:t xml:space="preserve">؛ خویشتن‌داری/خودانضباطی ناکافی</w:t>
            </w:r>
            <w:r>
              <w:rPr>
                <w:rFonts w:ascii="Times New Roman" w:hAnsi="Times New Roman" w:cs="Times New Roman"/>
                <w:sz w:val="20"/>
                <w:szCs w:val="20"/>
                <w:lang w:val="en-US"/>
              </w:rPr>
              <w:t xml:space="preserve"> (Insufficient Self-Control/Self-Discipline)</w:t>
            </w:r>
          </w:p>
        </w:tc>
      </w:tr>
      <w:tr>
        <w:tc>
          <w:tcPr>
            <w:tcW w:type="dxa" w:w="2740"/>
          </w:tcPr>
          <w:p>
            <w:pPr>
              <w:bidi w:val="1"/>
              <w:jc w:val="both"/>
            </w:pPr>
            <w:r/>
            <w:r>
              <w:rPr>
                <w:rFonts w:ascii="B Nazanin" w:hAnsi="B Nazanin" w:cs="B Nazanin" w:hint="cs"/>
                <w:sz w:val="22"/>
                <w:szCs w:val="22"/>
                <w:rtl/>
                <w:lang w:bidi="fa-IR"/>
              </w:rPr>
              <w:t xml:space="preserve">۴. دیگرجهت‌مندی</w:t>
            </w:r>
            <w:r>
              <w:rPr>
                <w:rFonts w:ascii="Times New Roman" w:hAnsi="Times New Roman" w:cs="Times New Roman"/>
                <w:sz w:val="20"/>
                <w:szCs w:val="20"/>
                <w:lang w:val="en-US"/>
              </w:rPr>
              <w:t xml:space="preserve"> (Other-Directedness)</w:t>
            </w:r>
          </w:p>
        </w:tc>
        <w:tc>
          <w:tcPr>
            <w:tcW w:type="dxa" w:w="2740"/>
          </w:tcPr>
          <w:p>
            <w:pPr>
              <w:bidi w:val="1"/>
              <w:jc w:val="both"/>
            </w:pPr>
            <w:r/>
            <w:r>
              <w:rPr>
                <w:rFonts w:ascii="B Nazanin" w:hAnsi="B Nazanin" w:cs="B Nazanin" w:hint="cs"/>
                <w:sz w:val="22"/>
                <w:szCs w:val="22"/>
                <w:rtl/>
                <w:lang w:bidi="fa-IR"/>
              </w:rPr>
              <w:t xml:space="preserve">بیان آزاد نیازها و هیجان‌ها و روابط متقابل</w:t>
            </w:r>
          </w:p>
        </w:tc>
        <w:tc>
          <w:tcPr>
            <w:tcW w:type="dxa" w:w="2740"/>
          </w:tcPr>
          <w:p>
            <w:pPr>
              <w:bidi w:val="1"/>
              <w:jc w:val="both"/>
            </w:pPr>
            <w:r/>
            <w:r>
              <w:rPr>
                <w:rFonts w:ascii="B Nazanin" w:hAnsi="B Nazanin" w:cs="B Nazanin" w:hint="cs"/>
                <w:sz w:val="22"/>
                <w:szCs w:val="22"/>
                <w:rtl/>
                <w:lang w:bidi="fa-IR"/>
              </w:rPr>
              <w:t xml:space="preserve">اطاعت</w:t>
            </w:r>
            <w:r>
              <w:rPr>
                <w:rFonts w:ascii="Times New Roman" w:hAnsi="Times New Roman" w:cs="Times New Roman"/>
                <w:sz w:val="20"/>
                <w:szCs w:val="20"/>
                <w:lang w:val="en-US"/>
              </w:rPr>
              <w:t xml:space="preserve"> (Subjugation)</w:t>
            </w:r>
            <w:r>
              <w:rPr>
                <w:rFonts w:ascii="B Nazanin" w:hAnsi="B Nazanin" w:cs="B Nazanin" w:hint="cs"/>
                <w:sz w:val="22"/>
                <w:szCs w:val="22"/>
                <w:rtl/>
                <w:lang w:bidi="fa-IR"/>
              </w:rPr>
              <w:t xml:space="preserve">؛ ایثار</w:t>
            </w:r>
            <w:r>
              <w:rPr>
                <w:rFonts w:ascii="Times New Roman" w:hAnsi="Times New Roman" w:cs="Times New Roman"/>
                <w:sz w:val="20"/>
                <w:szCs w:val="20"/>
                <w:lang w:val="en-US"/>
              </w:rPr>
              <w:t xml:space="preserve"> (Self-Sacrifice)</w:t>
            </w:r>
            <w:r>
              <w:rPr>
                <w:rFonts w:ascii="B Nazanin" w:hAnsi="B Nazanin" w:cs="B Nazanin" w:hint="cs"/>
                <w:sz w:val="22"/>
                <w:szCs w:val="22"/>
                <w:rtl/>
                <w:lang w:bidi="fa-IR"/>
              </w:rPr>
              <w:t xml:space="preserve">؛ تأییدطلبی/جلب توجه</w:t>
            </w:r>
            <w:r>
              <w:rPr>
                <w:rFonts w:ascii="Times New Roman" w:hAnsi="Times New Roman" w:cs="Times New Roman"/>
                <w:sz w:val="20"/>
                <w:szCs w:val="20"/>
                <w:lang w:val="en-US"/>
              </w:rPr>
              <w:t xml:space="preserve"> (Approval-Seeking/Recognition-Seeking)</w:t>
            </w:r>
          </w:p>
        </w:tc>
      </w:tr>
      <w:tr>
        <w:tc>
          <w:tcPr>
            <w:tcW w:type="dxa" w:w="2740"/>
          </w:tcPr>
          <w:p>
            <w:pPr>
              <w:bidi w:val="1"/>
              <w:jc w:val="both"/>
            </w:pPr>
            <w:r/>
            <w:r>
              <w:rPr>
                <w:rFonts w:ascii="B Nazanin" w:hAnsi="B Nazanin" w:cs="B Nazanin" w:hint="cs"/>
                <w:sz w:val="22"/>
                <w:szCs w:val="22"/>
                <w:rtl/>
                <w:lang w:bidi="fa-IR"/>
              </w:rPr>
              <w:t xml:space="preserve">۵. گوش‌به‌زنگی بیش از حد و بازداری</w:t>
            </w:r>
            <w:r>
              <w:rPr>
                <w:rFonts w:ascii="Times New Roman" w:hAnsi="Times New Roman" w:cs="Times New Roman"/>
                <w:sz w:val="20"/>
                <w:szCs w:val="20"/>
                <w:lang w:val="en-US"/>
              </w:rPr>
              <w:t xml:space="preserve"> (Overvigilance and Inhibition)</w:t>
            </w:r>
          </w:p>
        </w:tc>
        <w:tc>
          <w:tcPr>
            <w:tcW w:type="dxa" w:w="2740"/>
          </w:tcPr>
          <w:p>
            <w:pPr>
              <w:bidi w:val="1"/>
              <w:jc w:val="both"/>
            </w:pPr>
            <w:r/>
            <w:r>
              <w:rPr>
                <w:rFonts w:ascii="B Nazanin" w:hAnsi="B Nazanin" w:cs="B Nazanin" w:hint="cs"/>
                <w:sz w:val="22"/>
                <w:szCs w:val="22"/>
                <w:rtl/>
                <w:lang w:bidi="fa-IR"/>
              </w:rPr>
              <w:t xml:space="preserve">خودانگیختگی، بازی و معیارهای انعطاف‌پذیر</w:t>
            </w:r>
          </w:p>
        </w:tc>
        <w:tc>
          <w:tcPr>
            <w:tcW w:type="dxa" w:w="2740"/>
          </w:tcPr>
          <w:p>
            <w:pPr>
              <w:bidi w:val="1"/>
              <w:jc w:val="both"/>
            </w:pPr>
            <w:r/>
            <w:r>
              <w:rPr>
                <w:rFonts w:ascii="B Nazanin" w:hAnsi="B Nazanin" w:cs="B Nazanin" w:hint="cs"/>
                <w:sz w:val="22"/>
                <w:szCs w:val="22"/>
                <w:rtl/>
                <w:lang w:bidi="fa-IR"/>
              </w:rPr>
              <w:t xml:space="preserve">منفی‌گرایی/بدبینی</w:t>
            </w:r>
            <w:r>
              <w:rPr>
                <w:rFonts w:ascii="Times New Roman" w:hAnsi="Times New Roman" w:cs="Times New Roman"/>
                <w:sz w:val="20"/>
                <w:szCs w:val="20"/>
                <w:lang w:val="en-US"/>
              </w:rPr>
              <w:t xml:space="preserve"> (Negativity/Pessimism)</w:t>
            </w:r>
            <w:r>
              <w:rPr>
                <w:rFonts w:ascii="B Nazanin" w:hAnsi="B Nazanin" w:cs="B Nazanin" w:hint="cs"/>
                <w:sz w:val="22"/>
                <w:szCs w:val="22"/>
                <w:rtl/>
                <w:lang w:bidi="fa-IR"/>
              </w:rPr>
              <w:t xml:space="preserve">؛ بازداری هیجانی</w:t>
            </w:r>
            <w:r>
              <w:rPr>
                <w:rFonts w:ascii="Times New Roman" w:hAnsi="Times New Roman" w:cs="Times New Roman"/>
                <w:sz w:val="20"/>
                <w:szCs w:val="20"/>
                <w:lang w:val="en-US"/>
              </w:rPr>
              <w:t xml:space="preserve"> (Emotional Inhibition)</w:t>
            </w:r>
            <w:r>
              <w:rPr>
                <w:rFonts w:ascii="B Nazanin" w:hAnsi="B Nazanin" w:cs="B Nazanin" w:hint="cs"/>
                <w:sz w:val="22"/>
                <w:szCs w:val="22"/>
                <w:rtl/>
                <w:lang w:bidi="fa-IR"/>
              </w:rPr>
              <w:t xml:space="preserve">؛ معیارهای سرسختانه/کمال‌گرایی افراطی</w:t>
            </w:r>
            <w:r>
              <w:rPr>
                <w:rFonts w:ascii="Times New Roman" w:hAnsi="Times New Roman" w:cs="Times New Roman"/>
                <w:sz w:val="20"/>
                <w:szCs w:val="20"/>
                <w:lang w:val="en-US"/>
              </w:rPr>
              <w:t xml:space="preserve"> (Unrelenting Standards/Hypercriticalness)</w:t>
            </w:r>
            <w:r>
              <w:rPr>
                <w:rFonts w:ascii="B Nazanin" w:hAnsi="B Nazanin" w:cs="B Nazanin" w:hint="cs"/>
                <w:sz w:val="22"/>
                <w:szCs w:val="22"/>
                <w:rtl/>
                <w:lang w:bidi="fa-IR"/>
              </w:rPr>
              <w:t xml:space="preserve">؛ تنبیه‌گری</w:t>
            </w:r>
            <w:r>
              <w:rPr>
                <w:rFonts w:ascii="Times New Roman" w:hAnsi="Times New Roman" w:cs="Times New Roman"/>
                <w:sz w:val="20"/>
                <w:szCs w:val="20"/>
                <w:lang w:val="en-US"/>
              </w:rPr>
              <w:t xml:space="preserve"> (Punitiveness)</w:t>
            </w:r>
          </w:p>
        </w:tc>
      </w:tr>
    </w:tbl>
    <w:p>
      <w:pPr>
        <w:bidi w:val="1"/>
        <w:spacing w:lineRule="exact" w:line="580" w:after="0"/>
        <w:jc w:val="both"/>
      </w:pPr>
      <w:r>
        <w:rPr>
          <w:rFonts w:ascii="B Nazanin" w:hAnsi="B Nazanin" w:cs="B Nazanin" w:hint="cs"/>
          <w:sz w:val="24"/>
          <w:szCs w:val="24"/>
          <w:rtl/>
          <w:lang w:bidi="fa-IR"/>
        </w:rPr>
        <w:t xml:space="preserve">منطق تحولی این حوزه‌ها بر این اصل استوار است که محیط رشد، به‌جای فراهم‌سازی ممتد نیازهای هیجانی کودک، تجربه‌های مکرر محرومیت، تراکم، تنبیه یا فقدان مرزبندی را جایگزین می‌کند و ذهن کودک برای معنابخشی به این تجربه‌ها، باورهای پایداری درباره خود و جهان می‌سازد. برای نمونه، کودکی که نیازش به دلبستگی ایمن و همدلی به‌طور مکرر نادیده گرفته شده است، طرحواره‌های حوزه بریدگی و طرد را درونی می‌کند و در بزرگسالی روابط را ناامن و دیگران را غیرقابل اتکا می‌پندارد. به همین ترتیب، پرورش در محیطی فاقد محدودیت‌های واقع‌بینانه، شکل‌گیری طرحواره‌های حوزه محدودیت‌های مختل را تسهیل می‌کند؛ حوزه‌ای که در تبیین رفتارهای تکانشی و دشواری پایبندی به قوانین از اهمیت ویژه‌ای برخوردار است. این منطق تحولی، طرحواره‌ها را نه صفات ذاتی، بلکه یادگیری‌های عمیق و قابل تغییر معرفی می‌کند و مبنای امید به مداخله‌های روانشناختی هدفمند قرار می‌دهد (یانگ و همکاران، ۲۰۰۳). بر این اساس، ارزیابی بالینی هر فرد نیز نه با شمارش صرف طرحواره‌ها، بلکه با بازشناسی حوزه‌های غالب و نیازهای برآورده‌نشده زیربنایی آن‌ها انجام می‌گیرد؛ امری که کانون مداخله را از سطح نشانه‌ها به سطح نیازهای تحولی ارتقا می‌دهد.</w:t>
      </w:r>
    </w:p>
    <w:p>
      <w:pPr>
        <w:bidi w:val="1"/>
        <w:spacing w:lineRule="exact" w:line="580" w:after="0"/>
        <w:jc w:val="both"/>
      </w:pPr>
      <w:r>
        <w:rPr>
          <w:rFonts w:ascii="B Nazanin" w:hAnsi="B Nazanin" w:cs="B Nazanin" w:hint="cs"/>
          <w:sz w:val="24"/>
          <w:szCs w:val="24"/>
          <w:rtl/>
          <w:lang w:bidi="fa-IR"/>
        </w:rPr>
        <w:t xml:space="preserve">فعال شدن هر یک از این طرحواره‌ها در بزرگسالی، لزوماً به یک رفتار مشخص و قابل پیش‌بینی منجر نمی‌شود؛ بلکه واکنش رفتاری فرد به سبک مقابله‌ای</w:t>
      </w:r>
      <w:r>
        <w:rPr>
          <w:rFonts w:ascii="B Nazanin" w:hAnsi="B Nazanin" w:cs="B Nazanin" w:hint="cs"/>
          <w:vertAlign w:val="superscript"/>
          <w:rtl/>
        </w:rPr>
        <w:footnoteReference w:id="27"/>
      </w:r>
      <w:r>
        <w:rPr>
          <w:rFonts w:ascii="B Nazanin" w:hAnsi="B Nazanin" w:cs="B Nazanin" w:hint="cs"/>
          <w:sz w:val="24"/>
          <w:szCs w:val="24"/>
          <w:rtl/>
          <w:lang w:bidi="fa-IR"/>
        </w:rPr>
        <w:t xml:space="preserve"> او بستگی دارد. یانگ و همکاران سه سبک مقابله‌ای کلی را شناسایی کرده‌اند: تسلیم</w:t>
      </w:r>
      <w:r>
        <w:rPr>
          <w:rFonts w:ascii="B Nazanin" w:hAnsi="B Nazanin" w:cs="B Nazanin" w:hint="cs"/>
          <w:vertAlign w:val="superscript"/>
          <w:rtl/>
        </w:rPr>
        <w:footnoteReference w:id="28"/>
      </w:r>
      <w:r>
        <w:rPr>
          <w:rFonts w:ascii="B Nazanin" w:hAnsi="B Nazanin" w:cs="B Nazanin" w:hint="cs"/>
          <w:sz w:val="24"/>
          <w:szCs w:val="24"/>
          <w:rtl/>
          <w:lang w:bidi="fa-IR"/>
        </w:rPr>
        <w:t xml:space="preserve">، که در آن فرد پیام طرحواره را می‌پذیرد و تجربه‌های دردناک اولیه را در زندگی بزرگسالی بازتولید می‌کند؛ اجتناب</w:t>
      </w:r>
      <w:r>
        <w:rPr>
          <w:rFonts w:ascii="B Nazanin" w:hAnsi="B Nazanin" w:cs="B Nazanin" w:hint="cs"/>
          <w:vertAlign w:val="superscript"/>
          <w:rtl/>
        </w:rPr>
        <w:footnoteReference w:id="29"/>
      </w:r>
      <w:r>
        <w:rPr>
          <w:rFonts w:ascii="B Nazanin" w:hAnsi="B Nazanin" w:cs="B Nazanin" w:hint="cs"/>
          <w:sz w:val="24"/>
          <w:szCs w:val="24"/>
          <w:rtl/>
          <w:lang w:bidi="fa-IR"/>
        </w:rPr>
        <w:t xml:space="preserve">، که در آن فرد چیدمان زندگی خود را به‌گونه‌ای تنظیم می‌کند که طرحواره فعال نشود و از موقعیت‌ها، افکار و هیجان‌های مرتبط با آن می‌گریزد؛ و جبران افراطی</w:t>
      </w:r>
      <w:r>
        <w:rPr>
          <w:rFonts w:ascii="B Nazanin" w:hAnsi="B Nazanin" w:cs="B Nazanin" w:hint="cs"/>
          <w:vertAlign w:val="superscript"/>
          <w:rtl/>
        </w:rPr>
        <w:footnoteReference w:id="30"/>
      </w:r>
      <w:r>
        <w:rPr>
          <w:rFonts w:ascii="B Nazanin" w:hAnsi="B Nazanin" w:cs="B Nazanin" w:hint="cs"/>
          <w:sz w:val="24"/>
          <w:szCs w:val="24"/>
          <w:rtl/>
          <w:lang w:bidi="fa-IR"/>
        </w:rPr>
        <w:t xml:space="preserve">، که در آن فرد دقیقاً برخلاف پیام طرحواره رفتار می‌کند تا از درد زیربنایی آن در امان بماند (یانگ و همکاران، ۲۰۰۳). راهبردهای اجتنابی نیز خود می‌توانند اشکال گوناگونی داشته باشند، از دوری شناختی از افکار و خاطرات فعال‌کننده گرفته تا مشغول‌سازی افراطی ذهن یا پناه بردن به رفتارهای تسکین‌دهنده. در چارچوب طرحواره‌درمانی، فعال شدن طرحواره و سبک مقابله‌ای برآمده از آن، تجربه هیجانی شدیدی ایجاد می‌کند که رفتار فرد را در همان لحظه هدایت می‌سازد و درک این زنجیره برای تبیین واکنش‌های لحظه‌ای ضروری است (آرنتز و جیکوب، ۲۰۱۲).</w:t>
      </w:r>
    </w:p>
    <w:p>
      <w:pPr>
        <w:bidi w:val="1"/>
        <w:spacing w:lineRule="exact" w:line="580" w:after="0"/>
        <w:jc w:val="both"/>
      </w:pPr>
      <w:r>
        <w:rPr>
          <w:rFonts w:ascii="B Nazanin" w:hAnsi="B Nazanin" w:cs="B Nazanin" w:hint="cs"/>
          <w:sz w:val="24"/>
          <w:szCs w:val="24"/>
          <w:rtl/>
          <w:lang w:bidi="fa-IR"/>
        </w:rPr>
        <w:t xml:space="preserve">نکته کلیدی این چارچوب برای تبیین رفتار مالی آن است که یک طرحواره واحد می‌تواند بسته به سبک مقابله‌ای غالب، به رفتارهای کاملاً متضاد بینجامد. به بیان ساده‌تر، رفتار مشاهده‌شده بیش از آنکه آینه مستقیم طرحواره باشد، آینه راهبرد مقابله‌ای فرد در برابر آن طرحواره است. برای نمونه، طرحواره‌ای واحد در یک فرد ممکن است در قالب ریسک‌گریزی افراطی و اجتناب از هرگونه تصمیم مالی نمایان شود و در فردی دیگر، به شکل ریسک‌پذیری تکانشی و تلاش برای اثبات ارزشمندی خود. این ویژگی نظری، تبیین ناهمسانی رفتارهای مالی را بدون توسل به فرض‌های موردی ممکن می‌سازد؛ به این معنا که هم‌زمانی ریسک‌گریزی و ریسک‌پذیری افراطی در جمعیت‌های مختلف، نه لزوماً نشانه تناقض در داده‌ها، بلکه می‌تواند بازتاب سبک‌های مقابله‌ای متفاوت در برابر طرحواره‌های مشابه باشد. البته این استدلال صرفاً یک چارچوب تبیینی نظری است و آزمون تجربی آن در بافت معامله‌گری، از جمله اهداف پژوهش حاضر محسوب می‌شود؛ آزمونی که مستلزم سنجش هم‌زمان طرحواره‌ها و سبک‌های رفتاری برآمده از آن‌هاست.</w:t>
      </w:r>
    </w:p>
    <w:p>
      <w:pPr>
        <w:bidi w:val="1"/>
        <w:spacing w:lineRule="exact" w:line="580" w:after="0"/>
        <w:jc w:val="both"/>
      </w:pPr>
      <w:r>
        <w:rPr>
          <w:rFonts w:ascii="B Nazanin" w:hAnsi="B Nazanin" w:cs="B Nazanin" w:hint="cs"/>
          <w:sz w:val="24"/>
          <w:szCs w:val="24"/>
          <w:rtl/>
          <w:lang w:bidi="fa-IR"/>
        </w:rPr>
        <w:t xml:space="preserve">از منظر سنجش، پرسشنامه طرحواره یانگ مهم‌ترین ابزار ارزیابی این سازه‌هاست و ویژگی‌های روان‌سنجی آن در مطالعات متعدد بررسی شده است. نخستین ارزیابی نظام‌مند این ابزار در مطالعه اشمیت و همکاران انجام گرفت که ویژگی‌های روان‌سنجی و ساختار سلسله‌مراتبی پرسشنامه را بررسی و شواهد مقدماتی روایی و پایایی آن را گزارش کردند (اشمیت و همکاران</w:t>
      </w:r>
      <w:r>
        <w:rPr>
          <w:rFonts w:ascii="B Nazanin" w:hAnsi="B Nazanin" w:cs="B Nazanin" w:hint="cs"/>
          <w:vertAlign w:val="superscript"/>
          <w:rtl/>
        </w:rPr>
        <w:footnoteReference w:id="98"/>
      </w:r>
      <w:r>
        <w:rPr>
          <w:rFonts w:ascii="B Nazanin" w:hAnsi="B Nazanin" w:cs="B Nazanin" w:hint="cs"/>
          <w:sz w:val="24"/>
          <w:szCs w:val="24"/>
          <w:rtl/>
          <w:lang w:bidi="fa-IR"/>
        </w:rPr>
        <w:t xml:space="preserve">، ۱۹۹۵). این پرسشنامه در دو قالب اصلی تدوین شده است: فرم بلند که پوشش تفصیلی همه طرحواره‌ها را برای اهداف پژوهشی و بالینی فراهم می‌آورد و فرم کوتاه که نسخه فشرده آن برای غربالگری و پژوهش‌های میدانی طراحی شده است. در ادامه، نسخه‌های بین‌المللی این ابزار نیز در فرهنگ‌های مختلف اعتباریابی شده‌اند؛ از جمله ساژینو و همکاران که ویژگی‌های روان‌سنجی نسخه ایتالیایی فرم بلند پرسشنامه</w:t>
      </w:r>
      <w:r>
        <w:rPr>
          <w:rFonts w:ascii="B Nazanin" w:hAnsi="B Nazanin" w:cs="B Nazanin" w:hint="cs"/>
          <w:vertAlign w:val="superscript"/>
          <w:rtl/>
        </w:rPr>
        <w:footnoteReference w:id="31"/>
      </w:r>
      <w:r>
        <w:rPr>
          <w:rFonts w:ascii="B Nazanin" w:hAnsi="B Nazanin" w:cs="B Nazanin" w:hint="cs"/>
          <w:sz w:val="24"/>
          <w:szCs w:val="24"/>
          <w:rtl/>
          <w:lang w:bidi="fa-IR"/>
        </w:rPr>
        <w:t xml:space="preserve"> را در یک مطالعه مقدماتی ارزیابی کردند و شواهدی برای ساختار عاملی این نسخه ارائه دادند (ساژینو و همکاران</w:t>
      </w:r>
      <w:r>
        <w:rPr>
          <w:rFonts w:ascii="B Nazanin" w:hAnsi="B Nazanin" w:cs="B Nazanin" w:hint="cs"/>
          <w:vertAlign w:val="superscript"/>
          <w:rtl/>
        </w:rPr>
        <w:footnoteReference w:id="99"/>
      </w:r>
      <w:r>
        <w:rPr>
          <w:rFonts w:ascii="B Nazanin" w:hAnsi="B Nazanin" w:cs="B Nazanin" w:hint="cs"/>
          <w:sz w:val="24"/>
          <w:szCs w:val="24"/>
          <w:rtl/>
          <w:lang w:bidi="fa-IR"/>
        </w:rPr>
        <w:t xml:space="preserve">، ۲۰۱۸). اهمیت این مطالعات بین‌فرهنگی در آن است که کاربردپذیری مدل هجده‌طرحواره‌ای را فراتر از بافت اصلی تدوین آن نشان می‌دهند. ویژگی‌های روان‌سنجی نسخه فارسی نیز پیش‌تر به‌طور مستقل بررسی شده است (یوسفی، ۱۳۹۶) و فرم کوتاه این ابزار، مبنای سنجش طرحواره‌ها در پژوهش حاضر خواهد بود.</w:t>
      </w:r>
    </w:p>
    <w:p>
      <w:pPr>
        <w:bidi w:val="1"/>
        <w:spacing w:lineRule="exact" w:line="580" w:after="0"/>
        <w:jc w:val="both"/>
      </w:pPr>
      <w:r>
        <w:rPr>
          <w:rFonts w:ascii="B Nazanin" w:hAnsi="B Nazanin" w:cs="B Nazanin" w:hint="cs"/>
          <w:sz w:val="24"/>
          <w:szCs w:val="24"/>
          <w:rtl/>
          <w:lang w:bidi="fa-IR"/>
        </w:rPr>
        <w:t xml:space="preserve">در جمع، سازمان‌دهی طرحواره‌ها در پنج حوزه و تبیین سبک‌های مقابله‌ای، چارچوبی فراهم می‌آورد که می‌تواند حلقه اتصال میان آسیب‌پذیری‌های هیجانی پایدار و رفتارهای عینی قابل مشاهده باشد. این چارچوب نشان می‌دهد که چگونه تجربه‌های رشدی دور می‌توانند از مسیر باورهای عمیق و راهبردهای مقابله‌ای، بر تصمیم‌های لحظه‌ای مالی اثر بگذارند؛ از این رو، طرحواره‌های ناسازگار اولیه نامزد اصلی برای تبیین مکانیسم میانجی در رابطه اضطراب صفتی و رفتارهای مالی پرخطر هستند و در بخش‌های آتی این فصل، شواهد تجربی این نقش میانجی‌گر مرور خواهد شد. انتظار می‌رود چنین مروری نشان دهد که طرحواره‌ها صرفاً همبسته‌های آماری این رابطه نیستند، بلکه سازوکار شناختی-هیجانی مشخصی را برای تبدیل تنش اضطرابی به رفتار مالی پرخطر فراهم می‌آورند؛ سازوکاری که در بخش روابط بین متغیرها و مدل نظری به تفصیل تبیین خواهد شد. این تمهید همچنین امکان می‌دهد که یافته‌های پژوهش حاضر در چارچوب نظری واحدی تفسیر شوند و از سطح توصیف صرف فراتر روند.</w:t>
      </w:r>
    </w:p>
    <w:p>
      <w:pPr>
        <w:pStyle w:val="Heading3"/>
        <w:bidi w:val="1"/>
        <w:jc w:val="right"/>
        <w:outlineLvl w:val="1"/>
      </w:pPr>
      <w:r>
        <w:rPr>
          <w:rFonts w:ascii="B Nazanin" w:hAnsi="B Nazanin" w:cs="B Nazanin" w:hint="cs"/>
          <w:b/>
          <w:bCs/>
          <w:sz w:val="26"/>
          <w:szCs w:val="26"/>
          <w:rtl/>
          <w:lang w:bidi="fa-IR"/>
        </w:rPr>
        <w:t xml:space="preserve">۲-۲-۳ رفتارهای مالی پرخطر</w:t>
      </w:r>
    </w:p>
    <w:p>
      <w:pPr>
        <w:bidi w:val="1"/>
        <w:spacing w:lineRule="exact" w:line="580" w:after="0"/>
        <w:jc w:val="both"/>
      </w:pPr>
      <w:r>
        <w:rPr>
          <w:rFonts w:ascii="B Nazanin" w:hAnsi="B Nazanin" w:cs="B Nazanin" w:hint="cs"/>
          <w:sz w:val="24"/>
          <w:szCs w:val="24"/>
          <w:rtl/>
          <w:lang w:bidi="fa-IR"/>
        </w:rPr>
        <w:t xml:space="preserve">این ضعف ساختاری در خودتنظیمی هیجانی و رفتاری، خود را در قالب یکی از شایع‌ترین و مخرب‌ترین پدیده‌های آسیب‌شناختی در بازارهای سرمایه، یعنی «معامله‌گری بیش از حد» یا افراطی نمایان می‌سازد؛ الگویی از رفتار معاملاتی تکرارشونده، هیجانی و فاقد پشتوانه تحلیلی کافی که بر اساس یافته‌های پژوهش کلاسیک و جریان‌ساز باربر و اودین به عنوان یکی از عوامل اصلی و تعیین‌کننده در کاهش بازدهی سرمایه‌گذاری و حتی نابودی کامل سرمایه معامله‌گران خرد و فردی شناخته شده است. این رفتار غالباً ناشی از ترکیب خطرناک سوگیری بیش‌اطمینانی کاذب و تحمیل هزینه‌های معاملاتی گزاف و غیرضروری بر پورتفوی سرمایه‌گذار است  (باربر و اودین، ۲۰۰۰).</w:t>
      </w:r>
    </w:p>
    <w:p>
      <w:pPr>
        <w:bidi w:val="1"/>
        <w:spacing w:lineRule="exact" w:line="580" w:after="0"/>
        <w:jc w:val="both"/>
      </w:pPr>
      <w:r>
        <w:rPr>
          <w:rFonts w:ascii="B Nazanin" w:hAnsi="B Nazanin" w:cs="B Nazanin" w:hint="cs"/>
          <w:sz w:val="24"/>
          <w:szCs w:val="24"/>
          <w:rtl/>
          <w:lang w:bidi="fa-IR"/>
        </w:rPr>
        <w:t xml:space="preserve">خروجی نهایی، ملموس و قابل اندازه‌گیری تعامل پیچیده و درهم‌تنیده میان ویژگی‌های شخصیتی (مانند اضطراب صفتی) و الگوهای شناختی عمیق (مانند طرحواره‌های ناسازگار)، خود را در قالب مجموعه‌ای از اقدامات، تصمیمات و استراتژی‌های ناکارآمد و آسیب‌زا نمایان می‌سازد که تحت عنوان کلی «رفتارهای مالی پرخطر» طبقه‌بندی می‌شوند. این مفهوم چندوجهی، به طیف وسیعی از رفتارها و الگوهای تصمیم‌گیری در بازارهای مالی اطلاق می‌شود که ویژگی مشترک و بارز آن‌ها، پذیرش سطوحی از ریسک است که هیچ تناسب منطقی و عقلانی با بازده مورد انتظار و احتمالی ندارد؛ بلکه غالباً ریشه در غلبه هیجانات کنترل‌نشده، سوگیری‌های شناختی سیستماتیک و نقص در پردازش اطلاعات دارد تا یک تحلیل بنیادی و واقع‌بینانه (بیکر و نوفسینگر، ۲۰۱۰).</w:t>
      </w:r>
    </w:p>
    <w:p>
      <w:pPr>
        <w:bidi w:val="1"/>
        <w:spacing w:lineRule="exact" w:line="580" w:after="0"/>
        <w:jc w:val="both"/>
      </w:pPr>
      <w:r>
        <w:rPr>
          <w:rFonts w:ascii="B Nazanin" w:hAnsi="B Nazanin" w:cs="B Nazanin" w:hint="cs"/>
          <w:sz w:val="24"/>
          <w:szCs w:val="24"/>
          <w:rtl/>
          <w:lang w:bidi="fa-IR"/>
        </w:rPr>
        <w:t xml:space="preserve">یکی از برجسته‌ترین و شایع‌ترین ابعاد این سازه رفتاری، پدیده «معامله‌گری بیش از حد» یا افراطی است که به انجام تعداد دفعات خرید و فروش بسیار فراتر از حد بهینه و ضروری اطلاق می‌شود. مطالعات کلاسیک و جریان‌ساز نشان داده‌اند که این رفتار، که اغلب ناشی از یک توهم کنترل و سوگیری شناختی قدرتمند به نام «بیش‌اطمینانی کاذب» نسبت به توانایی‌های پیش‌بینی بازار است، نه تنها منجر به افزایش بازده نمی‌شود، بلکه به دلیل تحمیل هزینه‌های معاملاتی گزاف (کارمزدها و اسپردها) و تصمیمات عجولانه، به طور سیستماتیک بازدهی خالص سرمایه‌گذار را کاهش می‌دهد (باربر و اودین، ۲۰۰۰)،</w:t>
      </w:r>
    </w:p>
    <w:p>
      <w:pPr>
        <w:bidi w:val="1"/>
        <w:spacing w:lineRule="exact" w:line="580" w:after="0"/>
        <w:jc w:val="both"/>
      </w:pPr>
      <w:r>
        <w:rPr>
          <w:rFonts w:ascii="B Nazanin" w:hAnsi="B Nazanin" w:cs="B Nazanin" w:hint="cs"/>
          <w:sz w:val="24"/>
          <w:szCs w:val="24"/>
          <w:rtl/>
          <w:lang w:bidi="fa-IR"/>
        </w:rPr>
        <w:t xml:space="preserve">دومین مؤلفه کلیدی و آسیب‌زای رفتارهای پرخطر، «اثر گرایش» است؛ تمایلی غیرمنطقی، هیجانی و بسیار رایج در میان معامله‌گران خرد برای فروش زودهنگام و شتاب‌زده سهام و دارایی‌های سودده (به منظور کسب لذت فوری از تثبیت سود و اجتناب از پشیمانی احتمالی) و در مقابل، نگهداری طولانی‌مدت و لجبازانه سهام و پوزیشن‌های زیان‌ده (به امید واهی بازگشت قیمت و اجتناب از درد پذیرش شکست). این رفتار نامتقارن که ریشه در مفاهیم نظریه چشم‌انداز و اصل زیان‌گریزی دارد، منجر به کوتاه شدن سودها و انباشته شدن زیان‌های سنگین در پورتفوی سرمایه‌گذار می‌شود  (شفرین و استاتمن، ۱۹۸۵)،</w:t>
      </w:r>
    </w:p>
    <w:p>
      <w:pPr>
        <w:bidi w:val="1"/>
        <w:spacing w:lineRule="exact" w:line="580" w:after="0"/>
        <w:jc w:val="both"/>
      </w:pPr>
      <w:r>
        <w:rPr>
          <w:rFonts w:ascii="B Nazanin" w:hAnsi="B Nazanin" w:cs="B Nazanin" w:hint="cs"/>
          <w:sz w:val="24"/>
          <w:szCs w:val="24"/>
          <w:rtl/>
          <w:lang w:bidi="fa-IR"/>
        </w:rPr>
        <w:t xml:space="preserve">سومین بعد مهم، »رفتار گله‌ای« است که به تقلید کورکورانه، هیجانی و بدون تحلیل از اقدامات، جهت‌گیری‌ها و احساسات توده بزرگی از فعالان بازار اشاره دارد. این رفتار به‌ویژه در شرایط بحرانی، نوسانات شدید قیمت و زمانی که بازار تحت استرس و ابهام اطلاعاتی قرار دارد، تشدید می‌شود؛ چرا که افراد برای کاهش اضطراب ناشی از عدم قطعیت و سلب مسئولیت تصمیم‌گیری از خود، به خرد جمعی کاذب پناه می‌برند که اغلب نتیجه‌ای جز خرید در سقف قیمت‌ها و فروش در کف آن‌ها ندارد  (هوانگ و سالمون، ۲۰۰۴)،</w:t>
      </w:r>
    </w:p>
    <w:p>
      <w:pPr>
        <w:bidi w:val="1"/>
        <w:spacing w:lineRule="exact" w:line="580" w:after="0"/>
        <w:jc w:val="both"/>
      </w:pPr>
      <w:r>
        <w:rPr>
          <w:rFonts w:ascii="B Nazanin" w:hAnsi="B Nazanin" w:cs="B Nazanin" w:hint="cs"/>
          <w:sz w:val="24"/>
          <w:szCs w:val="24"/>
          <w:rtl/>
          <w:lang w:bidi="fa-IR"/>
        </w:rPr>
        <w:t xml:space="preserve">و در نهایت، چهارمین مؤلفه تأثیرگذار، «تمرکز ناکافی و نامتوازن سبد دارایی» است که به نادیده گرفتن اصل بنیادین و حیاتی «تنوع‌بخشی» در مدیریت سرمایه اشاره دارد. این رفتار پرخطر، غالباً ناشی از سوگیری‌های شناختی نظیر «تمایل به آشنایی» یا اعتماد بیش از حد به تک‌سهم‌ها و دارایی‌های خاص است که سرمایه‌گذار را در معرض ریسک‌های غیرسیستماتیک و قابل اجتناب قرار می‌دهد و در صورت بروز مشکل در آن دارایی خاص، می‌تواند منجر به نابودی بخش بزرگی از سرمایه گردد  (گوتزمن و کومار، ۲۰۰۸).</w:t>
      </w:r>
    </w:p>
    <w:p>
      <w:pPr>
        <w:bidi w:val="1"/>
        <w:spacing w:lineRule="exact" w:line="580" w:after="0"/>
        <w:jc w:val="both"/>
      </w:pPr>
      <w:r>
        <w:rPr>
          <w:rFonts w:ascii="B Nazanin" w:hAnsi="B Nazanin" w:cs="B Nazanin" w:hint="cs"/>
          <w:sz w:val="24"/>
          <w:szCs w:val="24"/>
          <w:rtl/>
          <w:lang w:bidi="fa-IR"/>
        </w:rPr>
        <w:t xml:space="preserve">در بخش بزرگی از تاریخ قرن بیستم، ادبیات آکادمیک و رویه‌های عملی تحلیل بازارهای مالی، به شدت تحت سیطره و هژمونی پارادایم «مالیه کلاسیک» و به طور خاص، نظریه بنیادین و قدرتمند «فرضیه بازار کارا» قرار داشت. این فرضیه که به عنوان سنگ بنای بسیاری از مدل‌های ارزش‌گذاری دارایی و مدیریت پورتفوی مدرن شناخته می‌شود، در دهه ۱۹۷۰ توسط اقتصاددان برجسته،  یوجین فاما صورت‌بندی و توسعه یافت. فاما این فرضیه را در سه سطح متمایز و پیش‌رونده شامل شکل ضعیف، شکل نیمه‌قوی و شکل قوی طبقه‌بندی کرد که هر یک سطح متفاوتی از اطلاعات موجود (از داده‌های تاریخی قیمت تا اطلاعات نهانی شرکت‌ها) را پوشش می‌دهند. دیدگاه محوری در تمامی این سطوح، این است که بازارهای مالی، نهادهایی با کارایی حداکثری و ماشین‌های پردازش اطلاعات بسیار سریع، دقیق و بی‌طرفی هستند.</w:t>
      </w:r>
    </w:p>
    <w:p>
      <w:pPr>
        <w:bidi w:val="1"/>
        <w:spacing w:lineRule="exact" w:line="580" w:after="0"/>
        <w:jc w:val="both"/>
      </w:pPr>
      <w:r>
        <w:rPr>
          <w:rFonts w:ascii="B Nazanin" w:hAnsi="B Nazanin" w:cs="B Nazanin" w:hint="cs"/>
          <w:sz w:val="24"/>
          <w:szCs w:val="24"/>
          <w:rtl/>
          <w:lang w:bidi="fa-IR"/>
        </w:rPr>
        <w:t xml:space="preserve">طبق این نظریه جامع، در یک بازار کارا، قیمت جاری هر دارایی در هر لحظه، بازتاب‌دهنده کامل و بی‌درنگ تمام اطلاعات موجود و در دسترس عموم است و بنابراین، قیمت‌ها همواره در "ارزش ذاتی" خود قرار دارند. این فرضیه بر سه ستون یا پیش‌فرض بنیادین و سخت‌گیرانه بنا شده بود که رفتار بازار و سرمایه‌گذاران را تعریف می‌کرد: نخست، سرمایه‌گذاران عاملانی کاملاً عقلانی، منطقی و عاری از هیجان یا به اصطلاح «انسان اقتصادی» فرض می‌شدند که همواره و در هر تصمیمی، به دنبال بیشینه‌سازی سود و بهینه‌سازی مطلوبیت خود بر اساس اصول ریاضی نظریه مطلوبیت انتظاری هستند. دوم، فرض بر این بود که تمام اطلاعات جدید (چه اخبار سیاسی، چه گزارش‌های مالی شرکت‌ها) به سرعت، به طور کامل و بدون هیچ‌گونه سوگیری یا تأخیر شناختی، توسط همه فعالان بازار دریافت و در قیمت دارایی‌ها منعکس می‌شود. و سوم، به عنوان نتیجه منطقی دو فرض پیشین، ادعا می‌شد که هیچ سرمایه‌گذاری نمی‌تواند با تکیه بر تحلیل روند قیمت‌های گذشته (تحلیل تکنیکال) یا بررسی صورت‌های مالی و اخبار عمومی (تحلیل بنیادی)، به طور مداوم و پایدار، بازدهی فراتر از میانگین بازار (بازده غیرعادی) کسب کند؛ چرا که تمام این اطلاعات قبلاً در قیمت لحاظ شده‌اند (ملکیل، ۲۰۰۳).</w:t>
      </w:r>
    </w:p>
    <w:p>
      <w:pPr>
        <w:bidi w:val="1"/>
        <w:spacing w:lineRule="exact" w:line="580" w:after="0"/>
        <w:jc w:val="both"/>
      </w:pPr>
      <w:r>
        <w:rPr>
          <w:rFonts w:ascii="B Nazanin" w:hAnsi="B Nazanin" w:cs="B Nazanin" w:hint="cs"/>
          <w:sz w:val="24"/>
          <w:szCs w:val="24"/>
          <w:rtl/>
          <w:lang w:bidi="fa-IR"/>
        </w:rPr>
        <w:t xml:space="preserve">این چارچوب نظری منسجم و قدرتمند، که بعدها به سنگ بنای مدل‌های ارزش‌گذاری دارایی‌های سرمایه‌ای  و مدیریت ریسک مدرن تبدیل شد، اگرچه از نظر ساختار ریاضی و انتزاعی دارای ظرافت و زیبایی تحسین‌برانگیزی بود و در محیط‌های آزمایشگاهی و مدل‌سازی‌های آکادمیک کارایی بالایی نشان می‌داد، اما در مواجهه با واقعیت‌های پیچیده، آشفته و غیرخطی بازارهای مالی، کاستی‌های بنیادین خود را آشکار ساخت. این مدل‌های کلاسیک که بر فرض عقلانیت کامل و کارایی اطلاعاتی استوار بودند، در تبیین و پیش‌بینی پدیده‌های پرتکرار و تأثیرگذاری که به طور سیستماتیک در بازارها رخ می‌دهند، ناتوان ماندند.</w:t>
      </w:r>
    </w:p>
    <w:p>
      <w:pPr>
        <w:bidi w:val="1"/>
        <w:spacing w:lineRule="exact" w:line="580" w:after="0"/>
        <w:jc w:val="both"/>
      </w:pPr>
      <w:r>
        <w:rPr>
          <w:rFonts w:ascii="B Nazanin" w:hAnsi="B Nazanin" w:cs="B Nazanin" w:hint="cs"/>
          <w:sz w:val="24"/>
          <w:szCs w:val="24"/>
          <w:rtl/>
          <w:lang w:bidi="fa-IR"/>
        </w:rPr>
        <w:t xml:space="preserve">به طور مشخص، این نظریه‌ها در توضیح دوره‌هایی که قیمت دارایی‌ها به شکلی نامتعارف و غیرمنطقی از ارزش ذاتی و بنیادی خود فاصله می‌گیرند، با شکست مواجه شدند. مصادیق بارز این ناتوانی را می‌توان در شکل‌گیری «حباب‌های قیمتی» مشاهده کرد؛ دوره‌هایی از خوش‌بینی افراطی که در آن قیمت‌ها بر اساس شور و هیجان جمعی (و نه واقعیات اقتصادی) به سطوحی ناپایدار صعود می‌کنند، نظیر آنچه در حباب فناوری سال ۲۰۰۰ (حباب دات-کام) رخ داد. همچنین، در سوی مقابل طیف، این مدل‌ها در تبیین «سقوط‌های ناگهانی» و بی‌دلیل بازار، مانند دوشنبه سیاه اکتبر ۱۹۸۷ که شاخص داوجونز در یک روز بیش از ۲۰ درصد ارزش خود را از دست داد، هیچ پاسخ قانع‌کننده‌ای نداشتند؛ چرا که در آن روز هیچ خبر بنیادی منفی که توجیه‌کننده چنین ریزش وحشتناکی باشد، منتشر نشده بود و تنها عامل محرک، هراس جمعی و فروش‌های کورکورانه معامله‌گران بود (شیلر، ۲۰۱۵).</w:t>
      </w:r>
    </w:p>
    <w:p>
      <w:pPr>
        <w:bidi w:val="1"/>
        <w:spacing w:lineRule="exact" w:line="580" w:after="0"/>
        <w:jc w:val="both"/>
      </w:pPr>
      <w:r>
        <w:rPr>
          <w:rFonts w:ascii="B Nazanin" w:hAnsi="B Nazanin" w:cs="B Nazanin" w:hint="cs"/>
          <w:sz w:val="24"/>
          <w:szCs w:val="24"/>
          <w:rtl/>
          <w:lang w:bidi="fa-IR"/>
        </w:rPr>
        <w:t xml:space="preserve">این ناهنجاری‌ها و انحرافات پایدار از مدل‌های کلاسیک، زمینه را برای ظهور یک انقلاب فکری و تغییر پارادایم در علم مالی فراهم کرد؛ انقلابی که به تولد حوزه میان‌رشته‌ای قدرتمندی به نام اقتصاد رفتاری انجامید. این حوزه نوین که در تقاطع روانشناسی و اقتصاد قرار دارد، توسط پیشگامان برجسته و برندگان جایزه نوبل نظیر دنیل کانمن، آموس تورسکی و ریچارد تیلر پایه‌گذاری و توسعه یافت. هدف اصلی این رویکرد، بازنگری در پیش‌فرض‌های بنیادین علم اقتصاد بود. با ادغام بینش‌های عمیق روانشناسی شناختی در تحلیل‌های اقتصادی نشان داده شد که تصمیمات انسان در محیط‌های واقعی، نه تنها تصادفی نیستند، بلکه به طور سیستماتیک، قابل پیش‌بینی و تکرارپذیر، از منطق و عقلانیت محض منحرف می‌شوند و تحت تأثیر محدودیت‌های پردازشی ذهن قرار دارند (تیلر، ۲۰۱۶). سنگ بنای نظری و قلب تپنده این حوزه جدید، نظریه چشم‌انداز بود که در مقاله‌ای جریان‌ساز توسط کانمن و تورسکی (۱۹۷۹)  ارائه شد و دیدگاه علمی نسبت به ریسک را دگرگون کرد. این نظریه با رد مفهوم کلاسیک "مطلوبیت انتظاری"، مدلی جایگزین و توصیفی ارائه داد که نشان می‌داد افراد در تصمیم‌گیری‌های خود، به جای تمرکز بر سطح نهایی ثروت، تغییرات (سود و زیان) را نسبت به یک وضعیت موجود یا "نقطه مرجع" ذهنی ارزیابی می‌کنند. مهم‌تر و بنیادی‌تر آنکه، این نظریه مفهوم کلیدی زیان‌گریزی را معرفی کرد؛ اصلی روانشناختی که بیان می‌کند درد و رنج ناشی از تحمل یک واحد زیان مالی، از نظر شدت هیجانی، بسیار شدیدتر (تقریباً دو تا دو و نیم برابر) از لذت ناشی از کسب یک واحد سود معادل آن است. این عدم تقارن عمیق در ارزش‌گذاری روانی، بسیاری از رفتارهای به ظاهر غیرمنطقی و ناسازگار سرمایه‌گذاران، نظیر فروش زودهنگام سهام سودده و نگهداری طولانی‌مدت سهام زیان‌ده، را به روشنی تبیین می‌کند (کانمن، ۲۰۱۱).</w:t>
      </w:r>
    </w:p>
    <w:p>
      <w:pPr>
        <w:bidi w:val="1"/>
        <w:spacing w:lineRule="exact" w:line="580" w:after="0"/>
        <w:jc w:val="both"/>
      </w:pPr>
      <w:r>
        <w:rPr>
          <w:rFonts w:ascii="B Nazanin" w:hAnsi="B Nazanin" w:cs="B Nazanin" w:hint="cs"/>
          <w:sz w:val="24"/>
          <w:szCs w:val="24"/>
          <w:rtl/>
          <w:lang w:bidi="fa-IR"/>
        </w:rPr>
        <w:t xml:space="preserve">اهمیت و ضرورت به‌کارگیری دیدگاه‌های روانشناختی و اقتصاد رفتاری در تحلیل‌های بازار سرمایه، امروزه دیگر تنها یک دغدغه آکادمیک نیست، بلکه با وقوع یک تحول اجتماعی-تکنولوژیک عظیم و بی‌سابقه، یعنی پدیده »دموکراتیزه شدن سرمایه‌گذاری«، به یک ضرورت عملیاتی و حیاتی تبدیل شده است که ابعاد آن صد چندان شده است. ظهور و گسترش پرشتاب فناوری‌های نوین مالی ، توسعه پلتفرم‌های معاملاتی آنلاین با کارمزد صفر یا ناچیز، و همه‌گیری اپلیکیشن‌های هوشمند و کاربرپسند موبایلی، موانع سنتی و سخت‌گیرانه ورود به بازارهای سرمایه (مانند نیاز به سرمایه کلان یا واسطه‌های حرفه‌ای) را به طور کامل از میان برداشته و دروازه‌های این عرصه را به روی عموم جامعه گشوده است.</w:t>
      </w:r>
    </w:p>
    <w:p>
      <w:pPr>
        <w:bidi w:val="1"/>
        <w:spacing w:lineRule="exact" w:line="580" w:after="0"/>
        <w:jc w:val="both"/>
      </w:pPr>
      <w:r>
        <w:rPr>
          <w:rFonts w:ascii="B Nazanin" w:hAnsi="B Nazanin" w:cs="B Nazanin" w:hint="cs"/>
          <w:sz w:val="24"/>
          <w:szCs w:val="24"/>
          <w:rtl/>
          <w:lang w:bidi="fa-IR"/>
        </w:rPr>
        <w:t xml:space="preserve">این انقلاب در دسترسی، میلیون‌ها »سرمایه‌گذار خرد جدید«، کم‌تجربه و غالباً فاقد دانش تخصصی را به بازارهایی کشانده که به دلیل پیچیدگی ذاتی، نوسانات شدید و عدم قطعیت دائمی، به محیطی پرخطر و بی‌رحم شهرت دارند. این گروه عظیم از تازه‌واردان، که اکنون بخش قابل توجهی از حجم معاملات را تشکیل می‌دهند، در غیاب ابزارهای حفاظتی نهادی، بیش از هر گروه دیگری در معرض خطرات ناشی از تصمیم‌گیری‌های هیجانی و سوگیری‌های رفتاری قرار دارند (سازمان همکاری و توسعه اقتصادی، ۲۰۲۱).</w:t>
      </w:r>
    </w:p>
    <w:p>
      <w:pPr>
        <w:bidi w:val="1"/>
        <w:spacing w:lineRule="exact" w:line="580" w:after="0"/>
        <w:jc w:val="both"/>
      </w:pPr>
      <w:r>
        <w:rPr>
          <w:rFonts w:ascii="B Nazanin" w:hAnsi="B Nazanin" w:cs="B Nazanin" w:hint="cs"/>
          <w:sz w:val="24"/>
          <w:szCs w:val="24"/>
          <w:rtl/>
          <w:lang w:bidi="fa-IR"/>
        </w:rPr>
        <w:t xml:space="preserve">این گروه جدید، گسترده و متنوع از معامله‌گران خرد اکنون بخش لاینفکی از اکوسیستم مالی است؛ اما غالباً فاقد آموزش‌های مالی تخصصی و سواد تحلیلی کافی است و مهم‌تر از همه، آمادگی روانشناختی لازم برای مدیریت موقعیت‌های بحرانی را ندارد. این ضعف، آن‌ها را در خط مقدم مجموعه‌ای پیچیده از فشارهای روانی، هیجانی و شناختی قرار می‌دهد. یکی از قدرتمندترین و مخرب‌ترین این فشارها، پدیده‌ای روانشناختی و فراگیر است که با نام «ترس از دست دادن فرصت» شناخته می‌شود؛ حسی اضطراب‌آلود و مداوم که فرد را متقاعد می‌کند دیگران در حال کسب سودهای کلان هستند و او از قافله عقب مانده است. این احساس که به شدت توسط رسانه‌های اجتماعی، چهره‌های تأثیرگذار مالی و گروه‌های آنلاین معاملاتی تقویت و تشدید می‌شود، می‌تواند افراد را به سمت اتخاذ تصمیمات هیجانی، ورود دیرهنگام به موقعیت‌های پرریسک و سرمایه‌گذاری‌های بدون پشتوانه سوق دهد (اور و شوماخر، ۲۰۲۳).</w:t>
      </w:r>
    </w:p>
    <w:p>
      <w:pPr>
        <w:bidi w:val="1"/>
        <w:spacing w:lineRule="exact" w:line="580" w:after="0"/>
        <w:jc w:val="both"/>
      </w:pPr>
      <w:r>
        <w:rPr>
          <w:rFonts w:ascii="B Nazanin" w:hAnsi="B Nazanin" w:cs="B Nazanin" w:hint="cs"/>
          <w:sz w:val="24"/>
          <w:szCs w:val="24"/>
          <w:rtl/>
          <w:lang w:bidi="fa-IR"/>
        </w:rPr>
        <w:t xml:space="preserve">این پدیده، ارتباط نزدیکی با یکی دیگر از رفتارهای نظام‌مند و تکرارپذیر در بازارهای مالی، یعنی «رفتار گله‌ای» دارد؛ الگویی که در آن، افراد به جای اتکا به تحلیل شخصی، منطق اقتصادی و اطلاعات بنیادی، ترجیح می‌دهند با تقلید کورکورانه از اقدامات توده بزرگی از دیگر معامله‌گران، مسئولیت تصمیم‌گیری را از دوش خود برداشته و امنیت روانی کاذبی در همراهی با جمع بیابند. این پیروی جمعی، نه تنها منجر به خطاهای فردی می‌شود، بلکه با ایجاد بازخوردهای مثبت کاذب در سطح کلان، زمینه‌ساز شکل‌گیری حباب‌های قیمتی خطرناک و نوسانات غیرعادی در بازار می‌گردد (هوانگ و سالمون، ۲۰۰۴).</w:t>
      </w:r>
    </w:p>
    <w:p>
      <w:pPr>
        <w:pStyle w:val="Heading4"/>
        <w:bidi w:val="1"/>
        <w:jc w:val="right"/>
        <w:outlineLvl w:val="1"/>
      </w:pPr>
      <w:r>
        <w:rPr>
          <w:rFonts w:ascii="B Nazanin" w:hAnsi="B Nazanin" w:cs="B Nazanin" w:hint="cs"/>
          <w:b/>
          <w:bCs/>
          <w:sz w:val="24"/>
          <w:szCs w:val="24"/>
          <w:rtl/>
          <w:lang w:bidi="fa-IR"/>
        </w:rPr>
        <w:t xml:space="preserve">۲-۲-۳-۱ تحمل ریسک مالی</w:t>
      </w:r>
    </w:p>
    <w:p>
      <w:pPr>
        <w:bidi w:val="1"/>
        <w:spacing w:lineRule="exact" w:line="580" w:after="0"/>
        <w:jc w:val="both"/>
      </w:pPr>
      <w:r>
        <w:rPr>
          <w:rFonts w:ascii="B Nazanin" w:hAnsi="B Nazanin" w:cs="B Nazanin" w:hint="cs"/>
          <w:sz w:val="24"/>
          <w:szCs w:val="24"/>
          <w:rtl/>
          <w:lang w:bidi="fa-IR"/>
        </w:rPr>
        <w:t xml:space="preserve">علاوه بر سازه‌های شناختی و ابعاد رفتاری مرورشده، یکی دیگر از متغیرهای کلیدی در تبیین تصمیم‌های مالی پرخطر، سازه تحمل ریسک مالی  است. این سازه به بیشینه مقدار عدم قطعیتی اشاره دارد که یک سرمایه‌گذار در اتخاذ تصمیم‌های مالی مایل به پذیرش آن است و سطح آمادگی روانشناختی فرد برای مواجهه با پیامدهای نامطلوب احتمالی را منعکس می‌کند. در ادبیات روانشناسی مالی، تفکیک میان ظرفیت عینی ریسک</w:t>
      </w:r>
      <w:r>
        <w:rPr>
          <w:rFonts w:ascii="B Nazanin" w:hAnsi="B Nazanin" w:cs="B Nazanin" w:hint="cs"/>
          <w:vertAlign w:val="superscript"/>
          <w:rtl/>
        </w:rPr>
        <w:footnoteReference w:id="32"/>
      </w:r>
      <w:r>
        <w:rPr>
          <w:rFonts w:ascii="B Nazanin" w:hAnsi="B Nazanin" w:cs="B Nazanin" w:hint="cs"/>
          <w:sz w:val="24"/>
          <w:szCs w:val="24"/>
          <w:rtl/>
          <w:lang w:bidi="fa-IR"/>
        </w:rPr>
        <w:t xml:space="preserve"> و تحمل ذهنی ریسک</w:t>
      </w:r>
      <w:r>
        <w:rPr>
          <w:rFonts w:ascii="B Nazanin" w:hAnsi="B Nazanin" w:cs="B Nazanin" w:hint="cs"/>
          <w:vertAlign w:val="superscript"/>
          <w:rtl/>
        </w:rPr>
        <w:footnoteReference w:id="33"/>
      </w:r>
      <w:r>
        <w:rPr>
          <w:rFonts w:ascii="B Nazanin" w:hAnsi="B Nazanin" w:cs="B Nazanin" w:hint="cs"/>
          <w:sz w:val="24"/>
          <w:szCs w:val="24"/>
          <w:rtl/>
          <w:lang w:bidi="fa-IR"/>
        </w:rPr>
        <w:t xml:space="preserve"> اهمیت بنیادین دارد: ظرفیت ریسک به منابع و شرایط اقتصادی فرد بستگی دارد و تعیین می‌کند که چه میزان زیان را می‌تواند بدون آسیب جدی به زندگی خود تاب بیاورد، در حالی که تحمل ریسک یک ویژگی روانشناختی و ادراکی است و نشان می‌دهد فرد چه مقدار ریسک را آگاهانه می‌پذیرد. ناهماهنگی میان این دو سطح، به‌ویژه زمانی که تحمل ذهنی از ظرفیت عینی فراتر می‌رود، یکی از زمینه‌های اصلی تصمیم‌های مالی آسیب‌زا محسوب می‌شود (گرابل و لایتون، ۱۹۹۹).</w:t>
      </w:r>
    </w:p>
    <w:p>
      <w:pPr>
        <w:bidi w:val="1"/>
        <w:spacing w:lineRule="exact" w:line="580" w:after="0"/>
        <w:jc w:val="both"/>
      </w:pPr>
      <w:r>
        <w:rPr>
          <w:rFonts w:ascii="B Nazanin" w:hAnsi="B Nazanin" w:cs="B Nazanin" w:hint="cs"/>
          <w:sz w:val="24"/>
          <w:szCs w:val="24"/>
          <w:rtl/>
          <w:lang w:bidi="fa-IR"/>
        </w:rPr>
        <w:t xml:space="preserve">برای سنجش این سازه، گرابل و لایتون ابزار استانداردی را توسعه دادند که سطح تحمل ریسک مالی افراد را در قالب یک مقیاس روان‌سنجی ارزیابی می‌کند و در مطالعات متعدد، توانایی آن در پیش‌بینی رفتار واقعی مالی نشان داده شده است (گرابل و لایتون، ۱۹۹۹). مرورهای بعدی نیز ویژگی‌های روان‌سنجی این مقیاس و جایگاه آن را در میان ابزارهای سنجش ریسک به‌طور نظام‌مند بررسی و کاربرد بالینی و مشاوره‌ای آن را تأیید کرده‌اند (گرابل، ۲۰۱۷). در بافت داخلی نیز این ابزار در جامعه سرمایه‌گذاران هنجاریابی و اعتباریابی شده است و شواهد روایی و پایایی مناسبی برای کاربرد آن در پژوهش‌های بومی گزارش شده است (طالبی و همکاران، ۱۳۹۸). در دست بودن نسخه هنجاریابی‌شده فارسی، امکان مقایسه نمرات معامله‌گران ایرانی را با جمعیت مرجع فراهم می‌آورد و سنجش این متغیر در پژوهش حاضر را توجیه می‌کند.</w:t>
      </w:r>
    </w:p>
    <w:p>
      <w:pPr>
        <w:bidi w:val="1"/>
        <w:spacing w:lineRule="exact" w:line="580" w:after="0"/>
        <w:jc w:val="both"/>
      </w:pPr>
      <w:r>
        <w:rPr>
          <w:rFonts w:ascii="B Nazanin" w:hAnsi="B Nazanin" w:cs="B Nazanin" w:hint="cs"/>
          <w:sz w:val="24"/>
          <w:szCs w:val="24"/>
          <w:rtl/>
          <w:lang w:bidi="fa-IR"/>
        </w:rPr>
        <w:t xml:space="preserve">اهمیت این سازه برای پژوهش حاضر در پیوند آن با رفتارهای مالی پرخطر نهفته است. شواهد موجود نشان می‌دهند نمرات نامتعارف در تحمل ریسک، به‌ویژه سطوح بسیار بالای آن، با الگوهای معاملاتی آسیب‌زا همراه است؛ از جمله تمایل به استفاده از اهرم‌های نامتعارف که زیان‌های بالقوه را به‌شکل غیرمتقارنی بزرگ می‌کند، حجم معاملات فراتر از سطح بهینه، و بی‌توجهی به سازوکارهای محدودکننده زیان که برای محافظت از سرمایه طراحی شده‌اند. چنین الگوهایی نه لزوماً از ندانستن قواعد مدیریت ریسک، بلکه از برآورد خوش‌بینانه توان خود در تحمل پیامدهای نامطلوب سرچشمه می‌گیرند و در شرایط فشار بازار تشدید می‌شوند. از این رو، تحمل ریسک مالی می‌تواند به‌عنوان شاخصی روان‌سنجانه از آمادگی فرد برای رفتار پرخطر، حلقه اتصال میان ویژگی‌های شناختی-هیجانی و پیامدهای عینی معاملاتی عمل کند و سنجش آن در کنار اضطراب صفتی و طرحواره‌های ناسازگار اولیه، تصویر کامل‌تری از عوامل روانشناختی رفتارهای مالی پرخطر به دست می‌دهد (گرابل، ۲۰۱۷).</w:t>
      </w:r>
    </w:p>
    <w:p>
      <w:pPr>
        <w:pStyle w:val="Heading3"/>
        <w:bidi w:val="1"/>
        <w:jc w:val="right"/>
        <w:outlineLvl w:val="1"/>
      </w:pPr>
      <w:r>
        <w:rPr>
          <w:rFonts w:ascii="B Nazanin" w:hAnsi="B Nazanin" w:cs="B Nazanin" w:hint="cs"/>
          <w:b/>
          <w:bCs/>
          <w:sz w:val="26"/>
          <w:szCs w:val="26"/>
          <w:rtl/>
          <w:lang w:bidi="fa-IR"/>
        </w:rPr>
        <w:t xml:space="preserve">۲-۲-۴ روابط بین متغیرها و مدل نظری میانجی‌گری</w:t>
      </w:r>
    </w:p>
    <w:p>
      <w:pPr>
        <w:bidi w:val="1"/>
        <w:spacing w:lineRule="exact" w:line="580" w:after="0"/>
        <w:jc w:val="both"/>
      </w:pPr>
      <w:r>
        <w:rPr>
          <w:rFonts w:ascii="B Nazanin" w:hAnsi="B Nazanin" w:cs="B Nazanin" w:hint="cs"/>
          <w:sz w:val="24"/>
          <w:szCs w:val="24"/>
          <w:rtl/>
          <w:lang w:bidi="fa-IR"/>
        </w:rPr>
        <w:t xml:space="preserve">با وجود انبوه شواهد تجربی و مبانی نظری مستحکم که به صورت جداگانه بر نقش تعیین‌کننده اضطراب صفتی در عملکرد شناختی و تأثیر طرحواره‌های ناسازگار اولیه بر رفتارهای تکانشی تأکید دارند، همچنان یک شکاف تبیینی آشکار و قابل تأمل در ادبیات علمی روانشناسی مالی و اقتصاد رفتاری به چشم می‌خورد. مروری دقیق بر پیشینه پژوهشی موجود نشان می‌دهد که جریان غالب مطالعات، عمدتاً بر روی بررسی روابط دوجانبه، خطی و ساده میان متغیرها متمرکز بوده است؛ به این معنا که پژوهشگران یا صرفاً رابطه میان ویژگی‌های شخصیتی (مانند روان‌رنجورخویی) و عملکرد مالی را سنجیده‌اند، و یا به طور مستقل همبستگی میان سوگیری‌های شناختی و رفتار سرمایه‌گذار را مورد آزمون قرار داده‌اند.</w:t>
      </w:r>
    </w:p>
    <w:p>
      <w:pPr>
        <w:bidi w:val="1"/>
        <w:spacing w:lineRule="exact" w:line="580" w:after="0"/>
        <w:jc w:val="both"/>
      </w:pPr>
      <w:r>
        <w:rPr>
          <w:rFonts w:ascii="B Nazanin" w:hAnsi="B Nazanin" w:cs="B Nazanin" w:hint="cs"/>
          <w:sz w:val="24"/>
          <w:szCs w:val="24"/>
          <w:rtl/>
          <w:lang w:bidi="fa-IR"/>
        </w:rPr>
        <w:t xml:space="preserve">اما آنچه در این میان مغفول مانده و حلقه مفقوده درک رفتار پیچیده معامله‌گران محسوب می‌شود، تبیین دقیق «سازوکار فرآیندی» و چگونگی تعامل پویا میان این متغیرهاست. هنوز به درستی مشخص نشده است که چگونه و از طریق چه مسیری، یک ویژگی شخصیتی پایدار و زمینه-محور مانند اضطراب صفتی، در بافت پرنوسان بازار مالی، فعال شده و از مجرای کدام فیلترهای شناختی و طرحواره‌های ذهنی عبور می‌کند تا در نهایت به شکل رفتارهای مالی مشخص، عینی و قابل اندازه‌گیری (مانند معامله‌گری افراطی یا گریز از ریسک) متبلور شود. این خلأ پژوهشی، به‌ویژه در جامعه خاص معامله‌گران بازارهای مالی که تحت فشار روانی مضاعفی قرار دارند، برجسته‌تر است.</w:t>
      </w:r>
    </w:p>
    <w:p>
      <w:pPr>
        <w:bidi w:val="1"/>
        <w:spacing w:lineRule="exact" w:line="580" w:after="0"/>
        <w:jc w:val="both"/>
      </w:pPr>
      <w:r>
        <w:rPr>
          <w:rFonts w:ascii="B Nazanin" w:hAnsi="B Nazanin" w:cs="B Nazanin" w:hint="cs"/>
          <w:sz w:val="24"/>
          <w:szCs w:val="24"/>
          <w:rtl/>
          <w:lang w:bidi="fa-IR"/>
        </w:rPr>
        <w:t xml:space="preserve">این پژوهش، با هدف پر کردن همین شکاف دانشی و ارائه تصویری جامع‌تر از روانشناسی معامله‌گری، یک مدل میانجی‌گری ساختارمند و نوین را پیشنهاد می‌کند که بر پایه چارچوب نظری معتبر «مدل آسیب‌پذیری-استرس» بنا شده است (زاکرمن، ۱۹۹۹).</w:t>
      </w:r>
    </w:p>
    <w:p>
      <w:pPr>
        <w:bidi w:val="1"/>
        <w:spacing w:lineRule="exact" w:line="580" w:after="0"/>
        <w:jc w:val="both"/>
      </w:pPr>
      <w:r>
        <w:rPr>
          <w:rFonts w:ascii="B Nazanin" w:hAnsi="B Nazanin" w:cs="B Nazanin" w:hint="cs"/>
          <w:sz w:val="24"/>
          <w:szCs w:val="24"/>
          <w:rtl/>
          <w:lang w:bidi="fa-IR"/>
        </w:rPr>
        <w:t xml:space="preserve">فرضیه محوری و بنیادین این مدل مفهومی فراتر از یک همبستگی ساده میان متغیرهاست؛ پیشنهاد آن این است که اضطراب صفتی به عنوان یک ویژگی شخصیتی پایدار و «استعداد» آسیب‌پذیری در فرد، لزوماً و به صورت مستقیم به رفتارهای مالی پرخطر منجر نمی‌شود؛ بلکه این ویژگی از طریق یک مسیر پیچیده شناختی-هیجانی عمل می‌کند. در این چارچوب تبیینی، استدلال می‌شود که نوسانات بازار و فشارهای محیطی (به عنوان عامل استرس‌زا)، ابتدا استعداد اضطرابی نهفته در شخصیت معامله‌گر را فعال کرده و سطح برانگیختگی هیجانی او را بالا می‌برند. این اضطراب تشدید شده، به نوبه خود، به عنوان یک ماشه یا کاتالیزور عمل می‌کند تا طرحواره‌های ناسازگار اولیه فرد را (مانند طرحواره نقص/شرم یا شکست) که تا پیش از این در حالت خفته قرار داشتند، بیدار و فعال سازد.</w:t>
      </w:r>
    </w:p>
    <w:p>
      <w:pPr>
        <w:bidi w:val="1"/>
        <w:spacing w:lineRule="exact" w:line="580" w:after="0"/>
        <w:jc w:val="both"/>
      </w:pPr>
      <w:r>
        <w:rPr>
          <w:rFonts w:ascii="B Nazanin" w:hAnsi="B Nazanin" w:cs="B Nazanin" w:hint="cs"/>
          <w:sz w:val="24"/>
          <w:szCs w:val="24"/>
          <w:rtl/>
          <w:lang w:bidi="fa-IR"/>
        </w:rPr>
        <w:t xml:space="preserve">در این لحظه حساس و تعیین‌کننده است که این طرحواره‌های فعال‌شده، نقش کلیدی خود را به عنوان «فیلترهای شناختی تحریف‌گر» ایفا می‌کنند و ادراک، تفسیر و ارزیابی فرد از موقعیت بازار (مانند نوسان قیمت) را شکل می‌دهند. این الگوهای شناختی، واقعیت عینی بازار را از دریچه ترس‌ها و ناکامی‌های گذشته فیلتر کرده و فرد را متقاعد می‌کنند که برای کاهش تنش درونی، باید دست به اقدام بزند. در نهایت، این اقدام که محصول سبک‌های مقابله‌ای ناسازگار (مانند جبران افراطی یا اجتناب) است، در قالب یک رفتار مالی عینی، پرخطر و غیرتطبیقی در بازار نمود پیدا می‌کند. بنابراین، مسئله اصلی، اساسی و نوآورانه این تحقیق، فراتر از توصیف روابط ساده، تبیین دقیق و آزمون تجربی نقش میانجی‌گر طرحواره‌های ناسازگار اولیه در زنجیره علیتی میان اضطراب صفتی و رفتارهای مالی پرخطر است.</w:t>
      </w:r>
    </w:p>
    <w:p>
      <w:pPr>
        <w:pStyle w:val="Heading4"/>
        <w:bidi w:val="1"/>
        <w:jc w:val="right"/>
        <w:outlineLvl w:val="1"/>
      </w:pPr>
      <w:r>
        <w:rPr>
          <w:rFonts w:ascii="B Nazanin" w:hAnsi="B Nazanin" w:cs="B Nazanin" w:hint="cs"/>
          <w:b/>
          <w:bCs/>
          <w:sz w:val="24"/>
          <w:szCs w:val="24"/>
          <w:rtl/>
          <w:lang w:bidi="fa-IR"/>
        </w:rPr>
        <w:t xml:space="preserve">۲-۲-۴-۱ سازوکار نظری مدل میانجی‌گری</w:t>
      </w:r>
    </w:p>
    <w:p>
      <w:pPr>
        <w:bidi w:val="1"/>
        <w:spacing w:lineRule="exact" w:line="580" w:after="0"/>
        <w:jc w:val="both"/>
      </w:pPr>
      <w:r>
        <w:rPr>
          <w:rFonts w:ascii="B Nazanin" w:hAnsi="B Nazanin" w:cs="B Nazanin" w:hint="cs"/>
          <w:sz w:val="24"/>
          <w:szCs w:val="24"/>
          <w:rtl/>
          <w:lang w:bidi="fa-IR"/>
        </w:rPr>
        <w:t xml:space="preserve">پیش از تبیین مسیرهای مدل، ضرورت منطقی وارد کردن متغیر میانجی باید روشن شود. رابطه مستقیم میان اضطراب صفتی و رفتارهای مالی پرخطر، حتی در صورت معنادار بودن، تمام واریانس رفتار را تبیین نمی‌کند؛ زیرا دو فرد با سطح مشابهی از اضطراب ممکن است رفتارهای مالی کاملاً متفاوتی نشان دهند. این ناهمسانی نشان می‌دهد که اضطراب به‌خودی‌خود عامل نزدیک رفتار نیست، بلکه اثر خود را از طریق ساختارهای شناختی عمیق‌تری اعمال می‌کند که تفاوت‌های فردی در تبدیل تنش هیجانی به رفتار را تعیین می‌کنند. از منظر مدل‌سازی علّی، متغیر میانجی متغیری است که مکانیسم انتقال اثر از متغیر پیش‌بین به متغیر ملاک را بازنمایی می‌کند و آزمون آن، تبیین صرف همبستگی را به تبیین فرایندی ارتقا می‌دهد (هایز</w:t>
      </w:r>
      <w:r>
        <w:rPr>
          <w:rFonts w:ascii="B Nazanin" w:hAnsi="B Nazanin" w:cs="B Nazanin" w:hint="cs"/>
          <w:vertAlign w:val="superscript"/>
          <w:rtl/>
        </w:rPr>
        <w:footnoteReference w:id="100"/>
      </w:r>
      <w:r>
        <w:rPr>
          <w:rFonts w:ascii="B Nazanin" w:hAnsi="B Nazanin" w:cs="B Nazanin" w:hint="cs"/>
          <w:sz w:val="24"/>
          <w:szCs w:val="24"/>
          <w:rtl/>
          <w:lang w:bidi="fa-IR"/>
        </w:rPr>
        <w:t xml:space="preserve">، ۲۰۱۸). بر این اساس، طرحواره‌های ناسازگار اولیه به‌عنوان نامزد اصلی میانجی مطرح می‌شوند؛ ساختارهایی که هم تحت تأثیر تجربه‌های هیجانی پایدار شکل می‌گیرند و هم مستقیماً رفتارهای خود-آسیب‌رسان را هدایت می‌کنند.</w:t>
      </w:r>
    </w:p>
    <w:p>
      <w:pPr>
        <w:bidi w:val="1"/>
        <w:spacing w:lineRule="exact" w:line="580" w:after="0"/>
        <w:jc w:val="both"/>
      </w:pPr>
      <w:r>
        <w:rPr>
          <w:rFonts w:ascii="B Nazanin" w:hAnsi="B Nazanin" w:cs="B Nazanin" w:hint="cs"/>
          <w:sz w:val="24"/>
          <w:szCs w:val="24"/>
          <w:rtl/>
          <w:lang w:bidi="fa-IR"/>
        </w:rPr>
        <w:t xml:space="preserve">مسیر نخست مدل، سازوکار اثرگذاری اضطراب صفتی بر فعال‌سازی طرحواره‌ها را تبیین می‌کند. اضطراب پایدار صفتی با دو فرایند موازی، زمینه فعال شدن طرحواره‌های ناسازگار خفته را فراهم می‌آورد: از یک سو، برانگیختگی مزمن فیزیولوژیک و درگیری مداوم ذهنی با تهدیدهای احتمالی، ظرفیت پردازش شناختی فرد را فرسوده می‌سازد و توان ارزیابی مجدد و بازدارندگی شناختی را کاهش می‌دهد؛ از سوی دیگر، مدل شناختی اضطراب نشان می‌دهد که نظام پردازش اطلاعات در افراد مضطرب به‌صورت خودکار و راهبردی بر نشانه‌های تهدید متمرکز می‌شود و همین سوگیری، دسترسی به حافظه‌ها و باورهای مرتبط با خطر را تسهیل می‌کند (بک و کلارک، ۱۹۹۷). در چارچوب نظریه طرحواره، موقعیت‌های تنش‌زا به‌ویژه هنگامی که با مضمون تجربه‌های شکل‌دهنده طرحواره همخوانی دارند، نقش محرک برانگیزاننده را ایفا می‌کنند و هسته هیجانی طرحواره را بیدار می‌سازند (یانگ و همکاران، ۲۰۰۳). در بافت معامله‌گری، نوسانات بازار و زیان‌های پی‌درپی دقیقاً چنین کارکردی دارند و طرحواره‌های حوزه‌های بریدگی و طرد و محدودیت‌های مختل را که با تجربه بی‌ثباتی و فقدان مرزبندی پیوند دارند، بیش از سایر حوزه‌ها فعال می‌کنند.</w:t>
      </w:r>
    </w:p>
    <w:p>
      <w:pPr>
        <w:bidi w:val="1"/>
        <w:spacing w:lineRule="exact" w:line="580" w:after="0"/>
        <w:jc w:val="both"/>
      </w:pPr>
      <w:r>
        <w:rPr>
          <w:rFonts w:ascii="B Nazanin" w:hAnsi="B Nazanin" w:cs="B Nazanin" w:hint="cs"/>
          <w:sz w:val="24"/>
          <w:szCs w:val="24"/>
          <w:rtl/>
          <w:lang w:bidi="fa-IR"/>
        </w:rPr>
        <w:t xml:space="preserve">مسیر دوم، چگونگی تبدیل طرحواره‌های فعال‌شده به رفتارهای مالی پرخطر را توضیح می‌دهد. طرحواره فعال‌شده از طریق سبک‌های مقابله‌ای به رفتار عینی بدل می‌شود و دو سبک در این مسیر اهمیت ویژه‌ای دارند. در قالب جبران افراطی، فردی که طرحواره‌های استحقاق یا خودبزرگ‌بینی دارد می‌کوشد برخلاف پیام زیربنایی طرحواره عمل کند و با پذیرش ریسک‌های بزرگ و معاملات جسورانه، برتری و کنترل خود را اثبات کند؛ رفتاری که ماهیتاً شبیه شرط‌بندی است و پیامدهای آن نادیده گرفته می‌شود. در قالب سبک‌های اجتنابی نیز معامله‌گری می‌تواند کارکرد فرار از تنش هیجانی پیدا کند و فرد برای گریز از حالات درونی ناخوشایند، به اقدام‌های تکانشگرانه روی بیاورد. شواهد مرورشده نشان می‌دهند طرحواره‌های ناسازگار اولیه با طیفی از رفتارهای تکانشی و اعتیادگونه، از جمله قماربازی و الگوهای معامله‌گری آسیب‌زا، مرتبط‌اند (شوری و همکاران، ۲۰۱۲؛ ویرا و همکاران، ۲۰۲۳) و در جمعیت‌های دارای رفتارهای قمارگونه، شدت این طرحواره‌ها با پیامدهای رفتاری همراه است (استِوِز و همکاران</w:t>
      </w:r>
      <w:r>
        <w:rPr>
          <w:rFonts w:ascii="B Nazanin" w:hAnsi="B Nazanin" w:cs="B Nazanin" w:hint="cs"/>
          <w:vertAlign w:val="superscript"/>
          <w:rtl/>
        </w:rPr>
        <w:footnoteReference w:id="101"/>
      </w:r>
      <w:r>
        <w:rPr>
          <w:rFonts w:ascii="B Nazanin" w:hAnsi="B Nazanin" w:cs="B Nazanin" w:hint="cs"/>
          <w:sz w:val="24"/>
          <w:szCs w:val="24"/>
          <w:rtl/>
          <w:lang w:bidi="fa-IR"/>
        </w:rPr>
        <w:t xml:space="preserve">، ۲۰۲۴). این شواهد، بافت رفتاری مسیر دوم را بدون تعمیم فراتر از داده‌ها مشخص می‌سازند.</w:t>
      </w:r>
    </w:p>
    <w:p>
      <w:pPr>
        <w:bidi w:val="1"/>
        <w:spacing w:lineRule="exact" w:line="580" w:after="0"/>
        <w:jc w:val="both"/>
      </w:pPr>
      <w:r>
        <w:rPr>
          <w:rFonts w:ascii="B Nazanin" w:hAnsi="B Nazanin" w:cs="B Nazanin" w:hint="cs"/>
          <w:sz w:val="24"/>
          <w:szCs w:val="24"/>
          <w:rtl/>
          <w:lang w:bidi="fa-IR"/>
        </w:rPr>
        <w:t xml:space="preserve">در سطح تحلیل آماری، این چارچوب نظری به مدل میانجی‌گری ساده‌ای ترجمه می‌شود که در آن اضطراب صفتی متغیر پیش‌بین، رفتارهای مالی پرخطر متغیر ملاک و طرحواره‌های ناسازگار اولیه متغیر میانجی است. منطق این مدل بر تجزیه اثر کل به دو مؤلفه استوار است: اثر مستقیم متغیر پیش‌بین بر ملاک و اثر غیرمستقیمی که از ضرب مسیر پیش‌بین به میانجی در مسیر میانجی به ملاک به دست می‌آید؛ معناداری این اثر غیرمستقیم، شاهد آماری بر مکانیسم میانجی‌گری تلقی می‌شود (هایز، ۲۰۱۸). این الگو را می‌توان در چارچوب مدل‌سازی معادلات ساختاری</w:t>
      </w:r>
      <w:r>
        <w:rPr>
          <w:rFonts w:ascii="B Nazanin" w:hAnsi="B Nazanin" w:cs="B Nazanin" w:hint="cs"/>
          <w:vertAlign w:val="superscript"/>
          <w:rtl/>
        </w:rPr>
        <w:footnoteReference w:id="35"/>
      </w:r>
      <w:r>
        <w:rPr>
          <w:rFonts w:ascii="B Nazanin" w:hAnsi="B Nazanin" w:cs="B Nazanin" w:hint="cs"/>
          <w:sz w:val="24"/>
          <w:szCs w:val="24"/>
          <w:rtl/>
          <w:lang w:bidi="fa-IR"/>
        </w:rPr>
        <w:t xml:space="preserve"> برآورد کرد که امکان سنجش هم‌زمان مسیرها و ارزیابی برازش کلی مدل را فراهم می‌آورد، و نیز در چارچوب رگرسیون‌محور با الگوی شماره ۴ ابزار پراسس</w:t>
      </w:r>
      <w:r>
        <w:rPr>
          <w:rFonts w:ascii="B Nazanin" w:hAnsi="B Nazanin" w:cs="B Nazanin" w:hint="cs"/>
          <w:vertAlign w:val="superscript"/>
          <w:rtl/>
        </w:rPr>
        <w:footnoteReference w:id="34"/>
      </w:r>
      <w:r>
        <w:rPr>
          <w:rFonts w:ascii="B Nazanin" w:hAnsi="B Nazanin" w:cs="B Nazanin" w:hint="cs"/>
          <w:sz w:val="24"/>
          <w:szCs w:val="24"/>
          <w:rtl/>
          <w:lang w:bidi="fa-IR"/>
        </w:rPr>
        <w:t xml:space="preserve"> که برای آزمون چنین ساختارهایی طراحی شده است (هایز، ۲۰۱۸). انتخاب روش نهایی برآورد، تابع حجم نمونه و مفروضه‌های آماری خواهد بود و در فصل روش‌شناسی تفصیل می‌یابد.</w:t>
      </w:r>
    </w:p>
    <w:p>
      <w:pPr>
        <w:bidi w:val="1"/>
        <w:spacing w:lineRule="exact" w:line="580" w:after="0"/>
        <w:jc w:val="both"/>
      </w:pPr>
      <w:r>
        <w:rPr>
          <w:rFonts w:ascii="B Nazanin" w:hAnsi="B Nazanin" w:cs="B Nazanin" w:hint="cs"/>
          <w:sz w:val="24"/>
          <w:szCs w:val="24"/>
          <w:rtl/>
          <w:lang w:bidi="fa-IR"/>
        </w:rPr>
        <w:t xml:space="preserve">در جمع‌بندی سازوکار پیشنهادی، مدل حاضر اضطراب صفتی را نه صرفاً همبسته رفتار پرخطر، بلکه نقطه آغاز زنجیره‌ای شناختی-هیجانی می‌داند که از فعال‌سازی طرحواره‌های ناسازگار می‌گذرد و در قالب سبک‌های مقابله‌ای ناسازگار به تصمیم‌های مالی تکانشگرانه و شرط‌بندی‌گونه ختم می‌شود. اهمیت این فرمول‌بندی در آن است که هم ناهمسانی رفتارهای مالی در افراد هم‌سطح از نظر اضطراب را تبیین می‌کند و هم هدف مداخله‌های بالینی را از مدیریت صرف اضطراب به بازسازی طرحواره‌ها و اصلاح سبک‌های مقابله‌ای گسترش می‌دهد. آزمون تجربی این مسیرها با فرضیه‌های پژوهش حاضر و بر اساس داده‌های گردآوری‌شده از جامعه معامله‌گران انجام خواهد شد و نتایج آن در فصل‌های آتی گزارش می‌شود. در صورت تأیید تجربی، این مدل نه‌تنها شکاف تبیینی موجود در ادبیات روانشناسی مالی را پر می‌کند، بلکه مبنایی برای طراحی مداخله‌های هدفمند در حوزه سلامت روان معامله‌گران فراهم می‌آورد؛ مداخله‌هایی که به‌جای تمرکز صرف بر دانش مالی، لایه‌های عمیق‌تر شناختی-هیجانی رفتار معاملاتی را هدف می‌گیرند و همین چشم‌انداز، اهمیت بالینی پژوهش حاضر را فراتر از ابعاد نظری آن روشن می‌سازد.</w:t>
      </w:r>
    </w:p>
    <w:p>
      <w:pPr>
        <w:pStyle w:val="Heading2"/>
        <w:bidi w:val="1"/>
        <w:jc w:val="right"/>
        <w:outlineLvl w:val="1"/>
      </w:pPr>
      <w:r>
        <w:rPr>
          <w:rFonts w:ascii="B Nazanin" w:hAnsi="B Nazanin" w:cs="B Nazanin" w:hint="cs"/>
          <w:b/>
          <w:bCs/>
          <w:sz w:val="28"/>
          <w:szCs w:val="28"/>
          <w:rtl/>
          <w:lang w:bidi="fa-IR"/>
        </w:rPr>
        <w:t xml:space="preserve">۲-۳ پیشینه پژوهشی</w:t>
      </w:r>
    </w:p>
    <w:p>
      <w:pPr>
        <w:pStyle w:val="Heading3"/>
        <w:bidi w:val="1"/>
        <w:jc w:val="right"/>
        <w:outlineLvl w:val="1"/>
      </w:pPr>
      <w:r>
        <w:rPr>
          <w:rFonts w:ascii="B Nazanin" w:hAnsi="B Nazanin" w:cs="B Nazanin" w:hint="cs"/>
          <w:b/>
          <w:bCs/>
          <w:sz w:val="26"/>
          <w:szCs w:val="26"/>
          <w:rtl/>
          <w:lang w:bidi="fa-IR"/>
        </w:rPr>
        <w:t xml:space="preserve">۲-۳-۱ پیشینه داخلی</w:t>
      </w:r>
    </w:p>
    <w:p>
      <w:pPr>
        <w:bidi w:val="1"/>
        <w:spacing w:lineRule="exact" w:line="580" w:after="0"/>
        <w:jc w:val="both"/>
      </w:pPr>
      <w:r>
        <w:rPr>
          <w:rFonts w:ascii="B Nazanin" w:hAnsi="B Nazanin" w:cs="B Nazanin" w:hint="cs"/>
          <w:sz w:val="24"/>
          <w:szCs w:val="24"/>
          <w:rtl/>
          <w:lang w:bidi="fa-IR"/>
        </w:rPr>
        <w:t xml:space="preserve">ستایش، کاظم‌پور و دلالی اصفهانی(۱۳۹۹)در پژوهشی با عنوان "بررسی نقش منابع اطلاعاتی بر رابطه میان ویژگی‌های شخصیتی و رفتار معاملاتی سرمایه‌گذاران حقیقی در بورس اوراق بهادار تهران"، به طور مستقیم به بررسی ارتباط شخصیت و عمل در بازار سرمایه ایران پرداختند. موضوع دقیق پژوهش آن‌ها، آزمون این بود که آیا ویژگی‌های پنج‌گانه بزرگ شخصیت بر رفتار معاملاتی (مانند تعداد معاملات یا افق زمانی سرمایه‌گذاری) سرمایه‌گذاران تأثیر دارد و آیا نوع منبع اطلاعاتی (رسمی یا غیررسمی) این رابطه را تغییر می‌دهد. این پژوهش توصیفی-پیمایشی بر روی نمونه‌ای از سرمایه‌گذاران بورس تهران انجام شد. یافته‌های کلیدی مطالعه نشان داد که ابعاد شخصیت، به ویژه روان‌رنجورخویی، با الگوهای رفتار معاملاتی افراد رابطه معنادار دارد. این پژوهش از این جهت برای تحقیق حاضر اهمیت دارد که یک شاهد تجربی بسیار قوی و مستقیم از جامعه ایران ارائه می‌دهد که نشان می‌دهد ویژگی شخصیتی مرتبط با اضطراب (روان‌رنجورخویی)، با رفتارها و تصمیمات عملی معامله‌گران در ارتباط است و فرضیه کلی پژوهش حاضر را به خوبی پشتیبانی می‌کند.</w:t>
      </w:r>
    </w:p>
    <w:p>
      <w:pPr>
        <w:bidi w:val="1"/>
        <w:spacing w:lineRule="exact" w:line="580" w:after="0"/>
        <w:jc w:val="both"/>
      </w:pPr>
      <w:r>
        <w:rPr>
          <w:rFonts w:ascii="B Nazanin" w:hAnsi="B Nazanin" w:cs="B Nazanin" w:hint="cs"/>
          <w:sz w:val="24"/>
          <w:szCs w:val="24"/>
          <w:rtl/>
          <w:lang w:bidi="fa-IR"/>
        </w:rPr>
        <w:t xml:space="preserve">بهدیو، نمازی و خواجوی(۱۳۹۸)در پژوهشی با عنوان "ارائه مدلی برای بررسی تأثیرات ترکیبی ریسک‌پذیری، ویژگی‌های فردی و فرهنگی بر بروز رفتار توده‌وار سرمایه‌گذاران در بورس اوراق بهادار تهران"، به بررسی یکی از مصادیق کلیدی رفتار مالی پرخطر پرداختند. موضوع دقیق پژوهش آن‌ها، تبیین رفتار گله‌ای به عنوان یک پدیده روان‌شناختی در بازار سرمایه ایران بود. پژوهش آن‌ها از نوع توصیفی-پیمایشی بود و داده‌ها از طریق پرسشنامه و با استفاده از مدل‌یابی معادلات ساختاری تحلیل شدند. یافته‌های کلیدی این مطالعه نشان داد که ویژگی‌های فردی و سطح ریسک‌پذیری سرمایه‌گذاران، به طور معناداری بر احتمال بروز رفتار گله‌ای تأثیر می‌گذارند. این یافته برای پژوهش حاضر بسیار ارزشمند است، زیرا به صورت تجربی تأیید می‌کند که متغیرهای روان‌شناختی و نگرش به ریسک، پیش‌بینی‌کننده‌های مهمی برای رفتارهای مالی غیرمنطقی و پرخطر در جامعه معامله‌گران ایرانی هستند.</w:t>
      </w:r>
    </w:p>
    <w:p>
      <w:pPr>
        <w:bidi w:val="1"/>
        <w:spacing w:lineRule="exact" w:line="580" w:after="0"/>
        <w:jc w:val="both"/>
      </w:pPr>
      <w:r>
        <w:rPr>
          <w:rFonts w:ascii="B Nazanin" w:hAnsi="B Nazanin" w:cs="B Nazanin" w:hint="cs"/>
          <w:sz w:val="24"/>
          <w:szCs w:val="24"/>
          <w:rtl/>
          <w:lang w:bidi="fa-IR"/>
        </w:rPr>
        <w:t xml:space="preserve">فلاح و خدایی(۱۳۹۸)در پژوهشی با عنوان "رابطه هوش هیجانی و سبک های تصمیم گیری با عملکرد سرمایه گذاری در بورس اوراق بهادار تهران"، به بررسی یک ویژگی شخصیتی مثبت و مؤثر بر رفتار مالی پرداختند. موضوع دقیق پژوهش آن‌ها، بررسی این بود که آیا توانایی افراد در درک، مدیریت و استفاده از هیجانات خود و دیگران (هوش هیجانی)، می‌تواند عملکرد سرمایه‌گذاری آن‌ها را پیش‌بینی کند. این پژوهش از نوع توصیفی-همبستگی بود و بر روی نمونه‌ای از سرمایه‌گذاران فعال در بورس تهران انجام شد. یافته‌های کلیدی این مطالعه نشان داد که بین هوش هیجانی و عملکرد سرمایه‌گذاری، رابطه مثبت و معناداری وجود دارد. به طور مشخص، افرادی که نمرات بالاتری در هوش هیجانی کسب کرده بودند، عملکرد بهتری در سرمایه‌گذاری‌های خود گزارش دادند. این یافته، اهمیت بنیادین توانایی "تنظیم هیجان" را در محیط پرتنش بازار مالی برجسته می‌کند. این پژوهش، از این جهت برای تحقیق حاضر اهمیت دارد که یک پشتوانه تجربی قوی برای فرض اصلی پژوهش فراهم می‌کند: اگر توانایی مدیریت هیجانات (هوش هیجانی بالا) منجر به نتایج مثبت می‌شود، پس نقطه مقابل آن، یعنی دشواری در مدیریت هیجانات (اضطراب صفتی بالا)، به احتمال زیاد منجر به نتایج منفی و رفتارهای مالی پرخطر خواهد شد.</w:t>
      </w:r>
    </w:p>
    <w:p>
      <w:pPr>
        <w:bidi w:val="1"/>
        <w:spacing w:lineRule="exact" w:line="580" w:after="0"/>
        <w:jc w:val="both"/>
      </w:pPr>
      <w:r>
        <w:rPr>
          <w:rFonts w:ascii="B Nazanin" w:hAnsi="B Nazanin" w:cs="B Nazanin" w:hint="cs"/>
          <w:sz w:val="24"/>
          <w:szCs w:val="24"/>
          <w:rtl/>
          <w:lang w:bidi="fa-IR"/>
        </w:rPr>
        <w:t xml:space="preserve">فروغی و تهرانی(۱۳۹۷)در پژوهشی با عنوان "نقش سواد مالی در تعدیل رابطه بین سوگیری های رفتاری و عملکرد سرمایه گذاری در بورس اوراق بهادار تهران"، به بررسی یک عامل محافظتی مهم در برابر تصمیمات غیرمنطقی پرداختند. موضوع دقیق پژوهش آن‌ها، آزمون این فرضیه بود که آیا سطح دانش و سواد مالی افراد، می‌تواند تأثیر منفی سوگیری‌های رفتاری (مانند بیش‌اطمینانی و اثر گرایش) را بر عملکرد واقعی سرمایه‌گذاری آن‌ها کاهش دهد یا خیر. این پژوهش از نوع توصیفی-همبستگی بود و بر روی نمونه‌ای از سرمایه‌گذاران حقیقی در بورس تهران انجام شد. یافته‌های کلیدی این مطالعه، که با استفاده از تحلیل رگرسیون تعدیلی به دست آمد، نشان داد که سوگیری بیش‌اطمینانی، رابطه منفی و معناداری با عملکرد سرمایه‌گذاری دارد، اما این رابطه برای افرادی که از سواد مالی بالاتری برخوردار بودند، به طور معناداری ضعیف‌تر بود. به عبارت دیگر، دانش مالی به عنوان یک "متغیر تعدیل‌گر"، اثرات مخرب یک سوگیری روانشناختی را کاهش می‌دهد. این پژوهش برای تحقیق حاضر از این جهت اهمیت دارد که نشان می‌دهد عوامل روانشناختی، سرنوشت قطعی افراد نیستند و می‌توان با تقویت عوامل شناختی و دانشی، تأثیر آن‌ها را مدیریت کرد.</w:t>
      </w:r>
    </w:p>
    <w:p>
      <w:pPr>
        <w:bidi w:val="1"/>
        <w:spacing w:lineRule="exact" w:line="580" w:after="0"/>
        <w:jc w:val="both"/>
      </w:pPr>
      <w:r>
        <w:rPr>
          <w:rFonts w:ascii="B Nazanin" w:hAnsi="B Nazanin" w:cs="B Nazanin" w:hint="cs"/>
          <w:sz w:val="24"/>
          <w:szCs w:val="24"/>
          <w:rtl/>
          <w:lang w:bidi="fa-IR"/>
        </w:rPr>
        <w:t xml:space="preserve">نوری و هاشمیان(۱۳۹۶)در مطالعه‌ای با عنوان "رابطه بین طرحواره های ناسازگار اولیه و اضطراب اجتماعی در دانشجویان"، به بررسی ریشه‌های شناختی اضطراب در تعاملات اجتماعی پرداختند. موضوع دقیق پژوهش آن‌ها، بررسی این بود که کدام یک از طرحواره‌های ناسازگار، همبستگی بیشتری با شدت علائم اضطراب اجتماعی دارند. این پژوهش از نوع توصیفی-همبستگی بود و بر روی نمونه‌ای از دانشجویان دانشگاه فردوسی مشهد انجام شد. یافته‌های کلیدی این مطالعه نشان داد که بین نمره کل طرحواره‌های ناسازگار و شدت اضطراب اجتماعی، یک همبستگی مثبت و قوی وجود دارد. به طور مشخص، طرحواره‌های حوزه "بریدگی و طرد" (مانند نقص/شرم و انزوای اجتماعی) و حوزه "خودگردانی مختل" (مانند وابستگی/بی‌کفایتی)، قوی‌ترین همبستگی را با اضطراب اجتماعی داشتند. اگرچه این پژوهش به طور خاص روی "اضطراب اجتماعی" متمرکز است و نه "اضطراب صفتی"، اما از نظر مفهومی، یک شاهد تجربی مهم برای پژوهش حاضر محسوب می‌شود. این مطالعه، ارتباط بنیادین بین آسیب‌پذیری شناختی (وجود طرحواره‌ها) و تجربه هیجانی اضطراب را در یک نمونه ایرانی به وضوح تأیید می‌کند و از مسیر اول مدل میانجی‌گری پژوهش (اضطراب ← طرحواره) پشتیبانی می‌کند.</w:t>
      </w:r>
    </w:p>
    <w:p>
      <w:pPr>
        <w:bidi w:val="1"/>
        <w:spacing w:lineRule="exact" w:line="580" w:after="0"/>
        <w:jc w:val="both"/>
      </w:pPr>
      <w:r>
        <w:rPr>
          <w:rFonts w:ascii="B Nazanin" w:hAnsi="B Nazanin" w:cs="B Nazanin" w:hint="cs"/>
          <w:sz w:val="24"/>
          <w:szCs w:val="24"/>
          <w:rtl/>
          <w:lang w:bidi="fa-IR"/>
        </w:rPr>
        <w:t xml:space="preserve">امیدی ، کدیور و فرزاد(۱۳۹۲)در پژوهشی با عنوان "رابطه بین طرحواره‌های ناسازگار اولیه، سبک‌های فرزندپروری و سبک‌های هویت با گرایش به اعتیاد"، به بررسی عوامل روانشناختی پیش‌بین رفتارهای اعتیادی پرداختند. موضوع دقیق پژوهش آن‌ها، بررسی این بود که آیا باورهای بنیادین شکل‌گرفته در کودکی (طرحواره‌ها) و سبک‌های تربیتی والدین، می‌توانند تمایل افراد به مصرف مواد در بزرگسالی را پیش‌بینی کنند یا خیر. این پژوهش از نوع همبستگی بود و بر روی نمونه‌ای متشکل از ۳۵۰ نفر از دانشجویان دانشگاه‌های تهران انجام شد. یافته‌های کلیدی این مطالعه از طریق تحلیل رگرسیون نشان داد که از میان حوزه‌های مختلف طرحواره، دو حوزه به طور خاص، پیش‌بینی‌کننده‌های قدرتمندی برای گرایش به اعتیاد هستند: اول، حوزه "محدودیت‌های مختل" (به ویژه طرحواره خویشتن‌داری ناکافی)، و دوم، حوزه "بریدگی و طرد" (به ویژه طرحواره‌های نقص/شرم و انزوای اجتماعی). این یافته‌ها نشان می‌دهد که دشواری در کنترل تکانه‌ها و همچنین احساسات عمیق بی‌ارزشی و عدم تعلق، افراد را به سمت استفاده از راهبردهای مقابله‌ای ناسازگار مانند مصرف مواد سوق می‌دهد. این مطالعه، یک شاهد تجربی مهم برای پژوهش حاضر است، زیرا ارتباط مستقیم بین طرحواره‌ها و یک رفتار تکانشی و اعتیادگونه را در یک نمونه ایرانی به اثبات می‌رساند و این منطق را تقویت می‌کند که همین سازوکار شناختی می‌تواند زیربنای رفتارهای مالی پرخطر نیز باشد.</w:t>
      </w:r>
    </w:p>
    <w:p>
      <w:pPr>
        <w:pStyle w:val="Heading3"/>
        <w:bidi w:val="1"/>
        <w:jc w:val="right"/>
        <w:outlineLvl w:val="1"/>
      </w:pPr>
      <w:r>
        <w:rPr>
          <w:rFonts w:ascii="B Nazanin" w:hAnsi="B Nazanin" w:cs="B Nazanin" w:hint="cs"/>
          <w:b/>
          <w:bCs/>
          <w:sz w:val="26"/>
          <w:szCs w:val="26"/>
          <w:rtl/>
          <w:lang w:bidi="fa-IR"/>
        </w:rPr>
        <w:t xml:space="preserve">۲-۳-۲ پیشینه خارجی</w:t>
      </w:r>
    </w:p>
    <w:p>
      <w:pPr>
        <w:bidi w:val="1"/>
        <w:spacing w:lineRule="exact" w:line="580" w:after="0"/>
        <w:jc w:val="both"/>
      </w:pPr>
      <w:r>
        <w:rPr>
          <w:rFonts w:ascii="B Nazanin" w:hAnsi="B Nazanin" w:cs="B Nazanin" w:hint="cs"/>
          <w:sz w:val="24"/>
          <w:szCs w:val="24"/>
          <w:rtl/>
          <w:lang w:bidi="fa-IR"/>
        </w:rPr>
        <w:t xml:space="preserve">ماهاتو و همکاران) ۲۰۲۵ (در پژوهشی با عنوان "نسل‌های جدید به عنوان سرمایه‌گذار: عوامل رفتاری شکل‌دهنده انتخاب‌های مالی"، به بررسی عوامل روانشناختی مؤثر بر رفتار سرمایه‌گذاری نسل‌های جوان پرداختند. موضوع دقیق پژوهش آن‌ها، تفکیک اثرات ویژگی‌های شخصیتی مختلف (مانند اضطراب، خشم و بیش‌اطمینانی) بر کیفیت و سبک تصمیم‌گیری‌های مالی بود. یافته کلیدی این مطالعه نشان داد که اضطراب صفتی تأثیر منفی و معناداری بر فرآیند سرمایه‌گذاری دارد و اغلب منجر به اجتناب از تصمیم‌گیری یا تصمیمات محافظه‌کارانه افراطی می‌شود. این پژوهش از این جهت برای تحقیق حاضر اهمیت دارد که با تمرکز بر نسل‌های جدید، تأیید می‌کند که اضطراب همچنان یک مانع روانشناختی اصلی در بازارهای مالی مدرن است و مستقیماً بر رفتار معامله‌گر اثر می‌گذارد.</w:t>
      </w:r>
    </w:p>
    <w:p>
      <w:pPr>
        <w:bidi w:val="1"/>
        <w:spacing w:lineRule="exact" w:line="580" w:after="0"/>
        <w:jc w:val="both"/>
      </w:pPr>
      <w:r>
        <w:rPr>
          <w:rFonts w:ascii="B Nazanin" w:hAnsi="B Nazanin" w:cs="B Nazanin" w:hint="cs"/>
          <w:sz w:val="24"/>
          <w:szCs w:val="24"/>
          <w:rtl/>
          <w:lang w:bidi="fa-IR"/>
        </w:rPr>
        <w:t xml:space="preserve">دینگرا و آگاروال) ۲۰۲۵ (در مقاله‌ای با عنوان "کاوش در اضطراب صفتی به عنوان یک سازه روانشناختی: تأثیرات جنسیت، تحصیلات و آموزش مالی"، ابعاد مختلف این ویژگی شخصیتی را در بافت مالی مورد واکاوی قرار دادند. موضوع دقیق پژوهش آن‌ها، بررسی این بود که آیا متغیرهای زمینه‌ای و آموزشی می‌توانند شدت اثرگذاری اضطراب صفتی را تغییر دهند یا خیر. یافته کلیدی این پژوهش نشان داد که اگرچه اضطراب صفتی یک ویژگی پایدار است، اما "آموزش و سواد مالی" می‌تواند به عنوان یک سپرجذبی عمل کرده و تأثیر منفی آن را بر تصمیمات فرد کاهش دهد. این یافته برای بخش کاربردی پژوهش حاضر بسیار ارزشمند است، زیرا نشان می‌دهد مداخلات آموزشی می‌تواند چرخه معیوب "اضطراب-رفتار پرخطر" را بشکند.</w:t>
      </w:r>
    </w:p>
    <w:p>
      <w:pPr>
        <w:bidi w:val="1"/>
        <w:spacing w:lineRule="exact" w:line="580" w:after="0"/>
        <w:jc w:val="both"/>
      </w:pPr>
      <w:r>
        <w:rPr>
          <w:rFonts w:ascii="B Nazanin" w:hAnsi="B Nazanin" w:cs="B Nazanin" w:hint="cs"/>
          <w:sz w:val="24"/>
          <w:szCs w:val="24"/>
          <w:rtl/>
          <w:lang w:bidi="fa-IR"/>
        </w:rPr>
        <w:t xml:space="preserve">سافیتری و همکاران  )۲۰۲۵ (در مطالعه‌ای با عنوان "تأثیر اجتماعی-روانی در تصمیم‌گیری سرمایه‌گذاری با میانجی‌گری تحمل ریسک"، یک مدل ساختاری را آزمون کردند. موضوع دقیق پژوهش آن‌ها، بررسی دقیق مسیری بود که عوامل روانی از طریق آن بر تصمیم نهایی خرید یا فروش اثر می‌گذارند. یافته کلیدی این مطالعه با قطعیت آماری</w:t>
      </w:r>
      <w:r>
        <w:rPr>
          <w:rFonts w:ascii="Times New Roman" w:hAnsi="Times New Roman" w:cs="Times New Roman"/>
          <w:sz w:val="22"/>
          <w:szCs w:val="22"/>
          <w:lang w:val="en-US"/>
        </w:rPr>
        <w:t xml:space="preserve"> (P&lt;0.05) </w:t>
      </w:r>
      <w:r>
        <w:rPr>
          <w:rFonts w:ascii="B Nazanin" w:hAnsi="B Nazanin" w:cs="B Nazanin" w:hint="cs"/>
          <w:sz w:val="24"/>
          <w:szCs w:val="24"/>
          <w:rtl/>
          <w:lang w:bidi="fa-IR"/>
        </w:rPr>
        <w:t xml:space="preserve">نشان داد که عوامل اضطرابی هم بر خودِ فرآیند "تصمیم‌گیری" و هم بر ظرفیت روانی "تحمل ریسک" اثر تخریبی دارند. این مطالعه مستقیماً از مدل مفهومی تحقیق حاضر پشتیبانی می‌کند، زیرا نشان می‌دهد متغیرهای روانشناختی (مانند اضطراب) مستقیماً ظرفیت ریسک‌پذیری (تحمل ریسک) را که شاخص اصلی رفتار مالی در پژوهش حاضر است، دستخوش تغییر می‌کنند.</w:t>
      </w:r>
    </w:p>
    <w:p>
      <w:pPr>
        <w:bidi w:val="1"/>
        <w:spacing w:lineRule="exact" w:line="580" w:after="0"/>
        <w:jc w:val="both"/>
      </w:pPr>
      <w:r>
        <w:rPr>
          <w:rFonts w:ascii="B Nazanin" w:hAnsi="B Nazanin" w:cs="B Nazanin" w:hint="cs"/>
          <w:sz w:val="24"/>
          <w:szCs w:val="24"/>
          <w:rtl/>
          <w:lang w:bidi="fa-IR"/>
        </w:rPr>
        <w:t xml:space="preserve">گرال-برونک و همکاران )۲۰۲۵( در پژوهشی پیشرو با عنوان "توسعه و اعتباریابی مقیاس اختلال معامله‌گری برای سنجش رفتارهای معاملاتی مشکل‌ساز"، به پر کردن خلأ ابزارهای تشخیصی در این حوزه پرداختند. موضوع دقیق پژوهش آن‌ها، ساخت ابزاری استاندارد برای شناسایی مرز بین معامله‌گری عادی و معامله‌گری آسیب‌شناختی (اعتیادگونه) بود. یافته کلیدی آن‌ها نشان داد که یکی از مؤلفه‌های اصلی اختلال معامله‌گری، "اقدام به معامله برای فرار از پریشانی هیجانی (مانند اضطراب و افسردگی)" است. این یافته، قوی‌ترین شاهد برای مکانیسم پژوهش حاضر است و نشان می‌دهد که رفتارهای مالی پرخطر و افراطی، اغلب کارکردی برای تنظیم (یا سوءتنظیم) هیجانات منفی و اضطرابی دارند.</w:t>
      </w:r>
    </w:p>
    <w:p>
      <w:pPr>
        <w:bidi w:val="1"/>
        <w:spacing w:lineRule="exact" w:line="580" w:after="0"/>
        <w:jc w:val="both"/>
      </w:pPr>
      <w:r>
        <w:rPr>
          <w:rFonts w:ascii="B Nazanin" w:hAnsi="B Nazanin" w:cs="B Nazanin" w:hint="cs"/>
          <w:sz w:val="24"/>
          <w:szCs w:val="24"/>
          <w:rtl/>
          <w:lang w:bidi="fa-IR"/>
        </w:rPr>
        <w:t xml:space="preserve">اولولو و همکاران) ۲۰۲۴ (در پژوهشی با عنوان "مداخله کوچینگ رفتاردرمانی عقلانی-هیجانی و شناختی برای ارتقای تحمل ریسک مالی دانشجویان"، اثر تغییر باورها بر رفتار مالی را به صورت تجربی آزمون کردند. موضوع دقیق پژوهش، بررسی اثربخشی تغییر الگوهای فکری و طرحواره‌ای بر میزان تحمل ریسک مالی واقعی افراد بود. یافته کلیدی نشان داد که مداخلات شناختی</w:t>
      </w:r>
      <w:r>
        <w:rPr>
          <w:rFonts w:ascii="B Nazanin" w:hAnsi="B Nazanin" w:cs="B Nazanin" w:hint="cs"/>
          <w:vertAlign w:val="superscript"/>
          <w:rtl/>
        </w:rPr>
        <w:footnoteReference w:id="36"/>
      </w:r>
      <w:r>
        <w:rPr>
          <w:rFonts w:ascii="B Nazanin" w:hAnsi="B Nazanin" w:cs="B Nazanin" w:hint="cs"/>
          <w:sz w:val="24"/>
          <w:szCs w:val="24"/>
          <w:rtl/>
          <w:lang w:bidi="fa-IR"/>
        </w:rPr>
        <w:t xml:space="preserve"> که هدفشان اصلاح باورهای غیرمنطقی است، منجر به بهبود معنادار در تحمل ریسک مالی و تصمیم‌گیری منطقی‌تر می‌شود. این مطالعه از جهت اثبات رابطه علیّتی بین "شناخت" و "رفتار مالی" برای پژوهش حاضر حیاتی است.</w:t>
      </w:r>
    </w:p>
    <w:p>
      <w:pPr>
        <w:bidi w:val="1"/>
        <w:spacing w:lineRule="exact" w:line="580" w:after="0"/>
        <w:jc w:val="both"/>
      </w:pPr>
      <w:r>
        <w:rPr>
          <w:rFonts w:ascii="B Nazanin" w:hAnsi="B Nazanin" w:cs="B Nazanin" w:hint="cs"/>
          <w:sz w:val="24"/>
          <w:szCs w:val="24"/>
          <w:rtl/>
          <w:lang w:bidi="fa-IR"/>
        </w:rPr>
        <w:t xml:space="preserve">صدیقی ارفعی و همکاران</w:t>
      </w:r>
      <w:r>
        <w:rPr>
          <w:rFonts w:ascii="B Nazanin" w:hAnsi="B Nazanin" w:cs="B Nazanin" w:hint="cs"/>
          <w:vertAlign w:val="superscript"/>
          <w:rtl/>
        </w:rPr>
        <w:footnoteReference w:id="102"/>
      </w:r>
      <w:r>
        <w:rPr>
          <w:rFonts w:ascii="B Nazanin" w:hAnsi="B Nazanin" w:cs="B Nazanin" w:hint="cs"/>
          <w:sz w:val="24"/>
          <w:szCs w:val="24"/>
          <w:rtl/>
          <w:lang w:bidi="fa-IR"/>
        </w:rPr>
        <w:t xml:space="preserve"> (۲۰۲۳) در پژوهشی با عنوان «تأثیر طرحواره‌های ناسازگار اولیه بر گرایش به رفتارهای پرخطر با نقش میانجی تنظیم هیجان در دانش‌آموزان پسر دوره دوم متوسطه»، به بررسی ریشه‌های شناختی رفتارهای پرخطر در نوجوانان پرداختند. موضوع دقیق پژوهش آن‌ها، آزمون این فرضیه بود که آیا طرحواره‌های ناسازگار اولیه می‌توانند پیش‌بینی‌کننده تمایل فرد به اتخاذ موقعیت‌های پرخطر باشند. یافته کلیدی این مطالعه نشان داد که طرحواره‌ها اثر مستقیم، مثبت و معناداری بر رفتارهای پرخطر دارند و نقش واسطه‌ای "تنظیم هیجان" در این فرآیند تأیید شد. این پژوهش، هرچند در جامعه‌ای متفاوت (دانش‌آموزان) انجام شده، با فرضیه اصلی پژوهش حاضر هم‌راستاست و نشان می‌دهد که باورهای عمیق شناختی، محرک رفتارهای پرخطر هستند.</w:t>
      </w:r>
    </w:p>
    <w:p>
      <w:pPr>
        <w:bidi w:val="1"/>
        <w:spacing w:lineRule="exact" w:line="580" w:after="0"/>
        <w:jc w:val="both"/>
      </w:pPr>
      <w:r>
        <w:rPr>
          <w:rFonts w:ascii="B Nazanin" w:hAnsi="B Nazanin" w:cs="B Nazanin" w:hint="cs"/>
          <w:sz w:val="24"/>
          <w:szCs w:val="24"/>
          <w:rtl/>
          <w:lang w:bidi="fa-IR"/>
        </w:rPr>
        <w:t xml:space="preserve">آرنا و همکاران</w:t>
      </w:r>
      <w:r>
        <w:rPr>
          <w:rFonts w:ascii="B Nazanin" w:hAnsi="B Nazanin" w:cs="B Nazanin" w:hint="cs"/>
          <w:vertAlign w:val="superscript"/>
          <w:rtl/>
        </w:rPr>
        <w:footnoteReference w:id="103"/>
      </w:r>
      <w:r>
        <w:rPr>
          <w:rFonts w:ascii="B Nazanin" w:hAnsi="B Nazanin" w:cs="B Nazanin" w:hint="cs"/>
          <w:sz w:val="24"/>
          <w:szCs w:val="24"/>
          <w:rtl/>
          <w:lang w:bidi="fa-IR"/>
        </w:rPr>
        <w:t xml:space="preserve">(۲۰۲۲) در پژوهشی با عنوان "ویژگی‌های شخصیتی و سوگیری‌های رفتاری: نقش تعدیل‌گر تحمل ریسک"، یک مدل تعاملی پیچیده را بررسی کردند. موضوع دقیق پژوهش آن‌ها، بررسی این بود که ویژگی‌های شخصیتی چگونه بر سوگیری‌های رفتاری تأثیر می‌گذارند و آیا سطح تحمل ریسک فرد، این رابطه را تغییر می‌دهد. یافته کلیدی این مطالعه نشان داد که شخصیت و تحمل ریسک به صورت جداگانه عمل نمی‌کنند، بلکه در تعامل با یکدیگر، سبک تصمیم‌گیری مالی و میزان بروز سوگیری‌ها را شکل می‌دهند. این پژوهش از این جهت برای تحقیق حاضر مهم است که ضرورت نگاه به مدل‌های پیچیده‌تر (مانند مدل میانجی‌گری) را برجسته می‌کند و نشان می‌دهد که برای درک کامل رفتار مالی، باید به تعامل بین ویژگی‌های شخصیتی و عوامل نگرشی مانند تحمل ریسک توجه کرد.</w:t>
      </w:r>
    </w:p>
    <w:p>
      <w:pPr>
        <w:bidi w:val="1"/>
        <w:spacing w:lineRule="exact" w:line="580" w:after="0"/>
        <w:jc w:val="both"/>
      </w:pPr>
      <w:r>
        <w:rPr>
          <w:rFonts w:ascii="B Nazanin" w:hAnsi="B Nazanin" w:cs="B Nazanin" w:hint="cs"/>
          <w:sz w:val="24"/>
          <w:szCs w:val="24"/>
          <w:rtl/>
          <w:lang w:bidi="fa-IR"/>
        </w:rPr>
        <w:t xml:space="preserve">چارلز و کاسیلینگام (۲۰۲۲) در یک مطالعه جدیدتر، "نقش اضطراب در تصمیمات مالی" را مورد بررسی قرار دادند. موضوع دقیق پژوهش آن‌ها، بررسی ارتباط بین اضطراب (هم به عنوان یک حالت هیجانی و هم به عنوان یک ویژگی شخصیتی) با تحمل ریسک مالی و سوگیری‌های شناختی رایج بود. یافته‌های کلیدی این پژوهش نشان داد که اضطراب، به عنوان یک ویژگی شخصیتی، با کاهش تحمل ریسک مالی و همچنین افزایش احتمال بروز سوگیری اثر گرایش مرتبط است. این مطالعه، یک شاهد تجربی مستقیم و به‌روز است که دو مسیر مهم را در مدل مفهومی پژوهش تأیید می‌کند: اول، ارتباط مستقیم بین متغیر پیش‌بین (اضطراب) و متغیر ملاک (تحمل ریسک)، و دوم، نقش اضطراب در فعال‌سازی رفتارهای مالی غیرمنطقی.</w:t>
      </w:r>
    </w:p>
    <w:p>
      <w:pPr>
        <w:bidi w:val="1"/>
        <w:spacing w:lineRule="exact" w:line="580" w:after="0"/>
        <w:jc w:val="both"/>
      </w:pPr>
      <w:r>
        <w:rPr>
          <w:rFonts w:ascii="B Nazanin" w:hAnsi="B Nazanin" w:cs="B Nazanin" w:hint="cs"/>
          <w:sz w:val="24"/>
          <w:szCs w:val="24"/>
          <w:rtl/>
          <w:lang w:bidi="fa-IR"/>
        </w:rPr>
        <w:t xml:space="preserve">آن و همکاران</w:t>
      </w:r>
      <w:r>
        <w:rPr>
          <w:rFonts w:ascii="B Nazanin" w:hAnsi="B Nazanin" w:cs="B Nazanin" w:hint="cs"/>
          <w:vertAlign w:val="superscript"/>
          <w:rtl/>
        </w:rPr>
        <w:footnoteReference w:id="104"/>
      </w:r>
      <w:r>
        <w:rPr>
          <w:rFonts w:ascii="B Nazanin" w:hAnsi="B Nazanin" w:cs="B Nazanin" w:hint="cs"/>
          <w:sz w:val="24"/>
          <w:szCs w:val="24"/>
          <w:rtl/>
          <w:lang w:bidi="fa-IR"/>
        </w:rPr>
        <w:t xml:space="preserve"> (۲۰۲۱) در پژوهشی روی سرمایه‌گذاران چینی، به طور مستقیم "تأثیر اضطراب مالی بر نگهداری دارایی‌های پرریسک" را بررسی کردند. موضوع دقیق پژوهش آن‌ها، بررسی این بود که آیا احساس نگرانی و اضطراب درباره وضعیت مالی شخصی، بر تصمیم فرد برای سرمایه‌گذاری در دارایی‌های پرریسکی مانند سهام، تأثیر می‌گذارد یا خیر. یافته کلیدی این مطالعه نشان داد که اضطراب مالی، رابطه منفی و معناداری با تمایل به نگهداری دارایی‌های پرریسک دارد. به عبارت دیگر، افرادی که اضطراب مالی بیشتری را تجربه می‌کردند، درصد کمتری از سبد دارایی خود را به سهام اختصاص داده و بیشتر به سمت دارایی‌های امن (مانند اوراق قرضه) متمایل بودند. این یافته، یکی از دو واکنش اصلی به اضطراب (یعنی اجتناب از ریسک)را در یک زمینه واقعی مالی به خوبی نشان می‌دهد و از فرض اصلی پژوهش حاضر مبنی بر اینکه اضطراب، تصمیم‌گیری مالی را تحت تأثیر قرار می‌دهد، پشتیبانی می‌کند.</w:t>
      </w:r>
    </w:p>
    <w:p>
      <w:pPr>
        <w:bidi w:val="1"/>
        <w:spacing w:lineRule="exact" w:line="580" w:after="0"/>
        <w:jc w:val="both"/>
      </w:pPr>
      <w:r>
        <w:rPr>
          <w:rFonts w:ascii="B Nazanin" w:hAnsi="B Nazanin" w:cs="B Nazanin" w:hint="cs"/>
          <w:sz w:val="24"/>
          <w:szCs w:val="24"/>
          <w:rtl/>
          <w:lang w:bidi="fa-IR"/>
        </w:rPr>
        <w:t xml:space="preserve">یافته‌های پژوهشی نشان می‌دهد که طرحواره‌های ناسازگار اولیه (به‌ویژه در حوزه‌های بریدگی و طرد و خودگردانی مختل) نقش میانجی‌گر معناداری در انتقال اثرات تجارب ناگوار به رفتارهای تکانشگرانه و پرخطر ایفا می‌کنند (استِوِز و همکاران، ۲۰۲۴؛ شوری و همکاران، ۲۰۱۲).</w:t>
      </w:r>
    </w:p>
    <w:p>
      <w:pPr>
        <w:bidi w:val="1"/>
        <w:spacing w:lineRule="exact" w:line="580" w:after="0"/>
        <w:jc w:val="both"/>
      </w:pPr>
      <w:r>
        <w:rPr>
          <w:rFonts w:ascii="B Nazanin" w:hAnsi="B Nazanin" w:cs="B Nazanin" w:hint="cs"/>
          <w:sz w:val="24"/>
          <w:szCs w:val="24"/>
          <w:rtl/>
          <w:lang w:bidi="fa-IR"/>
        </w:rPr>
        <w:t xml:space="preserve">مرور نظام‌مند شواهد نشان می‌دهد که طرحواره‌های ناسازگار اولیه با طیفی از اعتیادهای رفتاری مرتبط‌اند (ویرا و همکاران، ۲۰۲۳).</w:t>
      </w:r>
    </w:p>
    <w:p>
      <w:pPr>
        <w:bidi w:val="1"/>
        <w:spacing w:lineRule="exact" w:line="580" w:after="0"/>
        <w:jc w:val="both"/>
      </w:pPr>
      <w:r>
        <w:rPr>
          <w:rFonts w:ascii="B Nazanin" w:hAnsi="B Nazanin" w:cs="B Nazanin" w:hint="cs"/>
          <w:sz w:val="24"/>
          <w:szCs w:val="24"/>
          <w:rtl/>
          <w:lang w:bidi="fa-IR"/>
        </w:rPr>
        <w:t xml:space="preserve">پاک و محمود) ۲۰۱۹(در مطالعه‌ای با عنوان "ویژگی‌های شخصیتی و تحلیل پروفایل سرمایه‌گذار: یک مطالعه مالی رفتاری"، به طور مستقیم به ارتباط بین شخصیت و پروفایل ریسک افراد پرداختند. موضوع دقیق پژوهش آن‌ها، شناسایی الگوهای شخصیتی مرتبط با سطوح مختلف تحمل ریسک در سرمایه‌گذاران بود. یافته‌های کلیدی این پژوهش به وضوح نشان داد که سطوح بالای ناپایداری هیجانی (که اضطراب هسته اصلی آن است) با پروفایل ریسک محافظه‌کارانه‌تر و تحمل ریسک پایین‌تر همراه است. این مطالعه یک تأیید تجربی بسیار مستقیم برای مسیر اصلی پژوهش حاضر است، زیرا دقیقاً نشان می‌دهد که متغیر پیش‌بین (اضطراب) با متغیر ملاک (تحمل ریسک مالی) رابطه منفی و معنادار دارد.</w:t>
      </w:r>
    </w:p>
    <w:p>
      <w:pPr>
        <w:bidi w:val="1"/>
        <w:spacing w:lineRule="exact" w:line="580" w:after="0"/>
        <w:jc w:val="both"/>
      </w:pPr>
      <w:r>
        <w:rPr>
          <w:rFonts w:ascii="B Nazanin" w:hAnsi="B Nazanin" w:cs="B Nazanin" w:hint="cs"/>
          <w:sz w:val="24"/>
          <w:szCs w:val="24"/>
          <w:rtl/>
          <w:lang w:bidi="fa-IR"/>
        </w:rPr>
        <w:t xml:space="preserve">نوین و همکاران ) ۲۰۱۹ (در پژوهشی با عنوان "ویژگی‌های شخصیتی و سرمایه‌گذاری افراد در سهام"، به بررسی تأثیر ابعاد شخصیتی بر تصمیمات سرمایه‌گذاری پرداختند. موضوع دقیق پژوهش آن‌ها، بررسی این بود که کدام یک از ویژگی‌های پنج‌گانه بزرگ شخصیت، قصد افراد برای سرمایه‌گذاری در دارایی‌های پرریسکی مانند سهام را پیش‌بینی می‌کند. یافته‌های کلیدی این پژوهش، که با استفاده از مدل‌یابی معادلات ساختاری به دست آمد، نشان داد که ثبات هیجانی (نقطه مقابل روان‌رنجورخویی) با پذیرش ریسک و نیت سرمایه‌گذاری در سهام ارتباط دارد. این یافته برای پژوهش حاضر اهمیت بالایی دارد، زیرا یک شاهد بین‌المللی قوی برای این فرضیه فراهم می‌کند که بعد شخصیتی مرتبط با اضطراب، یک عامل تعیین‌کننده در میزان ریسک‌پذیری و تصمیمات مالی افراد است.</w:t>
      </w:r>
    </w:p>
    <w:p>
      <w:pPr>
        <w:bidi w:val="1"/>
        <w:spacing w:lineRule="exact" w:line="580" w:after="0"/>
        <w:jc w:val="both"/>
      </w:pPr>
      <w:r>
        <w:rPr>
          <w:rFonts w:ascii="B Nazanin" w:hAnsi="B Nazanin" w:cs="B Nazanin" w:hint="cs"/>
          <w:sz w:val="24"/>
          <w:szCs w:val="24"/>
          <w:rtl/>
          <w:lang w:bidi="fa-IR"/>
        </w:rPr>
        <w:t xml:space="preserve">رایم و همکاران</w:t>
      </w:r>
      <w:r>
        <w:rPr>
          <w:rFonts w:ascii="B Nazanin" w:hAnsi="B Nazanin" w:cs="B Nazanin" w:hint="cs"/>
          <w:vertAlign w:val="superscript"/>
          <w:rtl/>
        </w:rPr>
        <w:footnoteReference w:id="105"/>
      </w:r>
      <w:r>
        <w:rPr>
          <w:rFonts w:ascii="B Nazanin" w:hAnsi="B Nazanin" w:cs="B Nazanin" w:hint="cs"/>
          <w:sz w:val="24"/>
          <w:szCs w:val="24"/>
          <w:rtl/>
          <w:lang w:bidi="fa-IR"/>
        </w:rPr>
        <w:t xml:space="preserve"> (۲۰۱۵) در پژوهشی با عنوان "روان‌رنجورخویی و وجوه آن در رابطه با طرحواره‌های ناسازگار اولیه"، به بررسی ارتباط بین یک ویژگی شخصیتی بنیادین و الگوهای شناختی پرداختند. موضوع دقیق پژوهش آن‌ها، بررسی این بود که آیا ویژگی روان‌رنجورخویی (که اضطراب صفتی مؤلفه اصلی آن است) و وجوه مختلف آن (مانند اضطراب، افسردگی، تکانشگری) با کدام یک از حوزه‌های طرحواره‌های ناسازگار اولیه، همبستگی بیشتری دارند. یافته‌های کلیدی این مطالعه نشان داد که روان‌رنجورخویی، یک همبستگی مستقیم، مثبت و بسیار قوی با تقریباً تمام حوزه‌های طرحواره‌های ناسازگار اولیه دارد. این یافته، یک شاهد تجربی بسیار قوی برای مسیر اول مدل میانجی‌گری پژوهش (اضطراب ← طرحواره) است و نشان می‌دهد که تمایلات اضطرابی، زمینه را برای شکل‌گیری و تداوم باورهای شناختی منفی، فراهم می‌کند.</w:t>
      </w:r>
    </w:p>
    <w:p>
      <w:pPr>
        <w:bidi w:val="1"/>
        <w:spacing w:lineRule="exact" w:line="580" w:after="0"/>
        <w:jc w:val="both"/>
      </w:pPr>
      <w:r>
        <w:rPr>
          <w:rFonts w:ascii="B Nazanin" w:hAnsi="B Nazanin" w:cs="B Nazanin" w:hint="cs"/>
          <w:sz w:val="24"/>
          <w:szCs w:val="24"/>
          <w:rtl/>
          <w:lang w:bidi="fa-IR"/>
        </w:rPr>
        <w:t xml:space="preserve">فنتون-اکریوی و همکاران</w:t>
      </w:r>
      <w:r>
        <w:rPr>
          <w:rFonts w:ascii="B Nazanin" w:hAnsi="B Nazanin" w:cs="B Nazanin" w:hint="cs"/>
          <w:vertAlign w:val="superscript"/>
          <w:rtl/>
        </w:rPr>
        <w:footnoteReference w:id="106"/>
      </w:r>
      <w:r>
        <w:rPr>
          <w:rFonts w:ascii="B Nazanin" w:hAnsi="B Nazanin" w:cs="B Nazanin" w:hint="cs"/>
          <w:sz w:val="24"/>
          <w:szCs w:val="24"/>
          <w:rtl/>
          <w:lang w:bidi="fa-IR"/>
        </w:rPr>
        <w:t xml:space="preserve"> (۲۰۱۱)  در پژوهشی چندوجهی روی معامله‌گران حرفه‌ای در بانک‌های سرمایه‌گذاری لندن، به بررسی "نقش هیجانات در تصمیم‌گیری معامله‌گران" پرداختند. موضوع دقیق پژوهش آن‌ها، درک این بود که معامله‌گران موفق، چگونه هیجانات خود را تنظیم می‌کنند. این پژوهش، هم شامل مصاحبه‌های کیفی و هم آزمون‌های روان‌سنجی بود. یافته کلیدی آن‌ها این بود که برخلاف تصور رایج، معامله‌گران موفق، افرادی بی‌هیجان نیستند، بلکه کسانی هستند که از هوش هیجانی بالاتری برخوردار بوده و بهتر می‌توانند هیجانات منفی مانند اضطراب و پشیمانی را مدیریت کنند. این مطالعه نشان داد که اضطراب، توانایی پردازش منطقی اطلاعات را کاهش داده و منجر به تصمیماتی می‌شود که خود معامله‌گران بعداً آن‌ها را غیرمنطقی ارزیابی می‌کنند.</w:t>
      </w:r>
    </w:p>
    <w:p>
      <w:pPr>
        <w:bidi w:val="1"/>
        <w:spacing w:lineRule="exact" w:line="580" w:after="0"/>
        <w:jc w:val="both"/>
      </w:pPr>
      <w:r>
        <w:rPr>
          <w:rFonts w:ascii="B Nazanin" w:hAnsi="B Nazanin" w:cs="B Nazanin" w:hint="cs"/>
          <w:sz w:val="24"/>
          <w:szCs w:val="24"/>
          <w:rtl/>
          <w:lang w:bidi="fa-IR"/>
        </w:rPr>
        <w:t xml:space="preserve">لیندبرگ و همکاران (۲۰۱۱) در مطالعه‌ای، به طور خاص به بررسی "طرحواره‌های ناسازگار اولیه در قماربازان آسیب‌شناختی" پرداختند. موضوع دقیق پژوهش آن‌ها، مقایسه پروفایل طرحواره‌ای افراد معتاد به قمار با یک گروه کنترل سالم بود. یافته‌های کلیدی این پژوهش نشان داد که گروه قماربازان، نمرات به طور معناداری بالاتری در بسیاری از طرحواره‌ها، به ویژه طرحواره‌هایی مانند "اطاعت"، "بازداری هیجانی" و "معیارهای سرسختانه" کسب کردند. این یافته، نشان می‌دهد که الگوهای شناختی مرتبط با نادیده گرفتن نیازهای شخصی، دشواری در ابراز هیجان و تلاش وسواس‌گونه برای رسیدن به استانداردها، می‌تواند زیربنای رفتارهای اعتیادگونه باشد.</w:t>
      </w:r>
    </w:p>
    <w:p>
      <w:pPr>
        <w:bidi w:val="1"/>
        <w:spacing w:lineRule="exact" w:line="580" w:after="0"/>
        <w:jc w:val="both"/>
      </w:pPr>
      <w:r>
        <w:rPr>
          <w:rFonts w:ascii="B Nazanin" w:hAnsi="B Nazanin" w:cs="B Nazanin" w:hint="cs"/>
          <w:sz w:val="24"/>
          <w:szCs w:val="24"/>
          <w:rtl/>
          <w:lang w:bidi="fa-IR"/>
        </w:rPr>
        <w:t xml:space="preserve">هالورسن و همکاران</w:t>
      </w:r>
      <w:r>
        <w:rPr>
          <w:rFonts w:ascii="B Nazanin" w:hAnsi="B Nazanin" w:cs="B Nazanin" w:hint="cs"/>
          <w:vertAlign w:val="superscript"/>
          <w:rtl/>
        </w:rPr>
        <w:footnoteReference w:id="107"/>
      </w:r>
      <w:r>
        <w:rPr>
          <w:rFonts w:ascii="B Nazanin" w:hAnsi="B Nazanin" w:cs="B Nazanin" w:hint="cs"/>
          <w:sz w:val="24"/>
          <w:szCs w:val="24"/>
          <w:rtl/>
          <w:lang w:bidi="fa-IR"/>
        </w:rPr>
        <w:t xml:space="preserve"> (۲۰۰۹) در پژوهشی، "ارتباط بین اختلالات شخصیت و طرحواره‌های ناسازگار اولیه" را در نمونه‌ای از مراجعان روانپزشکی سرپایی بررسی کردند. یافته کلیدی این مطالعه، یک همبستگی بسیار قوی و معنادار بین شدت علائم اختلالات شخصیت (که اغلب با سطوح بالای روان‌رنجورخویی و اضطراب همراه‌اند) و نمرات بالا در طرحواره‌های ناسازگار اولیه بود. این یافته، یک شاهد تجربی دیگر است که نشان می‌دهد ویژگی‌های شخصیتی پایدار و ناکارآمد، ارتباط تنگاتنگی با باورهای شناختی منفی دارند و از مسیر اول مدل پژوهش حاضر (اضطراب ← طرحواره) پشتیبانی می‌کند.</w:t>
      </w:r>
    </w:p>
    <w:p>
      <w:pPr>
        <w:bidi w:val="1"/>
        <w:spacing w:lineRule="exact" w:line="580" w:after="0"/>
        <w:jc w:val="both"/>
      </w:pPr>
      <w:r>
        <w:rPr>
          <w:rFonts w:ascii="B Nazanin" w:hAnsi="B Nazanin" w:cs="B Nazanin" w:hint="cs"/>
          <w:sz w:val="24"/>
          <w:szCs w:val="24"/>
          <w:rtl/>
          <w:lang w:bidi="fa-IR"/>
        </w:rPr>
        <w:t xml:space="preserve">گوتزمن و کومار (۲۰۰۸) در یک پژوهش تجربی گسترده، "تنوع‌بخشی سبد دارایی سهام" را در میان ده‌ها هزار سرمایه‌گذار خرد بررسی کردند. موضوع دقیق پژوهش آن‌ها، بررسی این بود که آیا سرمایه‌گذاران به صورت منطقی و مطابق با نظریه مدرن سبد دارایی، سبد خود را متنوع می‌کنند یا خیر. یافته کلیدی و شگفت‌انگیز آن‌ها این بود که بسیاری از افراد به طور سیستماتیک، سبدهای بسیار متمرکزی دارند (تنوع‌بخشی ناکافی) و این رفتار با ویژگی‌های جمعیت‌شناختی و روانشناختی آن‌ها (مانند تمایل به سهام‌های آشنا و شبه‌بخت‌آزمایی) مرتبط است. این مطالعه، یکی از ابعاد کلیدی متغیر ملاک پژوهش (رفتارهای مالی پرخطر) را به صورت تجربی تعریف و تأیید می‌کند.</w:t>
      </w:r>
    </w:p>
    <w:p>
      <w:pPr>
        <w:bidi w:val="1"/>
        <w:spacing w:lineRule="exact" w:line="580" w:after="0"/>
        <w:jc w:val="both"/>
      </w:pPr>
      <w:r>
        <w:rPr>
          <w:rFonts w:ascii="B Nazanin" w:hAnsi="B Nazanin" w:cs="B Nazanin" w:hint="cs"/>
          <w:sz w:val="24"/>
          <w:szCs w:val="24"/>
          <w:rtl/>
          <w:lang w:bidi="fa-IR"/>
        </w:rPr>
        <w:t xml:space="preserve">هوانگ و سالمون (۲۰۰۴) در پژوهشی، به بررسی پدیده "استرس بازار و رفتار گله‌ای" پرداختند. موضوع دقیق پژوهش آن‌ها، ارائه یک مدل آماری جدید برای شناسایی دوره‌هایی بود که در آن، حرکات قیمت سهام بیش از حد معمول به یکدیگر شبیه می‌شوند (نشانه‌ای از رفتار گله‌ای). یافته کلیدی این مطالعه این بود که رفتار گله‌ای، یک پدیده واقعی در بازارهای مالی است و شدت آن، به ویژه در دوره‌هایی که بازار با استرس و نوسانات بالا مواجه است، به طور معناداری تشدید می‌شود. این پژوهش، تعریف یکی دیگر از ابعاد متغیر ملاک پژوهش (رفتار گله‌ای) را پشتیبانی می‌کند.</w:t>
      </w:r>
    </w:p>
    <w:p>
      <w:pPr>
        <w:bidi w:val="1"/>
        <w:spacing w:lineRule="exact" w:line="580" w:after="0"/>
        <w:jc w:val="both"/>
      </w:pPr>
      <w:r>
        <w:rPr>
          <w:rFonts w:ascii="B Nazanin" w:hAnsi="B Nazanin" w:cs="B Nazanin" w:hint="cs"/>
          <w:sz w:val="24"/>
          <w:szCs w:val="24"/>
          <w:rtl/>
          <w:lang w:bidi="fa-IR"/>
        </w:rPr>
        <w:t xml:space="preserve">لو و رپین</w:t>
      </w:r>
      <w:r>
        <w:rPr>
          <w:rFonts w:ascii="B Nazanin" w:hAnsi="B Nazanin" w:cs="B Nazanin" w:hint="cs"/>
          <w:vertAlign w:val="superscript"/>
          <w:rtl/>
        </w:rPr>
        <w:footnoteReference w:id="108"/>
      </w:r>
      <w:r>
        <w:rPr>
          <w:rFonts w:ascii="B Nazanin" w:hAnsi="B Nazanin" w:cs="B Nazanin" w:hint="cs"/>
          <w:sz w:val="24"/>
          <w:szCs w:val="24"/>
          <w:rtl/>
          <w:lang w:bidi="fa-IR"/>
        </w:rPr>
        <w:t xml:space="preserve"> (۲۰۰۲)  در یک پژوهش نوآورانه، "روان‌فیزیولوژی پردازش ریسک مالی در لحظه" را بررسی کردند. موضوع دقیق پژوهش آن‌ها، بررسی واکنش‌های سیستم عصبی خودکار (مانند ضربان قلب، فشار خون و رسانایی پوست) در معامله‌گران حرفه‌ای در هنگام انجام معاملات واقعی بود. یافته کلیدی این مطالعه نشان داد که رویدادهای معنادار بازار، واکنش‌های هیجانی قدرتمند و قابل اندازه‌گیری را در معامله‌گران برمی‌انگیزد. جالب‌تر آنکه، معامله‌گران باتجربه‌تر و موفق‌تر، واکنش‌های هیجانی کنترل‌شده‌تری از خود نشان می‌دادند. این پژوهش، یک شاهد عینی و فیزیولوژیک برای نقش محوری تنظیم هیجان در تصمیم‌گیری مالی است.</w:t>
      </w:r>
    </w:p>
    <w:p>
      <w:pPr>
        <w:bidi w:val="1"/>
        <w:spacing w:lineRule="exact" w:line="580" w:after="0"/>
        <w:jc w:val="both"/>
      </w:pPr>
      <w:r>
        <w:rPr>
          <w:rFonts w:ascii="B Nazanin" w:hAnsi="B Nazanin" w:cs="B Nazanin" w:hint="cs"/>
          <w:sz w:val="24"/>
          <w:szCs w:val="24"/>
          <w:rtl/>
          <w:lang w:bidi="fa-IR"/>
        </w:rPr>
        <w:t xml:space="preserve">لوریولا و لوین (۲۰۰۱) در یک مطالعه تجربی، "ارتباط بین ویژگی‌های شخصیتی و تصمیم‌گیری پرریسک" را در یک تکلیف آزمایشگاهی کنترل‌شده بررسی کردند. موضوع دقیق پژوهش آن‌ها، بررسی این بود که چگونه ویژگی‌های مدل پنج عاملی شخصیت، بر انتخاب‌های افراد در موقعیت‌های دارای سود و زیان احتمالی، تأثیر می‌گذارد. یافته کلیدی آن‌ها نشان داد که ویژگی شخصیتی "روان‌رنجورخویی" (که اضطراب صفتی مؤلفه اصلی آن است)، با الگوهای تصمیم‌گیری متناقض مرتبط است: این افراد در موقعیت‌های سودآور، ریسک‌گریز بودند، اما در موقعیت‌های زیان‌ده، رفتارهای ریسکی بیشتری از خود نشان می‌دادند.</w:t>
      </w:r>
    </w:p>
    <w:p>
      <w:pPr>
        <w:bidi w:val="1"/>
        <w:spacing w:lineRule="exact" w:line="580" w:after="0"/>
        <w:jc w:val="both"/>
      </w:pPr>
      <w:r>
        <w:rPr>
          <w:rFonts w:ascii="B Nazanin" w:hAnsi="B Nazanin" w:cs="B Nazanin" w:hint="cs"/>
          <w:sz w:val="24"/>
          <w:szCs w:val="24"/>
          <w:rtl/>
          <w:lang w:bidi="fa-IR"/>
        </w:rPr>
        <w:t xml:space="preserve">باربر و اودین (۲۰۰۰) در مقاله کلاسیک خود با عنوان "معامله‌گری برای ثروت شما خطرناک است"، به بررسی عملکرد سرمایه‌گذاری معامله‌گران فردی پرداختند. موضوع دقیق پژوهش آن‌ها، تحلیل داده‌های واقعی حساب‌های معاملاتی بیش از ۶۶ هزار خانوار بود تا مشخص شود آیا معاملات مکرر، منجر به سود بیشتر می‌شود یا خیر. یافته کلیدی و قاطع آن‌ها این بود که سرمایه‌گذارانی که بیشترین حجم معاملات را دارند، به دلیل سوگیری "بیش‌اطمینانی"، به طور متوسط کمترین بازده را کسب می‌کنند. این پژوهش، تعریف بعد "معامله‌گری بیش از حد" را به عنوان یک رفتار مالی پرخطر، به صورت تجربی تثبیت کرد.</w:t>
      </w:r>
    </w:p>
    <w:p>
      <w:pPr>
        <w:bidi w:val="1"/>
        <w:spacing w:lineRule="exact" w:line="580" w:after="0"/>
        <w:jc w:val="both"/>
      </w:pPr>
      <w:r>
        <w:rPr>
          <w:rFonts w:ascii="B Nazanin" w:hAnsi="B Nazanin" w:cs="B Nazanin" w:hint="cs"/>
          <w:sz w:val="24"/>
          <w:szCs w:val="24"/>
          <w:rtl/>
          <w:lang w:bidi="fa-IR"/>
        </w:rPr>
        <w:t xml:space="preserve">شفرین و استاتمن (۱۹۸۵) در یک مقاله نظری بنیادین، برای اولین بار پدیده "اثر گرایش" را معرفی کردند. موضوع دقیق پژوهش آن‌ها، ارائه یک تبیین روانشناختی برای این رفتار به ظاهر غیرمنطقی بود که چرا سرمایه‌گذاران تمایل دارند سهام سودده خود را خیلی زود فروخته ("فروش برندگان") و سهام زیان‌ده را برای مدتی طولانی نگه دارند ("سوار شدن بر بازندگان"). یافته کلیدی آن‌ها این بود که این رفتار، ریشه در مفاهیم "نظریه چشم‌انداز" (به ویژه زیان‌گریزی) و همچنین "اجتناب از حسرت" دارد. این مقاله، تعریف یکی از مهم‌ترین ابعاد متغیر ملاک پژوهش را پایه‌گذاری کرد.</w:t>
      </w:r>
    </w:p>
    <w:p>
      <w:pPr>
        <w:pStyle w:val="Heading3"/>
        <w:bidi w:val="1"/>
        <w:jc w:val="right"/>
        <w:outlineLvl w:val="1"/>
      </w:pPr>
      <w:r>
        <w:rPr>
          <w:rFonts w:ascii="B Nazanin" w:hAnsi="B Nazanin" w:cs="B Nazanin" w:hint="cs"/>
          <w:b/>
          <w:bCs/>
          <w:sz w:val="26"/>
          <w:szCs w:val="26"/>
          <w:rtl/>
          <w:lang w:bidi="fa-IR"/>
        </w:rPr>
        <w:t xml:space="preserve">۲-۳-۳ جمع‌بندی پیشینه و شکاف پژوهشی</w:t>
      </w:r>
    </w:p>
    <w:p>
      <w:pPr>
        <w:bidi w:val="1"/>
        <w:spacing w:lineRule="exact" w:line="580" w:after="0"/>
        <w:jc w:val="both"/>
      </w:pPr>
      <w:r>
        <w:rPr>
          <w:rFonts w:ascii="B Nazanin" w:hAnsi="B Nazanin" w:cs="B Nazanin" w:hint="cs"/>
          <w:sz w:val="24"/>
          <w:szCs w:val="24"/>
          <w:rtl/>
          <w:lang w:bidi="fa-IR"/>
        </w:rPr>
        <w:t xml:space="preserve">مرور پیشینه داخلی و خارجی این فصل یک تصویر کلی روشن دارد: ادبیات موجود، دو رشته شاهد تجربی نسبتاً منسجم را فراهم آورده است. در رشته نخست، شواهدی از پیوند میان متغیرهای مرتبط با اضطراب و پیامدهای مالی گزارش شده است: در بافت داخلی، روان‌رنجورخویی با الگوهای رفتار معاملاتی سرمایه‌گذاران بورس تهران رابطه معنادار داشته (ستایش و همکاران، ۱۳۹۹) و ویژگی‌های فردی و سطح ریسک‌پذیری، بروز رفتار توده‌وار را پیش‌بینی کرده‌اند (بهدیو و همکاران، ۱۳۹۸)؛ در بافت خارجی نیز نقش اضطراب در تصمیم‌های مالی (چارلز و کاسیلینگام، ۲۰۲۲) و تأثیر اضطراب مالی بر کاهش نگهداری دارایی‌های پرریسک (آن و همکاران، ۲۰۲۱) تأیید شده و عوامل اضطرابی، هم فرایند تصمیم‌گیری و هم ظرفیت تحمل ریسک را مختل ساخته‌اند (سافیتری و همکاران</w:t>
      </w:r>
      <w:r>
        <w:rPr>
          <w:rFonts w:ascii="B Nazanin" w:hAnsi="B Nazanin" w:cs="B Nazanin" w:hint="cs"/>
          <w:vertAlign w:val="superscript"/>
          <w:rtl/>
        </w:rPr>
        <w:footnoteReference w:id="109"/>
      </w:r>
      <w:r>
        <w:rPr>
          <w:rFonts w:ascii="B Nazanin" w:hAnsi="B Nazanin" w:cs="B Nazanin" w:hint="cs"/>
          <w:sz w:val="24"/>
          <w:szCs w:val="24"/>
          <w:rtl/>
          <w:lang w:bidi="fa-IR"/>
        </w:rPr>
        <w:t xml:space="preserve">، ۲۰۲۵). در رشته دوم، طرحواره‌های ناسازگار اولیه با رفتارهای تکانشی و اعتیادگونه مرتبط بوده‌اند؛ به‌گونه‌ای که حوزه‌های محدودیت‌های مختل و بریدگی و طرد، گرایش به اعتیاد را پیش‌بینی کرده‌اند (امیدی و همکاران، ۱۳۹۲)، شدت این طرحواره‌ها در قماربازان آسیب‌شناختی بیشتر بوده است (لیندبرگ و همکاران، ۲۰۱۱) و مرور نظام‌مند شواهد نیز پیوند آن‌ها را با اعتیادهای رفتاری تأیید کرده است (ویرا و همکاران، ۲۰۲۳).</w:t>
      </w:r>
    </w:p>
    <w:p>
      <w:pPr>
        <w:bidi w:val="1"/>
        <w:spacing w:lineRule="exact" w:line="580" w:after="0"/>
        <w:jc w:val="both"/>
      </w:pPr>
      <w:r>
        <w:rPr>
          <w:rFonts w:ascii="B Nazanin" w:hAnsi="B Nazanin" w:cs="B Nazanin" w:hint="cs"/>
          <w:sz w:val="24"/>
          <w:szCs w:val="24"/>
          <w:rtl/>
          <w:lang w:bidi="fa-IR"/>
        </w:rPr>
        <w:t xml:space="preserve">با وجود این شواهد، ادبیات موجود از چند ناهمسانی و محدودیت مهم رنج می‌برد. نخست، جهت رابطه اضطراب با رفتار پرخطر یکسان نیست: در مقابل شواهد ریسک‌گریزی، مانند کاهش سهم دارایی‌های پرریسک در افراد مضطرب (آن و همکاران، ۲۰۲۱)، شواهدی نیز از واکنش‌های پرخطر گزارش شده است؛ از جمله معامله‌گری برای فرار از پریشانی هیجانی که از مؤلفه‌های اختلال معامله‌گری شناسایی شده است (گرال-برونک و همکاران، ۲۰۲۵). دوم، بخش قابل‌توجهی از مطالعات به‌جای معامله‌گران واقعی، بر نمونه‌های دانشجویی (نوری و هاشمیان، ۱۳۹۶؛ امیدی و همکاران، ۱۳۹۲؛ اولولو و همکاران</w:t>
      </w:r>
      <w:r>
        <w:rPr>
          <w:rFonts w:ascii="B Nazanin" w:hAnsi="B Nazanin" w:cs="B Nazanin" w:hint="cs"/>
          <w:vertAlign w:val="superscript"/>
          <w:rtl/>
        </w:rPr>
        <w:footnoteReference w:id="110"/>
      </w:r>
      <w:r>
        <w:rPr>
          <w:rFonts w:ascii="B Nazanin" w:hAnsi="B Nazanin" w:cs="B Nazanin" w:hint="cs"/>
          <w:sz w:val="24"/>
          <w:szCs w:val="24"/>
          <w:rtl/>
          <w:lang w:bidi="fa-IR"/>
        </w:rPr>
        <w:t xml:space="preserve">، ۲۰۲۴)، سرمایه‌گذاران عمومی یا نمونه‌های بالینی (هالورسن و همکاران، ۲۰۰۹؛ لیندبرگ و همکاران، ۲۰۱۱) متکی بوده‌اند و پژوهش‌های انجام‌شده بر معامله‌گران حرفه‌ای معدودند (فنتون-اکریوی و همکاران، ۲۰۱۲؛ لو و رپین، ۲۰۰۲). سوم، مدل‌های میانجی به‌ندرت آزمون شده‌اند؛ تنها در یک مطالعه، تحمل ریسک به‌عنوان میانجی میان عوامل اجتماعی-روانی و تصمیم‌گیری سرمایه‌گذاری بررسی شده است (سافیتری و همکاران، ۲۰۲۵) و جای خالی مدل‌هایی که مکانیسم شناختی عمیق‌تری را آزمون کنند، احساس می‌شود.</w:t>
      </w:r>
    </w:p>
    <w:p>
      <w:pPr>
        <w:bidi w:val="1"/>
        <w:spacing w:lineRule="exact" w:line="580" w:after="0"/>
        <w:jc w:val="both"/>
      </w:pPr>
      <w:r>
        <w:rPr>
          <w:rFonts w:ascii="B Nazanin" w:hAnsi="B Nazanin" w:cs="B Nazanin" w:hint="cs"/>
          <w:sz w:val="24"/>
          <w:szCs w:val="24"/>
          <w:rtl/>
          <w:lang w:bidi="fa-IR"/>
        </w:rPr>
        <w:t xml:space="preserve">برآیند این بررسی، شکاف پژوهشی  مشخصی را نمایان می‌سازد: بر اساس مرور انجام‌شده، پژوهشی که در آن رابطه اضطراب صفتی با رفتارهای مالی پرخطر از مسیر میانجی‌گری طرحواره‌های ناسازگار اولیه و در جامعه معامله‌گران ایرانی به‌طور هم‌زمان آزمون شده باشد، یافت نشد. پژوهش حاضر در پی پر کردن این شکاف است؛ به این صورت که سه متغیر اصلی را در یک مدل میانجی یکپارچه و بر روی نمونه‌ای از معامله‌گران بازارهای مالی می‌آزماید و از این رهگذر، هم به ابهام موجود درباره جهت رابطه اضطراب و ریسک‌پذیری پاسخ می‌دهد و هم مکانیسم شناختی تبدیل تنش هیجانی به رفتار مالی پرخطر را تبیین می‌کند. از سوی دیگر، تمرکز بر سازوکار میانجی امکان طراحی مداخله‌های هدفمندتر را فراهم می‌آورد؛ زیرا نقطه اثرگذاری بالینی را از مدیریت صرف اضطراب به سطح باورهای بنیادین منتقل می‌سازد. بر این اساس، نتایج این آزمون، مبنای بحث درباره تعمیم‌پذیری یافته‌ها و کاربردهای بالینی آن‌ها در فصل‌های آتی قرار خواهد گرفت.</w:t>
      </w:r>
    </w:p>
    <w:p>
      <w:pPr>
        <w:pStyle w:val="Heading2"/>
        <w:bidi w:val="1"/>
        <w:jc w:val="right"/>
        <w:outlineLvl w:val="1"/>
      </w:pPr>
      <w:r>
        <w:rPr>
          <w:rFonts w:ascii="B Nazanin" w:hAnsi="B Nazanin" w:cs="B Nazanin" w:hint="cs"/>
          <w:b/>
          <w:bCs/>
          <w:sz w:val="28"/>
          <w:szCs w:val="28"/>
          <w:rtl/>
          <w:lang w:bidi="fa-IR"/>
        </w:rPr>
        <w:t xml:space="preserve">۲-۴ مدل مفهومی و چارچوب نهایی پژوهش</w:t>
      </w:r>
    </w:p>
    <w:p>
      <w:pPr>
        <w:bidi w:val="1"/>
        <w:spacing w:lineRule="exact" w:line="580" w:after="0"/>
        <w:jc w:val="both"/>
      </w:pPr>
      <w:r>
        <w:rPr>
          <w:rFonts w:ascii="B Nazanin" w:hAnsi="B Nazanin" w:cs="B Nazanin" w:hint="cs"/>
          <w:sz w:val="24"/>
          <w:szCs w:val="24"/>
          <w:rtl/>
          <w:lang w:bidi="fa-IR"/>
        </w:rPr>
        <w:t xml:space="preserve">بر پایه مبانی نظری و پیشینه پژوهشی مرورشده در این فصل، مدل مفهومی پژوهش حاضر از سه متغیر اصلی تشکیل شده است که جایگاه هر یک در ساختار مدل و ابزار سنجش آن به‌طور مشخص تعریف می‌شود. اضطراب صفتی به‌عنوان متغیر مستقل، نقطه آغاز مدل است و با فرم اضطراب صفتی پرسشنامه اضطراب حالت-صفت اسپیلبرگر سنجیده می‌شود. طرحواره‌های ناسازگار اولیه به‌عنوان متغیر میانجی، مکانیسم انتقال اثر اضطراب به رفتار مالی را بازنمایی می‌کنند و با پرسشنامه طرحواره یانگ — فرم کوتاه ارزیابی می‌گردند. رفتارهای مالی پرخطر نیز به‌عنوان متغیر وابسته، در قالب سازه تحمل ریسک مالی و با مقیاس سیزده‌سؤالی گرابل و لایتون اندازه‌گیری می‌شود؛ به‌گونه‌ای که نمرات بالاتر، نشان‌دهنده تمایل بیشتر به پذیرش ریسک و در نتیجه بروز بیشتر رفتارهای مالی پرخطر است. انتخاب این سه سازه و ابزارهای سنجش آن‌ها، برآیند مستقیم تحلیل نظری فصل حاضر است و در عین حال با تعاریف عملیاتی مندرج در فصل اول پایان‌نامه هم‌خوانی کامل دارد.</w:t>
      </w:r>
    </w:p>
    <w:tbl>
      <w:tblPr>
        <w:tblStyle w:val="TableGrid"/>
        <w:tblW w:type="auto" w:w="0"/>
        <w:tblLook w:firstColumn="1" w:firstRow="1" w:lastColumn="0" w:lastRow="0" w:noHBand="0" w:noVBand="1" w:val="04A0"/>
        <w:bidiVisual/>
      </w:tblPr>
      <w:tblGrid>
        <w:gridCol w:w="2740"/>
        <w:gridCol w:w="2740"/>
        <w:gridCol w:w="2740"/>
      </w:tblGrid>
      <w:tr>
        <w:tc>
          <w:tcPr>
            <w:tcW w:type="dxa" w:w="2740"/>
          </w:tcPr>
          <w:p>
            <w:pPr>
              <w:bidi w:val="1"/>
              <w:jc w:val="center"/>
            </w:pPr>
            <w:r/>
            <w:r>
              <w:rPr>
                <w:rFonts w:ascii="B Nazanin" w:hAnsi="B Nazanin" w:cs="B Nazanin" w:hint="cs"/>
                <w:b/>
                <w:bCs/>
                <w:sz w:val="22"/>
                <w:szCs w:val="22"/>
                <w:rtl/>
                <w:lang w:bidi="fa-IR"/>
              </w:rPr>
              <w:t xml:space="preserve">اضطراب صفتی (متغیر مستقل)</w:t>
            </w:r>
          </w:p>
        </w:tc>
        <w:tc>
          <w:tcPr>
            <w:tcW w:type="dxa" w:w="2740"/>
          </w:tcPr>
          <w:p>
            <w:pPr>
              <w:bidi w:val="1"/>
              <w:jc w:val="center"/>
            </w:pPr>
            <w:r/>
            <w:r>
              <w:rPr>
                <w:rFonts w:ascii="B Nazanin" w:hAnsi="B Nazanin" w:cs="B Nazanin" w:hint="cs"/>
                <w:b/>
                <w:bCs/>
                <w:sz w:val="22"/>
                <w:szCs w:val="22"/>
                <w:rtl/>
                <w:lang w:bidi="fa-IR"/>
              </w:rPr>
              <w:t xml:space="preserve">طرحواره‌های ناسازگار اولیه (متغیر میانجی)</w:t>
            </w:r>
          </w:p>
        </w:tc>
        <w:tc>
          <w:tcPr>
            <w:tcW w:type="dxa" w:w="2740"/>
          </w:tcPr>
          <w:p>
            <w:pPr>
              <w:bidi w:val="1"/>
              <w:jc w:val="center"/>
            </w:pPr>
            <w:r/>
            <w:r>
              <w:rPr>
                <w:rFonts w:ascii="B Nazanin" w:hAnsi="B Nazanin" w:cs="B Nazanin" w:hint="cs"/>
                <w:b/>
                <w:bCs/>
                <w:sz w:val="22"/>
                <w:szCs w:val="22"/>
                <w:rtl/>
                <w:lang w:bidi="fa-IR"/>
              </w:rPr>
              <w:t xml:space="preserve">رفتارهای مالی پرخطر (متغیر وابسته)</w:t>
            </w:r>
          </w:p>
        </w:tc>
      </w:tr>
      <w:tr>
        <w:tc>
          <w:tcPr>
            <w:tcW w:type="dxa" w:w="2740"/>
          </w:tcPr>
          <w:p>
            <w:pPr>
              <w:bidi w:val="1"/>
              <w:jc w:val="center"/>
            </w:pPr>
            <w:r/>
            <w:r>
              <w:rPr>
                <w:rFonts w:ascii="B Nazanin" w:hAnsi="B Nazanin" w:cs="B Nazanin" w:hint="cs"/>
                <w:sz w:val="22"/>
                <w:szCs w:val="22"/>
                <w:rtl/>
                <w:lang w:bidi="fa-IR"/>
              </w:rPr>
              <w:t xml:space="preserve">مسیر</w:t>
            </w:r>
            <w:r>
              <w:rPr>
                <w:rFonts w:ascii="Times New Roman" w:hAnsi="Times New Roman" w:cs="Times New Roman"/>
                <w:sz w:val="20"/>
                <w:szCs w:val="20"/>
                <w:lang w:val="en-US"/>
              </w:rPr>
              <w:t xml:space="preserve"> a</w:t>
            </w:r>
          </w:p>
        </w:tc>
        <w:tc>
          <w:tcPr>
            <w:tcW w:type="dxa" w:w="2740"/>
          </w:tcPr>
          <w:p>
            <w:pPr>
              <w:bidi w:val="1"/>
              <w:jc w:val="center"/>
            </w:pPr>
            <w:r/>
            <w:r>
              <w:rPr>
                <w:rFonts w:ascii="B Nazanin" w:hAnsi="B Nazanin" w:cs="B Nazanin" w:hint="cs"/>
                <w:sz w:val="22"/>
                <w:szCs w:val="22"/>
                <w:rtl/>
                <w:lang w:bidi="fa-IR"/>
              </w:rPr>
              <w:t xml:space="preserve">مسیر غیرمستقیم</w:t>
            </w:r>
            <w:r>
              <w:rPr>
                <w:rFonts w:ascii="Times New Roman" w:hAnsi="Times New Roman" w:cs="Times New Roman"/>
                <w:sz w:val="20"/>
                <w:szCs w:val="20"/>
                <w:lang w:val="en-US"/>
              </w:rPr>
              <w:t xml:space="preserve"> (a×b)</w:t>
            </w:r>
          </w:p>
        </w:tc>
        <w:tc>
          <w:tcPr>
            <w:tcW w:type="dxa" w:w="2740"/>
          </w:tcPr>
          <w:p>
            <w:pPr>
              <w:bidi w:val="1"/>
              <w:jc w:val="center"/>
            </w:pPr>
            <w:r/>
            <w:r>
              <w:rPr>
                <w:rFonts w:ascii="B Nazanin" w:hAnsi="B Nazanin" w:cs="B Nazanin" w:hint="cs"/>
                <w:sz w:val="22"/>
                <w:szCs w:val="22"/>
                <w:rtl/>
                <w:lang w:bidi="fa-IR"/>
              </w:rPr>
              <w:t xml:space="preserve">مسیر</w:t>
            </w:r>
            <w:r>
              <w:rPr>
                <w:rFonts w:ascii="Times New Roman" w:hAnsi="Times New Roman" w:cs="Times New Roman"/>
                <w:sz w:val="20"/>
                <w:szCs w:val="20"/>
                <w:lang w:val="en-US"/>
              </w:rPr>
              <w:t xml:space="preserve"> b</w:t>
            </w:r>
          </w:p>
        </w:tc>
      </w:tr>
    </w:tbl>
    <w:p>
      <w:pPr>
        <w:bidi w:val="1"/>
        <w:spacing w:lineRule="exact" w:line="580" w:before="60" w:after="120"/>
        <w:jc w:val="center"/>
      </w:pPr>
      <w:r>
        <w:rPr>
          <w:rFonts w:ascii="B Nazanin" w:hAnsi="B Nazanin" w:cs="B Nazanin" w:hint="cs"/>
          <w:b/>
          <w:bCs/>
          <w:sz w:val="24"/>
          <w:szCs w:val="24"/>
          <w:rtl/>
          <w:lang w:bidi="fa-IR"/>
        </w:rPr>
        <w:t xml:space="preserve">شکل ۲-۱. مدل مفهومی پژوهش</w:t>
      </w:r>
    </w:p>
    <w:p>
      <w:pPr>
        <w:bidi/>
      </w:pPr>
      <w:r>
        <w:rPr>
          <w:vanish/>
          <w:rFonts w:ascii="B Nazanin" w:hAnsi="B Nazanin"/>
        </w:rPr>
        <w:fldChar w:fldCharType="begin"/>
      </w:r>
      <w:r>
        <w:rPr>
          <w:vanish/>
          <w:rFonts w:ascii="B Nazanin" w:hAnsi="B Nazanin"/>
        </w:rPr>
        <w:instrText>TC "شکل ۲-۱. مدل مفهومی پژوهش" \f F \l 1</w:instrText>
      </w:r>
      <w:r>
        <w:rPr>
          <w:vanish/>
          <w:rFonts w:ascii="B Nazanin" w:hAnsi="B Nazanin"/>
        </w:rPr>
        <w:fldChar w:fldCharType="end"/>
      </w:r>
    </w:p>
    <w:p>
      <w:pPr>
        <w:bidi w:val="1"/>
        <w:spacing w:lineRule="exact" w:line="580" w:after="0"/>
        <w:jc w:val="both"/>
      </w:pPr>
      <w:r>
        <w:rPr>
          <w:rFonts w:ascii="B Nazanin" w:hAnsi="B Nazanin" w:cs="B Nazanin" w:hint="cs"/>
          <w:sz w:val="24"/>
          <w:szCs w:val="24"/>
          <w:rtl/>
          <w:lang w:bidi="fa-IR"/>
        </w:rPr>
        <w:t xml:space="preserve">مسیرهای این مدل به شرح زیر تعریف می‌شوند:</w:t>
      </w:r>
    </w:p>
    <w:p>
      <w:pPr>
        <w:bidi w:val="1"/>
        <w:spacing w:lineRule="exact" w:line="580" w:after="0"/>
        <w:ind w:right="425"/>
        <w:jc w:val="both"/>
      </w:pPr>
      <w:r>
        <w:rPr>
          <w:rFonts w:ascii="B Nazanin" w:hAnsi="B Nazanin" w:cs="B Nazanin" w:hint="cs"/>
          <w:sz w:val="24"/>
          <w:szCs w:val="24"/>
          <w:rtl/>
          <w:lang w:bidi="fa-IR"/>
        </w:rPr>
        <w:t xml:space="preserve">• مسیر مستقیم: اضطراب صفتی ← رفتارهای مالی پرخطر</w:t>
      </w:r>
    </w:p>
    <w:p>
      <w:pPr>
        <w:bidi w:val="1"/>
        <w:spacing w:lineRule="exact" w:line="580" w:after="0"/>
        <w:ind w:right="425"/>
        <w:jc w:val="both"/>
      </w:pPr>
      <w:r>
        <w:rPr>
          <w:rFonts w:ascii="B Nazanin" w:hAnsi="B Nazanin" w:cs="B Nazanin" w:hint="cs"/>
          <w:sz w:val="24"/>
          <w:szCs w:val="24"/>
          <w:rtl/>
          <w:lang w:bidi="fa-IR"/>
        </w:rPr>
        <w:t xml:space="preserve">•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اضطراب صفتی ← طرحواره‌های ناسازگار اولیه</w:t>
      </w:r>
    </w:p>
    <w:p>
      <w:pPr>
        <w:bidi w:val="1"/>
        <w:spacing w:lineRule="exact" w:line="580" w:after="0"/>
        <w:ind w:right="425"/>
        <w:jc w:val="both"/>
      </w:pPr>
      <w:r>
        <w:rPr>
          <w:rFonts w:ascii="B Nazanin" w:hAnsi="B Nazanin" w:cs="B Nazanin" w:hint="cs"/>
          <w:sz w:val="24"/>
          <w:szCs w:val="24"/>
          <w:rtl/>
          <w:lang w:bidi="fa-IR"/>
        </w:rPr>
        <w:t xml:space="preserve">•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طرحواره‌های ناسازگار اولیه ← رفتارهای مالی پرخطر</w:t>
      </w:r>
    </w:p>
    <w:p>
      <w:pPr>
        <w:bidi w:val="1"/>
        <w:spacing w:lineRule="exact" w:line="580" w:after="0"/>
        <w:ind w:right="425"/>
        <w:jc w:val="both"/>
      </w:pPr>
      <w:r>
        <w:rPr>
          <w:rFonts w:ascii="B Nazanin" w:hAnsi="B Nazanin" w:cs="B Nazanin" w:hint="cs"/>
          <w:sz w:val="24"/>
          <w:szCs w:val="24"/>
          <w:rtl/>
          <w:lang w:bidi="fa-IR"/>
        </w:rPr>
        <w:t xml:space="preserve">• مسیر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اثر میانجی طرحواره‌ها در انتقال اثر اضطراب صفتی به رفتارهای مالی پرخطر</w:t>
      </w:r>
    </w:p>
    <w:p>
      <w:pPr>
        <w:bidi w:val="1"/>
        <w:spacing w:lineRule="exact" w:line="580" w:after="0"/>
        <w:jc w:val="both"/>
      </w:pPr>
      <w:r>
        <w:rPr>
          <w:rFonts w:ascii="B Nazanin" w:hAnsi="B Nazanin" w:cs="B Nazanin" w:hint="cs"/>
          <w:sz w:val="24"/>
          <w:szCs w:val="24"/>
          <w:rtl/>
          <w:lang w:bidi="fa-IR"/>
        </w:rPr>
        <w:t xml:space="preserve">فرضیه‌های پژوهش دقیقاً بر همین ساختار مسیرها استوارند و هر فرضیه به مسیر متناظر خود در مدل ارجاع می‌شود. بر این اساس، فرضیه فرعی دوم مقرر می‌دارد که «بین اضطراب صفتی و رفتارهای مالی پرخطر، رابطه مثبت و معناداری وجود دارد» و ناظر به مسیر مستقیم مدل است. فرضیه فرعی سوم بیان می‌کند که «بین اضطراب صفتی و طرحواره‌های ناسازگار اولیه، رابطه مثبت و معناداری وجود دارد» و 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را آزمون می‌کند. فرضیه فرعی چهارم نیز مقرر می‌دارد که «بین طرحواره‌های ناسازگار اولیه و رفتارهای مالی پرخطر، رابطه مثبت و معناداری وجود دارد» و با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متناظر است. در نهایت، فرضیه اصلی پژوهش تصریح می‌کند که «طرحواره‌های ناسازگار اولیه در رابطه بین اضطراب صفتی و رفتارهای مالی پرخطر، نقش میانجی‌گر معناداری دارند»؛ این فرضیه به‌طور مشخص بر معناداری مسیر غیرمستقیم</w:t>
      </w:r>
      <w:r>
        <w:rPr>
          <w:rFonts w:ascii="Times New Roman" w:hAnsi="Times New Roman" w:cs="Times New Roman"/>
          <w:sz w:val="22"/>
          <w:szCs w:val="22"/>
          <w:lang w:val="en-US"/>
        </w:rPr>
        <w:t xml:space="preserve"> (a×b) </w:t>
      </w:r>
      <w:r>
        <w:rPr>
          <w:rFonts w:ascii="B Nazanin" w:hAnsi="B Nazanin" w:cs="B Nazanin" w:hint="cs"/>
          <w:sz w:val="24"/>
          <w:szCs w:val="24"/>
          <w:rtl/>
          <w:lang w:bidi="fa-IR"/>
        </w:rPr>
        <w:t xml:space="preserve">دلالت دارد و آزمون آن، هسته تحلیلی پژوهش حاضر را تشکیل می‌دهد.</w:t>
      </w:r>
    </w:p>
    <w:p>
      <w:pPr>
        <w:bidi w:val="1"/>
        <w:spacing w:lineRule="exact" w:line="580" w:after="0"/>
        <w:jc w:val="both"/>
      </w:pPr>
      <w:r>
        <w:rPr>
          <w:rFonts w:ascii="B Nazanin" w:hAnsi="B Nazanin" w:cs="B Nazanin" w:hint="cs"/>
          <w:sz w:val="24"/>
          <w:szCs w:val="24"/>
          <w:rtl/>
          <w:lang w:bidi="fa-IR"/>
        </w:rPr>
        <w:t xml:space="preserve">مهم‌ترین ویژگی این مدل مفهومی، یکپارچه‌سازی سه سطح تحلیل در یک چارچوب واحد است. این سه سطح عبارت‌اند از سطح هیجانی با سازه اضطراب صفتی، سطح شناختی عمیق با سازه طرحواره‌های ناسازگار اولیه، و سطح رفتار عینی با سازه رفتارهای مالی پرخطر. این یکپارچگی امکان آن را فراهم می‌آورد که پژوهش حاضر از توصیف صرف روابط دوجانبه فراتر رفته و به پرسش مکانیسمی پاسخ دهد؛ پرسشی که می‌پرسد اضطراب از چه مسیری به رفتار مالی پرخطر تبدیل می‌شود. در عین حال، این مدل با تکیه بر ابزارهای استاندارد و اعتباریابی‌شده، امکان آزمون کمّی دقیق فرضیه‌ها را در چارچوب روش‌های تحلیل چندمتغیری فراهم می‌سازد و چارچوبی روشن برای تفسیر یافته‌ها در فصل‌های بعدی ارائه می‌دهد. شایان ذکر است که ساختار تک‌میانجی این مدل، سادگی تحلیلی لازم برای آزمون در حجم نمونه پیش‌بینی‌شده را حفظ می‌کند و در صورت تأیید، می‌تواند در پژوهش‌های آتی با افزودن میانجی‌ها یا متغیرهای تعدیل‌گر بیشتر گسترش یابد.</w:t>
      </w:r>
    </w:p>
    <w:p>
      <w:pPr>
        <w:bidi w:val="1"/>
        <w:spacing w:lineRule="exact" w:line="580" w:after="0"/>
        <w:jc w:val="both"/>
      </w:pPr>
      <w:r>
        <w:rPr>
          <w:rFonts w:ascii="B Nazanin" w:hAnsi="B Nazanin" w:cs="B Nazanin" w:hint="cs"/>
          <w:sz w:val="24"/>
          <w:szCs w:val="24"/>
          <w:rtl/>
          <w:lang w:bidi="fa-IR"/>
        </w:rPr>
        <w:t xml:space="preserve">با تکمیل مبانی نظری، پیشینه پژوهشی و مدل مفهومی در این فصل، زمینه ورود به مرحله عملیاتی پژوهش فراهم می‌شود. در فصل سوم، روش پژوهش شامل طرح مطالعه، جامعه و نمونه، ابزارهای اندازه‌گیری و روش تحلیل داده‌ها برای آزمون فرضیه‌های مدل مفهومی به تفصیل ارائه خواهد شد. تا چارچوب مفهومی این فصل به برنامه‌ای اجرایی و قابل آزمون تبدیل شود.</w:t>
      </w:r>
    </w:p>
    <w:p>
      <w:pPr>
        <w:sectPr>
          <w:footerReference w:type="default" r:id="rId18"/>
          <w:pgNumType w:fmt="hindi"/>
          <w:titlePg/>
        </w:sectPr>
      </w:pPr>
    </w:p>
    <w:p>
      <w:pPr>
        <w:bidi w:val="1"/>
        <w:spacing w:lineRule="exact" w:line="580" w:before="480" w:after="180"/>
        <w:jc w:val="center"/>
        <w:outlineLvl w:val="0"/>
        <w:outlineLvl w:val="0"/>
      </w:pPr>
      <w:r>
        <w:rPr>
          <w:rFonts w:ascii="B Nazanin" w:hAnsi="B Nazanin" w:cs="B Nazanin" w:hint="cs"/>
          <w:b/>
          <w:bCs/>
          <w:sz w:val="56"/>
          <w:szCs w:val="56"/>
          <w:rtl/>
          <w:lang w:bidi="fa-IR"/>
        </w:rPr>
        <w:t xml:space="preserve">فصل سوم</w:t>
      </w:r>
    </w:p>
    <w:p>
      <w:pPr>
        <w:bidi w:val="1"/>
        <w:spacing w:lineRule="exact" w:line="580" w:before="120" w:after="480"/>
        <w:jc w:val="center"/>
      </w:pPr>
      <w:r>
        <w:rPr>
          <w:rFonts w:ascii="B Nazanin" w:hAnsi="B Nazanin" w:cs="B Nazanin" w:hint="cs"/>
          <w:b/>
          <w:bCs/>
          <w:sz w:val="52"/>
          <w:szCs w:val="52"/>
          <w:rtl/>
          <w:lang w:bidi="fa-IR"/>
        </w:rPr>
        <w:t xml:space="preserve">روش‌شناسی پژوهش</w:t>
      </w:r>
    </w:p>
    <w:p>
      <w:pPr>
        <w:pStyle w:val="Heading2"/>
        <w:bidi w:val="1"/>
        <w:jc w:val="right"/>
        <w:outlineLvl w:val="1"/>
      </w:pPr>
      <w:r>
        <w:rPr>
          <w:rFonts w:ascii="B Nazanin" w:hAnsi="B Nazanin" w:cs="B Nazanin" w:hint="cs"/>
          <w:b/>
          <w:bCs/>
          <w:sz w:val="28"/>
          <w:szCs w:val="28"/>
          <w:rtl/>
          <w:lang w:bidi="fa-IR"/>
        </w:rPr>
        <w:t xml:space="preserve">۳-۱. مقدمه</w:t>
      </w:r>
    </w:p>
    <w:p>
      <w:pPr>
        <w:bidi w:val="1"/>
        <w:spacing w:lineRule="exact" w:line="580" w:after="0"/>
        <w:jc w:val="both"/>
      </w:pPr>
      <w:r>
        <w:rPr>
          <w:rFonts w:ascii="B Nazanin" w:hAnsi="B Nazanin" w:cs="B Nazanin" w:hint="cs"/>
          <w:sz w:val="24"/>
          <w:szCs w:val="24"/>
          <w:rtl/>
          <w:lang w:bidi="fa-IR"/>
        </w:rPr>
        <w:t xml:space="preserve">فصل سوم به تشریح دقیق روش پژوهش اختصاص دارد؛ روشی که برای آزمون فرضیه‌های پژوهش تدوین شده و در همه مراحل اجرا مبنای عمل خواهد بود. در پژوهش‌های همبستگی، به‌ویژه هنگامی که داده‌ها در بافت طبیعی و بدون کنترل آزمایشگاهی گردآوری می‌شوند، شفافیت روش‌شناختی اهمیت مضاعفی می‌یابد؛ زیرا اعتبار نتیجه‌گیری‌ها بیش از آنکه به حجم داده‌ها وابسته باشد، به وضوح و از پیش تعیین‌شدگی مسیر گردآوری و تحلیل آن‌ها وابسته است. بر این اساس، در این فصل نخست طرح پژوهش (بخش ۳-۲) معرفی می‌شود و پس از آن، جامعه آماری، نمونه و روش نمونه‌گیری (بخش ۳-۳) و ابزارهای اندازه‌گیری (بخش ۳-۴) ارائه خواهند شد. ادامه فصل نیز به روش اجرای پژوهش (بخش ۳-۵)، روش تحلیل داده‌ها (بخش ۳-۶) و ملاحظات اخلاقی (بخش ۳-۷) اختصاص دارد. آنچه در ادامه این بخش از فصل می‌آید، چهار بخش نخست را در بر می‌گیرد و بخش‌های بعدی در ادامه تدوین فصل تکمیل خواهند شد.</w:t>
      </w:r>
    </w:p>
    <w:p>
      <w:pPr>
        <w:pStyle w:val="Heading2"/>
        <w:bidi w:val="1"/>
        <w:jc w:val="right"/>
        <w:outlineLvl w:val="1"/>
      </w:pPr>
      <w:r>
        <w:rPr>
          <w:rFonts w:ascii="B Nazanin" w:hAnsi="B Nazanin" w:cs="B Nazanin" w:hint="cs"/>
          <w:b/>
          <w:bCs/>
          <w:sz w:val="28"/>
          <w:szCs w:val="28"/>
          <w:rtl/>
          <w:lang w:bidi="fa-IR"/>
        </w:rPr>
        <w:t xml:space="preserve">۳-۲. طرح پژوهش</w:t>
      </w:r>
    </w:p>
    <w:p>
      <w:pPr>
        <w:bidi w:val="1"/>
        <w:spacing w:lineRule="exact" w:line="580" w:after="0"/>
        <w:jc w:val="both"/>
      </w:pPr>
      <w:r>
        <w:rPr>
          <w:rFonts w:ascii="B Nazanin" w:hAnsi="B Nazanin" w:cs="B Nazanin" w:hint="cs"/>
          <w:sz w:val="24"/>
          <w:szCs w:val="24"/>
          <w:rtl/>
          <w:lang w:bidi="fa-IR"/>
        </w:rPr>
        <w:t xml:space="preserve">پژوهش حاضر از نظر هدف، در زمره پژوهش‌های کاربردی</w:t>
      </w:r>
      <w:r>
        <w:rPr>
          <w:rFonts w:ascii="B Nazanin" w:hAnsi="B Nazanin" w:cs="B Nazanin" w:hint="cs"/>
          <w:vertAlign w:val="superscript"/>
          <w:rtl/>
        </w:rPr>
        <w:footnoteReference w:id="37"/>
      </w:r>
      <w:r>
        <w:rPr>
          <w:rFonts w:ascii="B Nazanin" w:hAnsi="B Nazanin" w:cs="B Nazanin" w:hint="cs"/>
          <w:sz w:val="24"/>
          <w:szCs w:val="24"/>
          <w:rtl/>
          <w:lang w:bidi="fa-IR"/>
        </w:rPr>
        <w:t xml:space="preserve"> قرار می‌گیرد؛ زیرا در پی تولید دانشی است که نتایج آن به طور مستقیم در طراحی ابزارهای غربالگری روانشناختی، تدوین پروتکل‌های درمانی کوتاه‌مدت و برنامه‌های آموزشی ویژه معامله‌گران بازارهای مالی به کار گرفته می‌شود. در واقع، خروجی این پژوهش صرفاً توصیف یک وضعیت نیست، بلکه مبنایی عملیاتی برای مداخله در یکی از مسائل ملموس سلامت روان در بازارهای مالی فراهم می‌آورد.</w:t>
      </w:r>
    </w:p>
    <w:p>
      <w:pPr>
        <w:bidi w:val="1"/>
        <w:spacing w:lineRule="exact" w:line="580" w:after="0"/>
        <w:jc w:val="both"/>
      </w:pPr>
      <w:r>
        <w:rPr>
          <w:rFonts w:ascii="B Nazanin" w:hAnsi="B Nazanin" w:cs="B Nazanin" w:hint="cs"/>
          <w:sz w:val="24"/>
          <w:szCs w:val="24"/>
          <w:rtl/>
          <w:lang w:bidi="fa-IR"/>
        </w:rPr>
        <w:t xml:space="preserve">از نظر روش گردآوری داده‌ها، این پژوهش توصیفی-همبستگی</w:t>
      </w:r>
      <w:r>
        <w:rPr>
          <w:rFonts w:ascii="B Nazanin" w:hAnsi="B Nazanin" w:cs="B Nazanin" w:hint="cs"/>
          <w:vertAlign w:val="superscript"/>
          <w:rtl/>
        </w:rPr>
        <w:footnoteReference w:id="38"/>
      </w:r>
      <w:r>
        <w:rPr>
          <w:rFonts w:ascii="B Nazanin" w:hAnsi="B Nazanin" w:cs="B Nazanin" w:hint="cs"/>
          <w:sz w:val="24"/>
          <w:szCs w:val="24"/>
          <w:rtl/>
          <w:lang w:bidi="fa-IR"/>
        </w:rPr>
        <w:t xml:space="preserve"> است. توصیفی بودن طرح از آن رو است که متغیرهای پژوهش — اضطراب صفتی، طرحواره‌های ناسازگار اولیه و رفتارهای مالی پرخطر — بدون هیچ‌گونه دستکاری آزمایشگاهی و در وضعیت طبیعی خود اندازه‌گیری می‌شوند؛ و همبستگی بودن آن به این دلیل است که هدف اصلی، بررسی نظام‌مند روابط میان این متغیرها در یک بافت واقعی است. این طرح با ماهیت پرسش‌محور و غیرمداخله‌ای پژوهش سازگار است و امکان گردآوری داده‌ها را از طیف گسترده‌ای از معامله‌گران در بازارهای مختلف فراهم می‌آورد.</w:t>
      </w:r>
    </w:p>
    <w:p>
      <w:pPr>
        <w:bidi w:val="1"/>
        <w:spacing w:lineRule="exact" w:line="580" w:after="0"/>
        <w:jc w:val="both"/>
      </w:pPr>
      <w:r>
        <w:rPr>
          <w:rFonts w:ascii="B Nazanin" w:hAnsi="B Nazanin" w:cs="B Nazanin" w:hint="cs"/>
          <w:sz w:val="24"/>
          <w:szCs w:val="24"/>
          <w:rtl/>
          <w:lang w:bidi="fa-IR"/>
        </w:rPr>
        <w:t xml:space="preserve">مهم‌تر آنکه، مدل تحلیلی پژوهش از نوع مدل میانجی‌گری</w:t>
      </w:r>
      <w:r>
        <w:rPr>
          <w:rFonts w:ascii="B Nazanin" w:hAnsi="B Nazanin" w:cs="B Nazanin" w:hint="cs"/>
          <w:vertAlign w:val="superscript"/>
          <w:rtl/>
        </w:rPr>
        <w:footnoteReference w:id="39"/>
      </w:r>
      <w:r>
        <w:rPr>
          <w:rFonts w:ascii="B Nazanin" w:hAnsi="B Nazanin" w:cs="B Nazanin" w:hint="cs"/>
          <w:sz w:val="24"/>
          <w:szCs w:val="24"/>
          <w:rtl/>
          <w:lang w:bidi="fa-IR"/>
        </w:rPr>
        <w:t xml:space="preserve"> است. از آنجا که پرسش بنیادین پژوهش حاضر نه صرفاً وجود رابطه میان اضطراب صفتی و رفتارهای مالی پرخطر، بلکه چگونگی تبدیل یک ویژگی شخصیتی پایدار به رفتار مالی عینی است، طرح همبستگی ساده برای پاسخ به آن کافی نیست. مدل میانجی‌گری امکان می‌دهد اثر کل اضطراب صفتی (متغیر مستقل) بر رفتارهای مالی پرخطر (متغیر وابسته) به دو مؤلفه اثر مستقیم و اثر غیرمستقیم تجزیه شود؛ اثر غیرمستقیم مسیری است که از مجرای طرحواره‌های ناسازگار اولیه (متغیر میانجی) عبور می‌کند و در واقع سازوکار شناختی پیشنهادی پژوهش را به آزمون می‌گذارد.</w:t>
      </w:r>
    </w:p>
    <w:p>
      <w:pPr>
        <w:bidi w:val="1"/>
        <w:spacing w:lineRule="exact" w:line="580" w:after="0"/>
        <w:jc w:val="both"/>
      </w:pPr>
      <w:r>
        <w:rPr>
          <w:rFonts w:ascii="B Nazanin" w:hAnsi="B Nazanin" w:cs="B Nazanin" w:hint="cs"/>
          <w:sz w:val="24"/>
          <w:szCs w:val="24"/>
          <w:rtl/>
          <w:lang w:bidi="fa-IR"/>
        </w:rPr>
        <w:t xml:space="preserve">انتخاب طرح مشاهده‌ای-همبستگی صرفاً یک ترجیح روش‌شناختی نیست، بلکه ضرورتی برخاسته از ماهیت متغیرهای پژوهش است. اضطراب صفتی یک ویژگی شخصیتی پایدار است که نمی‌توان آن را به صورت آزمایشی در افراد ایجاد یا دستکاری کرد و طرحواره‌های ناسازگار اولیه نیز ساختارهای شناختی ریشه‌داری هستند که در طول سال‌ها شکل گرفته‌اند. افزون بر این، تخصیص تصادفی معامله‌گران به شرایط مختلف در بافت واقعی بازارهای مالی عملاً امکان‌پذیر نیست. بنابراین، تنها مسیر ممکن برای آزمون مدل پیشنهادی، گردآوری داده‌ها در وضعیت طبیعی و بهره‌گیری از روش‌های آماری مناسب برای تحلیل روابط میان متغیرهاست؛ مسیری که در ادبیات پژوهش‌های روانشناسی مالی رویه‌ای متعارف محسوب می‌شود.</w:t>
      </w:r>
    </w:p>
    <w:p>
      <w:pPr>
        <w:bidi w:val="1"/>
        <w:spacing w:lineRule="exact" w:line="580" w:after="0"/>
        <w:jc w:val="both"/>
      </w:pPr>
      <w:r>
        <w:rPr>
          <w:rFonts w:ascii="B Nazanin" w:hAnsi="B Nazanin" w:cs="B Nazanin" w:hint="cs"/>
          <w:sz w:val="24"/>
          <w:szCs w:val="24"/>
          <w:rtl/>
          <w:lang w:bidi="fa-IR"/>
        </w:rPr>
        <w:t xml:space="preserve">برای برآورد این مدل، دو چارچوب تحلیلی در نظر گرفته شده است: روش اصلی، مدل‌سازی معادلات ساختاری است که در صورت کفایت حجم نمونه به کار گرفته خواهد شد، و روش جایگزین، تحلیل مسیر با ماکروی پراسس — الگوی شماره ۴ همراه با آزمون بوت‌استرپ برای اثرات غیرمستقیم است (هایز، ۲۰۱۸). تفصیل روش‌های تحلیل، مفروضه‌ها و شاخص‌های برازش در بخش روش تحلیل داده‌ها ارائه خواهد شد.</w:t>
      </w:r>
    </w:p>
    <w:p>
      <w:pPr>
        <w:bidi w:val="1"/>
        <w:spacing w:lineRule="exact" w:line="580" w:after="0"/>
        <w:jc w:val="both"/>
      </w:pPr>
      <w:r>
        <w:rPr>
          <w:rFonts w:ascii="B Nazanin" w:hAnsi="B Nazanin" w:cs="B Nazanin" w:hint="cs"/>
          <w:sz w:val="24"/>
          <w:szCs w:val="24"/>
          <w:rtl/>
          <w:lang w:bidi="fa-IR"/>
        </w:rPr>
        <w:t xml:space="preserve">در پایان باید یادآور شد که طرح حاضر، مقطعی و مبتنی پرسشنامه است؛ بنابراین یافته‌های آن در سطح روابط همبستگی و الگوهای میانجی‌گری تفسیر می‌شوند و ادعای علّیت به معنای آزمایشگاهی آن مطرح نیست. با این حال، منطق مدل میانجی‌گری در چارچوب نظری استعداد-استرس، تبیینی فراتر از همبستگی‌های دوجانبه فراهم می‌آورد و جهت‌گیری نظری روابط را مشخص می‌سازد.</w:t>
      </w:r>
    </w:p>
    <w:p>
      <w:pPr>
        <w:pStyle w:val="Heading2"/>
        <w:bidi w:val="1"/>
        <w:jc w:val="right"/>
        <w:outlineLvl w:val="1"/>
      </w:pPr>
      <w:r>
        <w:rPr>
          <w:rFonts w:ascii="B Nazanin" w:hAnsi="B Nazanin" w:cs="B Nazanin" w:hint="cs"/>
          <w:b/>
          <w:bCs/>
          <w:sz w:val="28"/>
          <w:szCs w:val="28"/>
          <w:rtl/>
          <w:lang w:bidi="fa-IR"/>
        </w:rPr>
        <w:t xml:space="preserve">۳-۳. جامعه آماری، نمونه و روش نمونه‌گیری</w:t>
      </w:r>
    </w:p>
    <w:p>
      <w:pPr>
        <w:pStyle w:val="Heading3"/>
        <w:bidi w:val="1"/>
        <w:jc w:val="right"/>
        <w:outlineLvl w:val="1"/>
      </w:pPr>
      <w:r>
        <w:rPr>
          <w:rFonts w:ascii="B Nazanin" w:hAnsi="B Nazanin" w:cs="B Nazanin" w:hint="cs"/>
          <w:b/>
          <w:bCs/>
          <w:sz w:val="26"/>
          <w:szCs w:val="26"/>
          <w:rtl/>
          <w:lang w:bidi="fa-IR"/>
        </w:rPr>
        <w:t xml:space="preserve">۳-۳-۱. جامعه آماری</w:t>
      </w:r>
    </w:p>
    <w:p>
      <w:pPr>
        <w:bidi w:val="1"/>
        <w:spacing w:lineRule="exact" w:line="580" w:after="0"/>
        <w:jc w:val="both"/>
      </w:pPr>
      <w:r>
        <w:rPr>
          <w:rFonts w:ascii="B Nazanin" w:hAnsi="B Nazanin" w:cs="B Nazanin" w:hint="cs"/>
          <w:sz w:val="24"/>
          <w:szCs w:val="24"/>
          <w:rtl/>
          <w:lang w:bidi="fa-IR"/>
        </w:rPr>
        <w:t xml:space="preserve">جامعه آماری پژوهش حاضر را کلیه معامله‌گران حقیقی فارسی‌زبان تشکیل می‌دهند که در بازه زمانی اجرای پژوهش، حداقل به مدت شش ماه در بازارهای مالی ایران (شامل بورس اوراق بهادار تهران، فرابورس و بورس انرژی) یا بازارهای مالی بین‌المللی (شامل بازار تبادل ارزهای خارجی و بازار ارزهای دیجیتال) سابقه فعالیت و انجام معامله داشته‌اند. انتخاب این جامعه از آن رو است که پژوهش حاضر به دنبال تبیین رفتار مالی در شرایط واقعی تصمیم‌گیری با پیامدهای عینی است و معامله‌گران حقیقی — برخلاف سرمایه‌گذاران نهادی — شخصاً بار هیجانی و شناختی تصمیم‌های مالی خود را تحمل می‌کنند؛ ویژگی‌ای که آنان را به جامعه مناسبی برای مطالعه نقش متغیرهای روانشناختی در رفتار مالی بدل می‌سازد.</w:t>
      </w:r>
    </w:p>
    <w:p>
      <w:pPr>
        <w:pStyle w:val="Heading3"/>
        <w:bidi w:val="1"/>
        <w:jc w:val="right"/>
        <w:outlineLvl w:val="1"/>
      </w:pPr>
      <w:r>
        <w:rPr>
          <w:rFonts w:ascii="B Nazanin" w:hAnsi="B Nazanin" w:cs="B Nazanin" w:hint="cs"/>
          <w:b/>
          <w:bCs/>
          <w:sz w:val="26"/>
          <w:szCs w:val="26"/>
          <w:rtl/>
          <w:lang w:bidi="fa-IR"/>
        </w:rPr>
        <w:t xml:space="preserve">۳-۳-۲. روش نمونه‌گیری و گردآوری داده‌ها</w:t>
      </w:r>
    </w:p>
    <w:p>
      <w:pPr>
        <w:bidi w:val="1"/>
        <w:spacing w:lineRule="exact" w:line="580" w:after="0"/>
        <w:jc w:val="both"/>
      </w:pPr>
      <w:r>
        <w:rPr>
          <w:rFonts w:ascii="B Nazanin" w:hAnsi="B Nazanin" w:cs="B Nazanin" w:hint="cs"/>
          <w:sz w:val="24"/>
          <w:szCs w:val="24"/>
          <w:rtl/>
          <w:lang w:bidi="fa-IR"/>
        </w:rPr>
        <w:t xml:space="preserve">با توجه به نبود فهرست جامع و قابل دسترس از تمامی معامله‌گران فعال و نامشخص بودن حجم دقیق جامعه، در این پژوهش از روش نمونه‌گیری غیرتصادفی در دسترس</w:t>
      </w:r>
      <w:r>
        <w:rPr>
          <w:rFonts w:ascii="B Nazanin" w:hAnsi="B Nazanin" w:cs="B Nazanin" w:hint="cs"/>
          <w:vertAlign w:val="superscript"/>
          <w:rtl/>
        </w:rPr>
        <w:footnoteReference w:id="40"/>
      </w:r>
      <w:r>
        <w:rPr>
          <w:rFonts w:ascii="B Nazanin" w:hAnsi="B Nazanin" w:cs="B Nazanin" w:hint="cs"/>
          <w:sz w:val="24"/>
          <w:szCs w:val="24"/>
          <w:rtl/>
          <w:lang w:bidi="fa-IR"/>
        </w:rPr>
        <w:t xml:space="preserve"> به همراه روش گلوله‌برفی</w:t>
      </w:r>
      <w:r>
        <w:rPr>
          <w:rFonts w:ascii="B Nazanin" w:hAnsi="B Nazanin" w:cs="B Nazanin" w:hint="cs"/>
          <w:vertAlign w:val="superscript"/>
          <w:rtl/>
        </w:rPr>
        <w:footnoteReference w:id="41"/>
      </w:r>
      <w:r>
        <w:rPr>
          <w:rFonts w:ascii="B Nazanin" w:hAnsi="B Nazanin" w:cs="B Nazanin" w:hint="cs"/>
          <w:sz w:val="24"/>
          <w:szCs w:val="24"/>
          <w:rtl/>
          <w:lang w:bidi="fa-IR"/>
        </w:rPr>
        <w:t xml:space="preserve"> استفاده می‌شود. بدین صورت که پرسشنامه آنلاین پژوهش — شامل فرم رضایت آگاهانه، سؤالات جمعیت‌شناختی و ابزارهای اندازه‌گیری متغیرها — در پلتفرم پرس‌لاین طراحی شده و از طریق کانال‌ها، گروه‌ها و انجمن‌های تخصصی معامله‌گری در شبکه‌های اجتماعی (مانند تلگرام، اینستاگرام و سایر پلتفرم‌ها) منتشر می‌شود. از شرکت‌کنندگان واجد شرایط نیز خواسته می‌شود لینک پرسشنامه را برای سایر همکاران و آشنایان معامله‌گر خود ارسال کنند؛ هدف، افزایش دامنه دسترسی به نمونه‌های واجد شرایط در بازارهای مختلف است. به این ترتیب، نمونه پژوهش ترکیبی از معامله‌گران خُرد و نیمه‌حرفه‌ای خواهد بود که به صورت فردی یا در قالب عضویت در گروه‌ها و کانال‌های آموزشی-تحلیلی بازارهای مالی فعالیت می‌کنند.</w:t>
      </w:r>
    </w:p>
    <w:p>
      <w:pPr>
        <w:bidi w:val="1"/>
        <w:spacing w:lineRule="exact" w:line="580" w:after="0"/>
        <w:jc w:val="both"/>
      </w:pPr>
      <w:r>
        <w:rPr>
          <w:rFonts w:ascii="B Nazanin" w:hAnsi="B Nazanin" w:cs="B Nazanin" w:hint="cs"/>
          <w:sz w:val="24"/>
          <w:szCs w:val="24"/>
          <w:rtl/>
          <w:lang w:bidi="fa-IR"/>
        </w:rPr>
        <w:t xml:space="preserve">گردآوری داده‌ها به شیوه آنلاین، متناسب با ویژگی‌های جامعه هدف انتخاب شده است؛ زیرا معامله‌گران در مناطق جغرافیایی مختلف پراکنده‌اند و بسیاری از آنان در بستر گروه‌ها و کانال‌های مجازی فعالیت می‌کنند. همچنین ناشناس بودن پاسخ‌دهی در فرم آنلاین، زمینه گزارش‌دهی صادقانه‌تر را درباره خطاها و رفتارهای پرخطر معاملاتی فراهم می‌آورد؛ موضوعی که در پژوهش‌های مرتبط با تصمیم‌گیری مالی اهمیت ویژه‌ای دارد.</w:t>
      </w:r>
    </w:p>
    <w:p>
      <w:pPr>
        <w:bidi w:val="1"/>
        <w:spacing w:lineRule="exact" w:line="580" w:after="0"/>
        <w:jc w:val="both"/>
      </w:pPr>
      <w:r>
        <w:rPr>
          <w:rFonts w:ascii="B Nazanin" w:hAnsi="B Nazanin" w:cs="B Nazanin" w:hint="cs"/>
          <w:sz w:val="24"/>
          <w:szCs w:val="24"/>
          <w:rtl/>
          <w:lang w:bidi="fa-IR"/>
        </w:rPr>
        <w:t xml:space="preserve">گردآوری داده‌ها به مدت تقریبی دو ماه ادامه خواهد یافت و پس از رسیدن به حجم نمونه مطلوب، متوقف می‌شود. در صفحه ابتدایی پرسشنامه، رضایت‌نامه آگاهانه الکترونیکی قرار داده شده است و شرکت‌کنندگان تنها در صورت تأیید گزینه موافقت با شرکت در پژوهش، وارد بخش اصلی پرسشنامه‌ها می‌شوند؛ شرکت در پژوهش کاملاً داوطلبانه است و امکان انصراف در هر مرحله بدون هیچ پیامد منفی وجود دارد.</w:t>
      </w:r>
    </w:p>
    <w:p>
      <w:pPr>
        <w:bidi w:val="1"/>
        <w:spacing w:lineRule="exact" w:line="580" w:after="0"/>
        <w:jc w:val="both"/>
      </w:pPr>
      <w:r>
        <w:rPr>
          <w:rFonts w:ascii="B Nazanin" w:hAnsi="B Nazanin" w:cs="B Nazanin" w:hint="cs"/>
          <w:sz w:val="24"/>
          <w:szCs w:val="24"/>
          <w:rtl/>
          <w:lang w:bidi="fa-IR"/>
        </w:rPr>
        <w:t xml:space="preserve">لازم است ذکر شود که استفاده از روش نمونه‌گیری غیرتصادفی، هرچند با توجه به ویژگی‌های جامعه مورد نظر عملی‌ترین روش دسترسی به تعداد مناسبی از معامله‌گران است، قابلیت تعمیم‌پذیری نتایج را محدود می‌کند؛ این موضوع به عنوان یکی از محدودیت‌های اصلی پژوهش در فصل پنجم مورد بحث قرار خواهد گرفت.</w:t>
      </w:r>
    </w:p>
    <w:p>
      <w:pPr>
        <w:pStyle w:val="Heading3"/>
        <w:bidi w:val="1"/>
        <w:jc w:val="right"/>
        <w:outlineLvl w:val="1"/>
      </w:pPr>
      <w:r>
        <w:rPr>
          <w:rFonts w:ascii="B Nazanin" w:hAnsi="B Nazanin" w:cs="B Nazanin" w:hint="cs"/>
          <w:b/>
          <w:bCs/>
          <w:sz w:val="26"/>
          <w:szCs w:val="26"/>
          <w:rtl/>
          <w:lang w:bidi="fa-IR"/>
        </w:rPr>
        <w:t xml:space="preserve">۳-۳-۳. حجم نمونه</w:t>
      </w:r>
    </w:p>
    <w:p>
      <w:pPr>
        <w:bidi w:val="1"/>
        <w:spacing w:lineRule="exact" w:line="580" w:after="0"/>
        <w:jc w:val="both"/>
      </w:pPr>
      <w:r>
        <w:rPr>
          <w:rFonts w:ascii="B Nazanin" w:hAnsi="B Nazanin" w:cs="B Nazanin" w:hint="cs"/>
          <w:sz w:val="24"/>
          <w:szCs w:val="24"/>
          <w:rtl/>
          <w:lang w:bidi="fa-IR"/>
        </w:rPr>
        <w:t xml:space="preserve">از آنجا که روش اصلی تحلیل داده‌ها در این پژوهش مدل‌یابی معادلات ساختاری است، حجم نمونه بر اساس قواعد تجربی مربوط به این روش تعیین می‌شود. بر اساس پیشنهادهای مطرح‌شده در ادبیات مدل‌یابی معادلات ساختاری (کلاین</w:t>
      </w:r>
      <w:r>
        <w:rPr>
          <w:rFonts w:ascii="B Nazanin" w:hAnsi="B Nazanin" w:cs="B Nazanin" w:hint="cs"/>
          <w:vertAlign w:val="superscript"/>
          <w:rtl/>
        </w:rPr>
        <w:footnoteReference w:id="111"/>
      </w:r>
      <w:r>
        <w:rPr>
          <w:rFonts w:ascii="B Nazanin" w:hAnsi="B Nazanin" w:cs="B Nazanin" w:hint="cs"/>
          <w:sz w:val="24"/>
          <w:szCs w:val="24"/>
          <w:rtl/>
          <w:lang w:bidi="fa-IR"/>
        </w:rPr>
        <w:t xml:space="preserve">، ۲۰۱۶)، برای دستیابی به برآوردهای پایا و نتایج قابل اعتماد، استفاده از حجم نمونه حداقل ۲۰۰ نفر مناسب تلقی می‌شود؛ به ویژه زمانی که تعداد متغیرهای پنهان و مشاهده‌شده در مدل متوسط یا زیاد باشد. با این حال، با در نظر گرفتن محدودیت‌های عملی در دسترسی به معامله‌گران فعال و ماهیت داوطلبانه شرکت در پژوهش، تلاش می‌شود حداقل بین ۱۵۰ تا ۲۰۰ نفر از شرکت‌کنندگان واجد شرایط وارد تحلیل نهایی شوند و در صورتی که امکان دسترسی کمتر از این مقدار فراهم شود، تحلیل با حداقل ۱۰۰ نفر نیز اجرا می‌گیرد؛ در این صورت، موضوع یادشده در گزارش نتایج به وضوح به‌عنوان یکی از محدودیت‌های پژوهش ذکر خواهد شد. لازم به تأکید است که حجم نهایی نمونه تحقق‌یافته، پس از اتمام گردآوری و پاک‌سازی داده‌ها در فصل چهارم گزارش می‌شود. تعیین حجم نمونه پیش از آغاز گردآوری داده‌ها انجام شده و جمع‌آوری تا رسیدن به کران مطلوب ادامه می‌یابد.</w:t>
      </w:r>
    </w:p>
    <w:p>
      <w:pPr>
        <w:pStyle w:val="Heading3"/>
        <w:bidi w:val="1"/>
        <w:jc w:val="right"/>
        <w:outlineLvl w:val="1"/>
      </w:pPr>
      <w:r>
        <w:rPr>
          <w:rFonts w:ascii="B Nazanin" w:hAnsi="B Nazanin" w:cs="B Nazanin" w:hint="cs"/>
          <w:b/>
          <w:bCs/>
          <w:sz w:val="26"/>
          <w:szCs w:val="26"/>
          <w:rtl/>
          <w:lang w:bidi="fa-IR"/>
        </w:rPr>
        <w:t xml:space="preserve">۳-۳-۴. ملاک‌های ورود و خروج</w:t>
      </w:r>
    </w:p>
    <w:p>
      <w:pPr>
        <w:bidi w:val="1"/>
        <w:spacing w:lineRule="exact" w:line="580" w:after="0"/>
        <w:jc w:val="both"/>
      </w:pPr>
      <w:r>
        <w:rPr>
          <w:rFonts w:ascii="B Nazanin" w:hAnsi="B Nazanin" w:cs="B Nazanin" w:hint="cs"/>
          <w:b/>
          <w:bCs/>
          <w:sz w:val="24"/>
          <w:szCs w:val="24"/>
          <w:rtl/>
          <w:lang w:bidi="fa-IR"/>
        </w:rPr>
        <w:t xml:space="preserve">ملاک‌های ورود</w:t>
      </w:r>
      <w:r>
        <w:rPr>
          <w:rFonts w:ascii="B Nazanin" w:hAnsi="B Nazanin" w:cs="B Nazanin" w:hint="cs"/>
          <w:sz w:val="24"/>
          <w:szCs w:val="24"/>
          <w:rtl/>
          <w:lang w:bidi="fa-IR"/>
        </w:rPr>
        <w:t xml:space="preserve"> به پژوهش عبارت‌اند از: (۱) داشتن سن ۱۸ سال یا بیشتر؛ (۲) معامله‌گر حقیقی بودن و فعالیت با سرمایه شخصی؛ (۳) داشتن حداقل ۶ ماه سابقه فعالیت و انجام معامله واقعی (نه صرفاً حساب آزمایشی) در حداقل یکی از بازارهای بورس اوراق بهادار تهران، فرابورس، بورس انرژی، فارکس یا ارزهای دیجیتال؛ (۴) تسلط کافی به زبان فارسی جهت درک سؤالات پرسشنامه‌ها؛ و (۵) تمایل به شرکت در پژوهش و تأیید فرم رضایت‌نامه آگاهانه.</w:t>
      </w:r>
    </w:p>
    <w:p>
      <w:pPr>
        <w:bidi w:val="1"/>
        <w:spacing w:lineRule="exact" w:line="580" w:after="0"/>
        <w:jc w:val="both"/>
      </w:pPr>
      <w:r>
        <w:rPr>
          <w:rFonts w:ascii="B Nazanin" w:hAnsi="B Nazanin" w:cs="B Nazanin" w:hint="cs"/>
          <w:b/>
          <w:bCs/>
          <w:sz w:val="24"/>
          <w:szCs w:val="24"/>
          <w:rtl/>
          <w:lang w:bidi="fa-IR"/>
        </w:rPr>
        <w:t xml:space="preserve">ملاک‌های خروج</w:t>
      </w:r>
      <w:r>
        <w:rPr>
          <w:rFonts w:ascii="B Nazanin" w:hAnsi="B Nazanin" w:cs="B Nazanin" w:hint="cs"/>
          <w:sz w:val="24"/>
          <w:szCs w:val="24"/>
          <w:rtl/>
          <w:lang w:bidi="fa-IR"/>
        </w:rPr>
        <w:t xml:space="preserve"> نیز شامل موارد زیر است: (۱) عدم تکمیل پرسشنامه‌ها به صورت کامل؛ (۲) انصراف شرکت‌کننده یا عدم تأیید رضایت‌نامه آگاهانه؛ (۳) ارائه پاسخ‌های تصادفی یا نامعتبر که از طریق نشانگرهایی مانند زمان پاسخ‌دهی بسیار کوتاه یا الگوی پاسخ یکسان در همه گویه‌ها شناسایی می‌شوند؛ و (۴) گزارش نداشتن تجربه معامله واقعی یا تمرکز اصلی بر حساب آزمایشی توسط شرکت‌کننده.</w:t>
      </w:r>
    </w:p>
    <w:p>
      <w:pPr>
        <w:bidi w:val="1"/>
        <w:spacing w:lineRule="exact" w:line="580" w:after="0"/>
        <w:jc w:val="both"/>
      </w:pPr>
      <w:r>
        <w:rPr>
          <w:rFonts w:ascii="B Nazanin" w:hAnsi="B Nazanin" w:cs="B Nazanin" w:hint="cs"/>
          <w:sz w:val="24"/>
          <w:szCs w:val="24"/>
          <w:rtl/>
          <w:lang w:bidi="fa-IR"/>
        </w:rPr>
        <w:t xml:space="preserve">ملاک‌های خروج یادشده در مرحله پاک‌سازی داده‌ها و پیش از تحلیل نهایی اعمال می‌شوند تا کیفیت پاسخ‌های واردشده به مدل تضمین گردد.</w:t>
      </w:r>
    </w:p>
    <w:p>
      <w:pPr>
        <w:pStyle w:val="Heading2"/>
        <w:bidi w:val="1"/>
        <w:jc w:val="right"/>
        <w:outlineLvl w:val="1"/>
      </w:pPr>
      <w:r>
        <w:rPr>
          <w:rFonts w:ascii="B Nazanin" w:hAnsi="B Nazanin" w:cs="B Nazanin" w:hint="cs"/>
          <w:b/>
          <w:bCs/>
          <w:sz w:val="28"/>
          <w:szCs w:val="28"/>
          <w:rtl/>
          <w:lang w:bidi="fa-IR"/>
        </w:rPr>
        <w:t xml:space="preserve">۳-۴. ابزارهای اندازه‌گیری</w:t>
      </w:r>
    </w:p>
    <w:p>
      <w:pPr>
        <w:bidi w:val="1"/>
        <w:spacing w:lineRule="exact" w:line="580" w:after="0"/>
        <w:jc w:val="both"/>
      </w:pPr>
      <w:r>
        <w:rPr>
          <w:rFonts w:ascii="B Nazanin" w:hAnsi="B Nazanin" w:cs="B Nazanin" w:hint="cs"/>
          <w:sz w:val="24"/>
          <w:szCs w:val="24"/>
          <w:rtl/>
          <w:lang w:bidi="fa-IR"/>
        </w:rPr>
        <w:t xml:space="preserve">برای سنجش متغیرهای پژوهش از سه ابزار استاندارد استفاده می‌شود که هر یک با یکی از متغیرهای مدل میانجی‌گری متناظر است: پرسشنامه اضطراب حالت-صفت اسپیلبرگر — فرم صفتی برای سنجش اضطراب صفتی، پرسشنامه طرحواره یانگ — فرم کوتاه برای سنجش طرحواره‌های ناسازگار اولیه، و مقیاس تحمل ریسک مالی گرابل و لایتون برای سنجش رفتارهای مالی پرخطر. این سه ابزار به همراه سؤالات جمعیت‌شناختی در قالب یک پرسشنامه آنلاین یکپارچه ارائه می‌شوند. در ادامه، ساختار، نمره‌گذاری و ویژگی‌های روان‌سنجی هر ابزار به تفصیل بیان می‌شود. در فرم آنلاین، این ابزارها به ترتیب پس از سؤالات جمعیت‌شناختی و با فاصله‌گذاری مناسب ارائه می‌شوند تا خستگی پاسخ‌دهنده به حداقل برسد.</w:t>
      </w:r>
    </w:p>
    <w:p>
      <w:pPr>
        <w:pStyle w:val="Heading3"/>
        <w:bidi w:val="1"/>
        <w:jc w:val="right"/>
        <w:outlineLvl w:val="1"/>
      </w:pPr>
      <w:r>
        <w:rPr>
          <w:rFonts w:ascii="B Nazanin" w:hAnsi="B Nazanin" w:cs="B Nazanin" w:hint="cs"/>
          <w:b/>
          <w:bCs/>
          <w:sz w:val="26"/>
          <w:szCs w:val="26"/>
          <w:rtl/>
          <w:lang w:bidi="fa-IR"/>
        </w:rPr>
        <w:t xml:space="preserve">۳-۴-۱. پرسشنامه اضطراب حالت-صفت اسپیلبرگر — فرم صفتی</w:t>
      </w:r>
    </w:p>
    <w:p>
      <w:pPr>
        <w:bidi w:val="1"/>
        <w:spacing w:lineRule="exact" w:line="580" w:after="0"/>
        <w:jc w:val="both"/>
      </w:pPr>
      <w:r>
        <w:rPr>
          <w:rFonts w:ascii="B Nazanin" w:hAnsi="B Nazanin" w:cs="B Nazanin" w:hint="cs"/>
          <w:sz w:val="24"/>
          <w:szCs w:val="24"/>
          <w:rtl/>
          <w:lang w:bidi="fa-IR"/>
        </w:rPr>
        <w:t xml:space="preserve">پرسشنامه اضطراب حالت-صفت اسپیلبرگر در اصل توسط اسپیلبرگر، گورچ و لوشن</w:t>
      </w:r>
      <w:r>
        <w:rPr>
          <w:rFonts w:ascii="B Nazanin" w:hAnsi="B Nazanin" w:cs="B Nazanin" w:hint="cs"/>
          <w:vertAlign w:val="superscript"/>
          <w:rtl/>
        </w:rPr>
        <w:footnoteReference w:id="112"/>
      </w:r>
      <w:r>
        <w:rPr>
          <w:rFonts w:ascii="B Nazanin" w:hAnsi="B Nazanin" w:cs="B Nazanin" w:hint="cs"/>
          <w:sz w:val="24"/>
          <w:szCs w:val="24"/>
          <w:rtl/>
          <w:lang w:bidi="fa-IR"/>
        </w:rPr>
        <w:t xml:space="preserve"> (۱۹۷۰) ساخته شد و راهنمای بازنگری‌شده آن توسط اسپیلبرگر (۱۹۸۳) منتشر شده است. این پرسشنامه برای سنجش اضطراب در دو سطح طراحی شده است. سطح نخست، اضطراب حالتی است؛ واکنشی هیجانی، گذرا و وابسته به موقعیت. سطح دوم، اضطراب صفتی؛ یعنی ویژگی شخصیتی پایدار فرد. در پژوهش حاضر تنها از فرم اضطراب صفتی استفاده می‌شود؛ هدف، سنجش زمینه شخصیتی پایدار اضطراب در معامله‌گران است، نه واکنش لحظه‌ای آنان به یک موقعیت خاص. بر همین اساس، فرم حالت (اضطراب حالتی) در این پژوهش اجرا نمی‌شود؛ چه آنکه هدف، سنجش زمینه پایدار آسیب‌پذیری در برابر فشارهای بازار است، نه شدت اضطراب آزمودنی در لحظه پاسخ‌دهی.</w:t>
      </w:r>
    </w:p>
    <w:p>
      <w:pPr>
        <w:bidi w:val="1"/>
        <w:spacing w:lineRule="exact" w:line="580" w:after="0"/>
        <w:jc w:val="both"/>
      </w:pPr>
      <w:r>
        <w:rPr>
          <w:rFonts w:ascii="B Nazanin" w:hAnsi="B Nazanin" w:cs="B Nazanin" w:hint="cs"/>
          <w:sz w:val="24"/>
          <w:szCs w:val="24"/>
          <w:rtl/>
          <w:lang w:bidi="fa-IR"/>
        </w:rPr>
        <w:t xml:space="preserve">فرم صفتی شامل ۲۰ گویه است که احساسات کلی و معمول فرد را توصیف می‌کنند و آزمودنی میزان انطباق هر گویه با احساسات خود را بر اساس مقیاس ۴ درجه‌ای لیکرت با گزینه‌های «تقریباً هرگز»، «گاهی اوقات»، «بیشتر اوقات» و «تقریباً همیشه» (از ۱ تا ۴) مشخص می‌کند. این فرم شامل گویه‌هایی با نمره‌گذاری معکوس نیز هست. دامنه نمره کل بین ۲۰ تا ۸۰ است و نمره بالاتر نشان‌دهنده سطح بالاتر اضطراب صفتی است.</w:t>
      </w:r>
    </w:p>
    <w:p>
      <w:pPr>
        <w:bidi w:val="1"/>
        <w:spacing w:lineRule="exact" w:line="580" w:after="0"/>
        <w:jc w:val="both"/>
      </w:pPr>
      <w:r>
        <w:rPr>
          <w:rFonts w:ascii="B Nazanin" w:hAnsi="B Nazanin" w:cs="B Nazanin" w:hint="cs"/>
          <w:sz w:val="24"/>
          <w:szCs w:val="24"/>
          <w:rtl/>
          <w:lang w:bidi="fa-IR"/>
        </w:rPr>
        <w:t xml:space="preserve">از نظر ویژگی‌های روان‌سنجی، پایایی درونی این ابزار از ابتدا با ضرایب آلفای کرونباخ بالا (۰٫۸۶ تا ۰٫۹۵) تأیید شده است (اسپیلبرگر، ۱۹۸۳). در ایران نیز پژوهش بشارت و همکاران (۱۳۹۵) ساختار عاملی و پایایی نسخه فارسی این پرسشنامه را در نمونه‌های ایرانی بررسی و تأیید کرده است؛ در این پژوهش آلفای کرونباخ ۰٫۸۹ گزارش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pStyle w:val="Heading3"/>
        <w:bidi w:val="1"/>
        <w:jc w:val="right"/>
        <w:outlineLvl w:val="1"/>
      </w:pPr>
      <w:r>
        <w:rPr>
          <w:rFonts w:ascii="B Nazanin" w:hAnsi="B Nazanin" w:cs="B Nazanin" w:hint="cs"/>
          <w:b/>
          <w:bCs/>
          <w:sz w:val="26"/>
          <w:szCs w:val="26"/>
          <w:rtl/>
          <w:lang w:bidi="fa-IR"/>
        </w:rPr>
        <w:t xml:space="preserve">۳-۴-۲. پرسشنامه طرحواره‌های ناسازگار اولیه یانگ — فرم کوتاه</w:t>
      </w:r>
    </w:p>
    <w:p>
      <w:pPr>
        <w:bidi w:val="1"/>
        <w:spacing w:lineRule="exact" w:line="580" w:after="0"/>
        <w:jc w:val="both"/>
      </w:pPr>
      <w:r>
        <w:rPr>
          <w:rFonts w:ascii="B Nazanin" w:hAnsi="B Nazanin" w:cs="B Nazanin" w:hint="cs"/>
          <w:sz w:val="24"/>
          <w:szCs w:val="24"/>
          <w:rtl/>
          <w:lang w:bidi="fa-IR"/>
        </w:rPr>
        <w:t xml:space="preserve">پرسشنامه طرحواره یانگ — فرم کوتاه توسط یانگ (۱۹۹۸) به عنوان نسخه‌ای کوتاه‌تر از ابزار اصلی برای سنجش ۱۵ طرحواره ناسازگار اولیه تدوین شده است. این پرسشنامه شامل ۷۵ گویه است که به ازای هر طرحواره، ۵ گویه را در بر می‌گیرد و بر اساس نظریه طرحواره، الگوهای هیجانی و شناختی عمیق و پایداری را می‌سنجد که در دوران کودکی و نوجوانی شکل گرفته‌اند و تفسیر فرد از موقعیت‌های زندگی را جهت می‌دهند.</w:t>
      </w:r>
    </w:p>
    <w:p>
      <w:pPr>
        <w:bidi w:val="1"/>
        <w:spacing w:lineRule="exact" w:line="580" w:after="0"/>
        <w:jc w:val="both"/>
      </w:pPr>
      <w:r>
        <w:rPr>
          <w:rFonts w:ascii="B Nazanin" w:hAnsi="B Nazanin" w:cs="B Nazanin" w:hint="cs"/>
          <w:sz w:val="24"/>
          <w:szCs w:val="24"/>
          <w:rtl/>
          <w:lang w:bidi="fa-IR"/>
        </w:rPr>
        <w:t xml:space="preserve">نمره‌گذاری گویه‌ها بر اساس مقیاس ۶ درجه‌ای لیکرت انجام می‌شود. گزینه‌های این مقیاس — همان‌گونه که در نسخه آنلاین منتشرشده پژوهش آمده است — به ترتیب عبارت‌اند از: «۱=کاملاً در مورد من غلط است»، «۲=تقریباً غلط است»، «۳=بیشتر غلط است تا درست»، «۴=اندکی درست است»، «۵=تقریباً درست است» و «۶=کاملاً مرا توصیف می‌کند». برای هر طرحواره نمره‌ای بین ۵ تا ۳۰ به دست می‌آید و نمره بالاتر نشان‌دهنده شدت بیشتر آن طرحواره است. ترتیب گزینه‌ها در نسخه آنلاین منتشرشده پژوهش با همین جهت نمره‌گذاری هم‌خوان است و نیازی به وارونه‌سازی نمرات در مرحله کدگذاری وجود ندارد.</w:t>
      </w:r>
    </w:p>
    <w:p>
      <w:pPr>
        <w:bidi w:val="1"/>
        <w:spacing w:lineRule="exact" w:line="580" w:after="0"/>
        <w:jc w:val="both"/>
      </w:pPr>
      <w:r>
        <w:rPr>
          <w:rFonts w:ascii="B Nazanin" w:hAnsi="B Nazanin" w:cs="B Nazanin" w:hint="cs"/>
          <w:sz w:val="24"/>
          <w:szCs w:val="24"/>
          <w:rtl/>
          <w:lang w:bidi="fa-IR"/>
        </w:rPr>
        <w:t xml:space="preserve">ویژگی‌های روان‌سنجی ابزار اصلی طرحواره‌ها در مطالعات متعدد بررسی و تأیید شده است (یانگ، ۱۹۹۸؛ اشمیت و همکاران، ۱۹۹۵). در ایران نیز پژوهش یوسفی (۱۳۹۶) ویژگی‌های روان‌سنجی نسخه فارسی این پرسشنامه را در نمونه غیربالینی بررسی کرده است؛ در این پژوهش پایایی خرده‌مقیاس‌ها با ضرایب آلفای ۰٫۶۸ تا ۰٫۸۵ و روایی سازه قابل قبول گزارش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pStyle w:val="Heading3"/>
        <w:bidi w:val="1"/>
        <w:jc w:val="right"/>
        <w:outlineLvl w:val="1"/>
      </w:pPr>
      <w:r>
        <w:rPr>
          <w:rFonts w:ascii="B Nazanin" w:hAnsi="B Nazanin" w:cs="B Nazanin" w:hint="cs"/>
          <w:b/>
          <w:bCs/>
          <w:sz w:val="26"/>
          <w:szCs w:val="26"/>
          <w:rtl/>
          <w:lang w:bidi="fa-IR"/>
        </w:rPr>
        <w:t xml:space="preserve">۳-۴-۳. مقیاس تحمل ریسک مالی گرابل و لایتون</w:t>
      </w:r>
      <w:r>
        <w:rPr>
          <w:rFonts w:ascii="B Nazanin" w:hAnsi="B Nazanin" w:cs="B Nazanin" w:hint="cs"/>
          <w:vertAlign w:val="superscript"/>
          <w:rtl/>
        </w:rPr>
        <w:footnoteReference w:id="42"/>
      </w:r>
    </w:p>
    <w:p>
      <w:pPr>
        <w:bidi w:val="1"/>
        <w:spacing w:lineRule="exact" w:line="580" w:after="0"/>
        <w:jc w:val="both"/>
      </w:pPr>
      <w:r>
        <w:rPr>
          <w:rFonts w:ascii="B Nazanin" w:hAnsi="B Nazanin" w:cs="B Nazanin" w:hint="cs"/>
          <w:sz w:val="24"/>
          <w:szCs w:val="24"/>
          <w:rtl/>
          <w:lang w:bidi="fa-IR"/>
        </w:rPr>
        <w:t xml:space="preserve">مقیاس تحمل ریسک مالی توسط گرابل و لایتون (۱۹۹۹) ساخته شده است؛ ابزاری برای سنجش تمایل، ظرفیت و نگرش فرد نسبت به پذیرش ریسک در تصمیم‌های مالی. این مقیاس شامل ۱۳ سؤال تک‌گزینه‌ای است که هر سؤال گزینه‌های متنی مختص خود را دارد و پاسخ‌دهنده از میان چهار گزینه هر سؤال، گزینه‌ای را انتخاب می‌کند که به بهترین وجه دیدگاه یا ترجیح واقعی او را منعکس می‌سازد؛ در این مقیاس پاسخ درست یا غلطی وجود ندارد. سؤالات این مقیاس عمدتاً در قالب موقعیت‌های فرضی و سؤالات ترجیحی طراحی شده‌اند؛ برای نمونه، انتخاب میان دریافت مبلغ قطعی یا شرکت در یک شانس با بازده بالاتر، یا تعیین ترجیح میان انواع دارایی‌های سرمایه‌گذاری. این ساختار موجب می‌شود پاسخ‌دهنده بدون آنکه خود را در معرض قضاوت ببیند، تمایل واقعی خود به پذیرش ریسک را آشکار سازد.</w:t>
      </w:r>
    </w:p>
    <w:p>
      <w:pPr>
        <w:bidi w:val="1"/>
        <w:spacing w:lineRule="exact" w:line="580" w:after="0"/>
        <w:jc w:val="both"/>
      </w:pPr>
      <w:r>
        <w:rPr>
          <w:rFonts w:ascii="B Nazanin" w:hAnsi="B Nazanin" w:cs="B Nazanin" w:hint="cs"/>
          <w:sz w:val="24"/>
          <w:szCs w:val="24"/>
          <w:rtl/>
          <w:lang w:bidi="fa-IR"/>
        </w:rPr>
        <w:t xml:space="preserve">نمره کل مقیاس بین ۱۳ تا ۴۵ محاسبه می‌شود و نمره بالاتر نشان‌دهنده تحمل ریسک بیشتر و در نتیجه تمایل بالاتر به بروز رفتارهای مالی پرخطر است.</w:t>
      </w:r>
    </w:p>
    <w:p>
      <w:pPr>
        <w:bidi w:val="1"/>
        <w:spacing w:lineRule="exact" w:line="580" w:after="0"/>
        <w:jc w:val="both"/>
      </w:pPr>
      <w:r>
        <w:rPr>
          <w:rFonts w:ascii="B Nazanin" w:hAnsi="B Nazanin" w:cs="B Nazanin" w:hint="cs"/>
          <w:sz w:val="24"/>
          <w:szCs w:val="24"/>
          <w:rtl/>
          <w:lang w:bidi="fa-IR"/>
        </w:rPr>
        <w:t xml:space="preserve">به‌کارگیری این مقیاس به عنوان شاخص عملیاتی رفتارهای مالی پرخطر نیازمند توضیح روش‌شناختی مشخص است. نکته کلیدی این است: «تحمل ریسک» یک نگرش روانشناختی است و «رفتار پرخطر» یک عمل عینی. با این حال، ادبیات پژوهشی گسترده نشان داده است که مقیاس گرابل و لایتون از روایی پیش‌بین بسیار بالایی برخوردار است؛ به این معنا که نمرات افراد در این مقیاس توانایی پیش‌بینی رفتارهای مالی واقعی آنان را دارد (گرابل و لایتون، ۱۹۹۹؛ گرابل، ۲۰۱۷). بر همین اساس، در پژوهش حاضر این مقیاس به عنوان شاخص نیابتی</w:t>
      </w:r>
      <w:r>
        <w:rPr>
          <w:rFonts w:ascii="B Nazanin" w:hAnsi="B Nazanin" w:cs="B Nazanin" w:hint="cs"/>
          <w:vertAlign w:val="superscript"/>
          <w:rtl/>
        </w:rPr>
        <w:footnoteReference w:id="43"/>
      </w:r>
      <w:r>
        <w:rPr>
          <w:rFonts w:ascii="B Nazanin" w:hAnsi="B Nazanin" w:cs="B Nazanin" w:hint="cs"/>
          <w:sz w:val="24"/>
          <w:szCs w:val="24"/>
          <w:rtl/>
          <w:lang w:bidi="fa-IR"/>
        </w:rPr>
        <w:t xml:space="preserve"> قابل اعتمادی برای سنجش تمایل به رفتارهای مالی پرخطر استفاده می‌شود؛ رویکردی که با تعریف عملیاتی متغیر وابسته در فصل اول هم‌خوان است.</w:t>
      </w:r>
    </w:p>
    <w:p>
      <w:pPr>
        <w:bidi w:val="1"/>
        <w:spacing w:lineRule="exact" w:line="580" w:after="0"/>
        <w:jc w:val="both"/>
      </w:pPr>
      <w:r>
        <w:rPr>
          <w:rFonts w:ascii="B Nazanin" w:hAnsi="B Nazanin" w:cs="B Nazanin" w:hint="cs"/>
          <w:sz w:val="24"/>
          <w:szCs w:val="24"/>
          <w:rtl/>
          <w:lang w:bidi="fa-IR"/>
        </w:rPr>
        <w:t xml:space="preserve">نسخه فارسی این مقیاس توسط طالبی و همکاران (۱۳۹۸) بر روی نمونه‌ای از سرمایه‌گذاران بورس اوراق بهادار تهران اعتباریابی شده است؛ در این پژوهش پایایی ابزار با آلفای کرونباخ ۰٫۷۹ گزارش و ساختار عاملی آن تأیید شده است.</w:t>
      </w:r>
    </w:p>
    <w:p>
      <w:pPr>
        <w:bidi w:val="1"/>
        <w:spacing w:lineRule="exact" w:line="580" w:after="0"/>
        <w:jc w:val="both"/>
      </w:pPr>
      <w:r>
        <w:rPr>
          <w:rFonts w:ascii="B Nazanin" w:hAnsi="B Nazanin" w:cs="B Nazanin" w:hint="cs"/>
          <w:sz w:val="24"/>
          <w:szCs w:val="24"/>
          <w:rtl/>
          <w:lang w:bidi="fa-IR"/>
        </w:rPr>
        <w:t xml:space="preserve">پایایی ابزار در نمونه پژوهش حاضر با آلفای کرونباخ محاسبه و در فصل چهارم گزارش خواهد شد.</w:t>
      </w:r>
    </w:p>
    <w:p>
      <w:pPr>
        <w:bidi w:val="1"/>
        <w:spacing w:lineRule="exact" w:line="580" w:before="180" w:after="40"/>
        <w:jc w:val="center"/>
      </w:pPr>
      <w:r>
        <w:rPr>
          <w:rFonts w:ascii="B Nazanin" w:hAnsi="B Nazanin" w:cs="B Nazanin" w:hint="cs"/>
          <w:b/>
          <w:bCs/>
          <w:sz w:val="24"/>
          <w:szCs w:val="24"/>
          <w:rtl/>
          <w:lang w:bidi="fa-IR"/>
        </w:rPr>
        <w:t xml:space="preserve">جدول ۳-۱. خلاصه ابزارهای پژوهش</w:t>
      </w:r>
    </w:p>
    <w:p>
      <w:pPr>
        <w:bidi/>
      </w:pPr>
      <w:r>
        <w:rPr>
          <w:vanish/>
          <w:rFonts w:ascii="B Nazanin" w:hAnsi="B Nazanin"/>
        </w:rPr>
        <w:fldChar w:fldCharType="begin"/>
      </w:r>
      <w:r>
        <w:rPr>
          <w:vanish/>
          <w:rFonts w:ascii="B Nazanin" w:hAnsi="B Nazanin"/>
        </w:rPr>
        <w:instrText>TC "جدول ۳-۱. خلاصه ابزارهای پژوهش" \f T \l 1</w:instrText>
      </w:r>
      <w:r>
        <w:rPr>
          <w:vanish/>
          <w:rFonts w:ascii="B Nazanin" w:hAnsi="B Nazanin"/>
        </w:rPr>
        <w:fldChar w:fldCharType="end"/>
      </w:r>
    </w:p>
    <w:tbl>
      <w:tblPr>
        <w:tblStyle w:val="TableGrid"/>
        <w:tblW w:type="auto" w:w="0"/>
        <w:tblLook w:firstColumn="1" w:firstRow="1" w:lastColumn="0" w:lastRow="0" w:noHBand="0" w:noVBand="1" w:val="04A0"/>
        <w:bidiVisual/>
      </w:tblPr>
      <w:tblGrid>
        <w:gridCol w:w="1644"/>
        <w:gridCol w:w="1644"/>
        <w:gridCol w:w="1644"/>
        <w:gridCol w:w="1644"/>
        <w:gridCol w:w="1644"/>
      </w:tblGrid>
      <w:tr>
        <w:tc>
          <w:tcPr>
            <w:tcW w:type="dxa" w:w="1644"/>
          </w:tcPr>
          <w:p>
            <w:pPr>
              <w:bidi w:val="1"/>
              <w:jc w:val="center"/>
            </w:pPr>
            <w:r/>
            <w:r>
              <w:rPr>
                <w:rFonts w:ascii="B Nazanin" w:hAnsi="B Nazanin" w:cs="B Nazanin" w:hint="cs"/>
                <w:b/>
                <w:bCs/>
                <w:sz w:val="22"/>
                <w:szCs w:val="22"/>
                <w:rtl/>
                <w:lang w:bidi="fa-IR"/>
              </w:rPr>
              <w:t xml:space="preserve">ابزار</w:t>
            </w:r>
          </w:p>
        </w:tc>
        <w:tc>
          <w:tcPr>
            <w:tcW w:type="dxa" w:w="1644"/>
          </w:tcPr>
          <w:p>
            <w:pPr>
              <w:bidi w:val="1"/>
              <w:jc w:val="center"/>
            </w:pPr>
            <w:r/>
            <w:r>
              <w:rPr>
                <w:rFonts w:ascii="B Nazanin" w:hAnsi="B Nazanin" w:cs="B Nazanin" w:hint="cs"/>
                <w:b/>
                <w:bCs/>
                <w:sz w:val="22"/>
                <w:szCs w:val="22"/>
                <w:rtl/>
                <w:lang w:bidi="fa-IR"/>
              </w:rPr>
              <w:t xml:space="preserve">تعداد گویه</w:t>
            </w:r>
          </w:p>
        </w:tc>
        <w:tc>
          <w:tcPr>
            <w:tcW w:type="dxa" w:w="1644"/>
          </w:tcPr>
          <w:p>
            <w:pPr>
              <w:bidi w:val="1"/>
              <w:jc w:val="center"/>
            </w:pPr>
            <w:r/>
            <w:r>
              <w:rPr>
                <w:rFonts w:ascii="B Nazanin" w:hAnsi="B Nazanin" w:cs="B Nazanin" w:hint="cs"/>
                <w:b/>
                <w:bCs/>
                <w:sz w:val="22"/>
                <w:szCs w:val="22"/>
                <w:rtl/>
                <w:lang w:bidi="fa-IR"/>
              </w:rPr>
              <w:t xml:space="preserve">طیف پاسخ</w:t>
            </w:r>
          </w:p>
        </w:tc>
        <w:tc>
          <w:tcPr>
            <w:tcW w:type="dxa" w:w="1644"/>
          </w:tcPr>
          <w:p>
            <w:pPr>
              <w:bidi w:val="1"/>
              <w:jc w:val="center"/>
            </w:pPr>
            <w:r/>
            <w:r>
              <w:rPr>
                <w:rFonts w:ascii="B Nazanin" w:hAnsi="B Nazanin" w:cs="B Nazanin" w:hint="cs"/>
                <w:b/>
                <w:bCs/>
                <w:sz w:val="22"/>
                <w:szCs w:val="22"/>
                <w:rtl/>
                <w:lang w:bidi="fa-IR"/>
              </w:rPr>
              <w:t xml:space="preserve">دامنه نمره</w:t>
            </w:r>
          </w:p>
        </w:tc>
        <w:tc>
          <w:tcPr>
            <w:tcW w:type="dxa" w:w="1644"/>
          </w:tcPr>
          <w:p>
            <w:pPr>
              <w:bidi w:val="1"/>
              <w:jc w:val="center"/>
            </w:pPr>
            <w:r/>
            <w:r>
              <w:rPr>
                <w:rFonts w:ascii="B Nazanin" w:hAnsi="B Nazanin" w:cs="B Nazanin" w:hint="cs"/>
                <w:b/>
                <w:bCs/>
                <w:sz w:val="22"/>
                <w:szCs w:val="22"/>
                <w:rtl/>
                <w:lang w:bidi="fa-IR"/>
              </w:rPr>
              <w:t xml:space="preserve">نسخه فارسی</w:t>
            </w:r>
          </w:p>
        </w:tc>
      </w:tr>
      <w:tr>
        <w:tc>
          <w:tcPr>
            <w:tcW w:type="dxa" w:w="1644"/>
          </w:tcPr>
          <w:p>
            <w:pPr>
              <w:bidi w:val="1"/>
              <w:jc w:val="both"/>
            </w:pPr>
            <w:r/>
            <w:r>
              <w:rPr>
                <w:rFonts w:ascii="B Nazanin" w:hAnsi="B Nazanin" w:cs="B Nazanin" w:hint="cs"/>
                <w:sz w:val="22"/>
                <w:szCs w:val="22"/>
                <w:rtl/>
                <w:lang w:bidi="fa-IR"/>
              </w:rPr>
              <w:t xml:space="preserve">پرسشنامه اضطراب حالت-صفت اسپیلبرگر — فرم صفتی</w:t>
            </w:r>
            <w:r>
              <w:rPr>
                <w:rFonts w:ascii="Times New Roman" w:hAnsi="Times New Roman" w:cs="Times New Roman"/>
                <w:sz w:val="20"/>
                <w:szCs w:val="20"/>
                <w:lang w:val="en-US"/>
              </w:rPr>
              <w:t xml:space="preserve"> (STAI-Y2)</w:t>
            </w:r>
          </w:p>
        </w:tc>
        <w:tc>
          <w:tcPr>
            <w:tcW w:type="dxa" w:w="1644"/>
          </w:tcPr>
          <w:p>
            <w:pPr>
              <w:bidi w:val="1"/>
              <w:jc w:val="both"/>
            </w:pPr>
            <w:r/>
            <w:r>
              <w:rPr>
                <w:rFonts w:ascii="B Nazanin" w:hAnsi="B Nazanin" w:cs="B Nazanin" w:hint="cs"/>
                <w:sz w:val="22"/>
                <w:szCs w:val="22"/>
                <w:rtl/>
                <w:lang w:bidi="fa-IR"/>
              </w:rPr>
              <w:t xml:space="preserve">۲۰</w:t>
            </w:r>
          </w:p>
        </w:tc>
        <w:tc>
          <w:tcPr>
            <w:tcW w:type="dxa" w:w="1644"/>
          </w:tcPr>
          <w:p>
            <w:pPr>
              <w:bidi w:val="1"/>
              <w:jc w:val="both"/>
            </w:pPr>
            <w:r/>
            <w:r>
              <w:rPr>
                <w:rFonts w:ascii="B Nazanin" w:hAnsi="B Nazanin" w:cs="B Nazanin" w:hint="cs"/>
                <w:sz w:val="22"/>
                <w:szCs w:val="22"/>
                <w:rtl/>
                <w:lang w:bidi="fa-IR"/>
              </w:rPr>
              <w:t xml:space="preserve">لیکرت ۴ درجه‌ای (تقریباً هرگز تا تقریباً همیشه)</w:t>
            </w:r>
          </w:p>
        </w:tc>
        <w:tc>
          <w:tcPr>
            <w:tcW w:type="dxa" w:w="1644"/>
          </w:tcPr>
          <w:p>
            <w:pPr>
              <w:bidi w:val="1"/>
              <w:jc w:val="both"/>
            </w:pPr>
            <w:r/>
            <w:r>
              <w:rPr>
                <w:rFonts w:ascii="B Nazanin" w:hAnsi="B Nazanin" w:cs="B Nazanin" w:hint="cs"/>
                <w:sz w:val="22"/>
                <w:szCs w:val="22"/>
                <w:rtl/>
                <w:lang w:bidi="fa-IR"/>
              </w:rPr>
              <w:t xml:space="preserve">۲۰ تا ۸۰</w:t>
            </w:r>
          </w:p>
        </w:tc>
        <w:tc>
          <w:tcPr>
            <w:tcW w:type="dxa" w:w="1644"/>
          </w:tcPr>
          <w:p>
            <w:pPr>
              <w:bidi w:val="1"/>
              <w:jc w:val="both"/>
            </w:pPr>
            <w:r/>
            <w:r>
              <w:rPr>
                <w:rFonts w:ascii="B Nazanin" w:hAnsi="B Nazanin" w:cs="B Nazanin" w:hint="cs"/>
                <w:sz w:val="22"/>
                <w:szCs w:val="22"/>
                <w:rtl/>
                <w:lang w:bidi="fa-IR"/>
              </w:rPr>
              <w:t xml:space="preserve">بشارت و همکاران (۱۳۹۵)</w:t>
            </w:r>
          </w:p>
        </w:tc>
      </w:tr>
      <w:tr>
        <w:tc>
          <w:tcPr>
            <w:tcW w:type="dxa" w:w="1644"/>
          </w:tcPr>
          <w:p>
            <w:pPr>
              <w:bidi w:val="1"/>
              <w:jc w:val="both"/>
            </w:pPr>
            <w:r/>
            <w:r>
              <w:rPr>
                <w:rFonts w:ascii="B Nazanin" w:hAnsi="B Nazanin" w:cs="B Nazanin" w:hint="cs"/>
                <w:sz w:val="22"/>
                <w:szCs w:val="22"/>
                <w:rtl/>
                <w:lang w:bidi="fa-IR"/>
              </w:rPr>
              <w:t xml:space="preserve">پرسشنامه طرحواره یانگ — فرم کوتاه</w:t>
            </w:r>
            <w:r>
              <w:rPr>
                <w:rFonts w:ascii="Times New Roman" w:hAnsi="Times New Roman" w:cs="Times New Roman"/>
                <w:sz w:val="20"/>
                <w:szCs w:val="20"/>
                <w:lang w:val="en-US"/>
              </w:rPr>
              <w:t xml:space="preserve"> (YSQ-SF)</w:t>
            </w:r>
          </w:p>
        </w:tc>
        <w:tc>
          <w:tcPr>
            <w:tcW w:type="dxa" w:w="1644"/>
          </w:tcPr>
          <w:p>
            <w:pPr>
              <w:bidi w:val="1"/>
              <w:jc w:val="both"/>
            </w:pPr>
            <w:r/>
            <w:r>
              <w:rPr>
                <w:rFonts w:ascii="B Nazanin" w:hAnsi="B Nazanin" w:cs="B Nazanin" w:hint="cs"/>
                <w:sz w:val="22"/>
                <w:szCs w:val="22"/>
                <w:rtl/>
                <w:lang w:bidi="fa-IR"/>
              </w:rPr>
              <w:t xml:space="preserve">۷۵ (۱۵ خرده‌مقیاس × ۵ گویه)</w:t>
            </w:r>
          </w:p>
        </w:tc>
        <w:tc>
          <w:tcPr>
            <w:tcW w:type="dxa" w:w="1644"/>
          </w:tcPr>
          <w:p>
            <w:pPr>
              <w:bidi w:val="1"/>
              <w:jc w:val="both"/>
            </w:pPr>
            <w:r/>
            <w:r>
              <w:rPr>
                <w:rFonts w:ascii="B Nazanin" w:hAnsi="B Nazanin" w:cs="B Nazanin" w:hint="cs"/>
                <w:sz w:val="22"/>
                <w:szCs w:val="22"/>
                <w:rtl/>
                <w:lang w:bidi="fa-IR"/>
              </w:rPr>
              <w:t xml:space="preserve">لیکرت ۶ درجه‌ای (کاملاً در مورد من غلط است تا کاملاً مرا توصیف می‌کند)</w:t>
            </w:r>
          </w:p>
        </w:tc>
        <w:tc>
          <w:tcPr>
            <w:tcW w:type="dxa" w:w="1644"/>
          </w:tcPr>
          <w:p>
            <w:pPr>
              <w:bidi w:val="1"/>
              <w:jc w:val="both"/>
            </w:pPr>
            <w:r/>
            <w:r>
              <w:rPr>
                <w:rFonts w:ascii="B Nazanin" w:hAnsi="B Nazanin" w:cs="B Nazanin" w:hint="cs"/>
                <w:sz w:val="22"/>
                <w:szCs w:val="22"/>
                <w:rtl/>
                <w:lang w:bidi="fa-IR"/>
              </w:rPr>
              <w:t xml:space="preserve">۵ تا ۳۰ برای هر طرحواره</w:t>
            </w:r>
          </w:p>
        </w:tc>
        <w:tc>
          <w:tcPr>
            <w:tcW w:type="dxa" w:w="1644"/>
          </w:tcPr>
          <w:p>
            <w:pPr>
              <w:bidi w:val="1"/>
              <w:jc w:val="both"/>
            </w:pPr>
            <w:r/>
            <w:r>
              <w:rPr>
                <w:rFonts w:ascii="B Nazanin" w:hAnsi="B Nazanin" w:cs="B Nazanin" w:hint="cs"/>
                <w:sz w:val="22"/>
                <w:szCs w:val="22"/>
                <w:rtl/>
                <w:lang w:bidi="fa-IR"/>
              </w:rPr>
              <w:t xml:space="preserve">یوسفی (۱۳۹۶)</w:t>
            </w:r>
          </w:p>
        </w:tc>
      </w:tr>
      <w:tr>
        <w:tc>
          <w:tcPr>
            <w:tcW w:type="dxa" w:w="1644"/>
          </w:tcPr>
          <w:p>
            <w:pPr>
              <w:bidi w:val="1"/>
              <w:jc w:val="both"/>
            </w:pPr>
            <w:r/>
            <w:r>
              <w:rPr>
                <w:rFonts w:ascii="B Nazanin" w:hAnsi="B Nazanin" w:cs="B Nazanin" w:hint="cs"/>
                <w:sz w:val="22"/>
                <w:szCs w:val="22"/>
                <w:rtl/>
                <w:lang w:bidi="fa-IR"/>
              </w:rPr>
              <w:t xml:space="preserve">مقیاس تحمل ریسک مالی گرابل و لایتون</w:t>
            </w:r>
            <w:r>
              <w:rPr>
                <w:rFonts w:ascii="Times New Roman" w:hAnsi="Times New Roman" w:cs="Times New Roman"/>
                <w:sz w:val="20"/>
                <w:szCs w:val="20"/>
                <w:lang w:val="en-US"/>
              </w:rPr>
              <w:t xml:space="preserve"> (GL-RTS)</w:t>
            </w:r>
          </w:p>
        </w:tc>
        <w:tc>
          <w:tcPr>
            <w:tcW w:type="dxa" w:w="1644"/>
          </w:tcPr>
          <w:p>
            <w:pPr>
              <w:bidi w:val="1"/>
              <w:jc w:val="both"/>
            </w:pPr>
            <w:r/>
            <w:r>
              <w:rPr>
                <w:rFonts w:ascii="B Nazanin" w:hAnsi="B Nazanin" w:cs="B Nazanin" w:hint="cs"/>
                <w:sz w:val="22"/>
                <w:szCs w:val="22"/>
                <w:rtl/>
                <w:lang w:bidi="fa-IR"/>
              </w:rPr>
              <w:t xml:space="preserve">۱۳</w:t>
            </w:r>
          </w:p>
        </w:tc>
        <w:tc>
          <w:tcPr>
            <w:tcW w:type="dxa" w:w="1644"/>
          </w:tcPr>
          <w:p>
            <w:pPr>
              <w:bidi w:val="1"/>
              <w:jc w:val="both"/>
            </w:pPr>
            <w:r/>
            <w:r>
              <w:rPr>
                <w:rFonts w:ascii="B Nazanin" w:hAnsi="B Nazanin" w:cs="B Nazanin" w:hint="cs"/>
                <w:sz w:val="22"/>
                <w:szCs w:val="22"/>
                <w:rtl/>
                <w:lang w:bidi="fa-IR"/>
              </w:rPr>
              <w:t xml:space="preserve">تک‌گزینه‌ای با ۴ گزینه متنی ویژه هر سؤال</w:t>
            </w:r>
          </w:p>
        </w:tc>
        <w:tc>
          <w:tcPr>
            <w:tcW w:type="dxa" w:w="1644"/>
          </w:tcPr>
          <w:p>
            <w:pPr>
              <w:bidi w:val="1"/>
              <w:jc w:val="both"/>
            </w:pPr>
            <w:r/>
            <w:r>
              <w:rPr>
                <w:rFonts w:ascii="B Nazanin" w:hAnsi="B Nazanin" w:cs="B Nazanin" w:hint="cs"/>
                <w:sz w:val="22"/>
                <w:szCs w:val="22"/>
                <w:rtl/>
                <w:lang w:bidi="fa-IR"/>
              </w:rPr>
              <w:t xml:space="preserve">۱۳ تا ۴۵</w:t>
            </w:r>
          </w:p>
        </w:tc>
        <w:tc>
          <w:tcPr>
            <w:tcW w:type="dxa" w:w="1644"/>
          </w:tcPr>
          <w:p>
            <w:pPr>
              <w:bidi w:val="1"/>
              <w:jc w:val="both"/>
            </w:pPr>
            <w:r/>
            <w:r>
              <w:rPr>
                <w:rFonts w:ascii="B Nazanin" w:hAnsi="B Nazanin" w:cs="B Nazanin" w:hint="cs"/>
                <w:sz w:val="22"/>
                <w:szCs w:val="22"/>
                <w:rtl/>
                <w:lang w:bidi="fa-IR"/>
              </w:rPr>
              <w:t xml:space="preserve">طالبی و همکاران (۱۳۹۸)</w:t>
            </w:r>
          </w:p>
        </w:tc>
      </w:tr>
    </w:tbl>
    <w:p>
      <w:pPr>
        <w:bidi w:val="1"/>
        <w:spacing w:lineRule="exact" w:line="580" w:after="0"/>
        <w:jc w:val="both"/>
      </w:pPr>
      <w:r>
        <w:rPr>
          <w:rFonts w:ascii="B Nazanin" w:hAnsi="B Nazanin" w:cs="B Nazanin" w:hint="cs"/>
          <w:sz w:val="24"/>
          <w:szCs w:val="24"/>
          <w:rtl/>
          <w:lang w:bidi="fa-IR"/>
        </w:rPr>
        <w:t xml:space="preserve">سه ابزار معرفی‌شده با مدل میانجی‌گری پژوهش هم‌راستا هستند؛ به این صورت که فرم صفتی اسپیلبرگر متغیر مستقل (اضطراب صفتی)، فرم کوتاه پرسشنامه طرحواره یانگ متغیر میانجی (طرحواره‌های ناسازگار اولیه) و مقیاس تحمل ریسک مالی گرابل و لایتون متغیر وابسته (رفتارهای مالی پرخطر) را می‌سنجند. جهت نمره‌گذاری در هر سه ابزار به گونه‌ای تنظیم شده است که نمره بالاتر، نشان‌دهنده شدت بیشتر سازه متناظر باشد و این ویژگی، تفسیر روابط فرضیه‌های پژوهش را در فصل چهارم تسهیل می‌کند. هر سه ابزار به همراه سؤالات جمعیت‌شناختی در یک پرسشنامه آنلاین یکپارچه در پلتفرم پرس‌لاین اجرا می‌شوند تا نرخ ریزش شرکت‌کنندگان در میانه پاسخ‌دهی به حداقل برسد.</w:t>
      </w:r>
    </w:p>
    <w:p>
      <w:pPr>
        <w:pStyle w:val="Heading2"/>
        <w:bidi w:val="1"/>
        <w:jc w:val="right"/>
        <w:outlineLvl w:val="1"/>
      </w:pPr>
      <w:r>
        <w:rPr>
          <w:rFonts w:ascii="B Nazanin" w:hAnsi="B Nazanin" w:cs="B Nazanin" w:hint="cs"/>
          <w:b/>
          <w:bCs/>
          <w:sz w:val="28"/>
          <w:szCs w:val="28"/>
          <w:rtl/>
          <w:lang w:bidi="fa-IR"/>
        </w:rPr>
        <w:t xml:space="preserve">۳-۵. روش اجرای پژوهش</w:t>
      </w:r>
    </w:p>
    <w:p>
      <w:pPr>
        <w:bidi w:val="1"/>
        <w:spacing w:lineRule="exact" w:line="580" w:after="0"/>
        <w:jc w:val="both"/>
      </w:pPr>
      <w:r>
        <w:rPr>
          <w:rFonts w:ascii="B Nazanin" w:hAnsi="B Nazanin" w:cs="B Nazanin" w:hint="cs"/>
          <w:sz w:val="24"/>
          <w:szCs w:val="24"/>
          <w:rtl/>
          <w:lang w:bidi="fa-IR"/>
        </w:rPr>
        <w:t xml:space="preserve">اجرای پژوهش حاضر به‌صورت آنلاین و از طریق یک فرم یکپارچه در نظر گرفته شده است و همه مراحل آن — از اخذ رضایت آگاهانه تا آماده‌سازی داده‌ها برای تحلیل — بر اساس مصوبات پروپوزال طراحی شده است. پیش‌شرط آغاز گردآوری داده‌ها، طی‌شدن دو مرحله اداری است: تصویب نهایی پروپوزال در شورای پژوهشی دانشکده و ارسال آن به کمیته اخلاق در پژوهش دانشگاه علم و هنر یزد جهت اخذ کد اخلاق؛ بنابراین جمع‌آوری داده‌ها تنها پس از دریافت تأییدیه نهایی کمیته اخلاق آغاز خواهد شد.</w:t>
      </w:r>
    </w:p>
    <w:p>
      <w:pPr>
        <w:bidi w:val="1"/>
        <w:spacing w:lineRule="exact" w:line="580" w:after="0"/>
        <w:jc w:val="both"/>
      </w:pPr>
      <w:r>
        <w:rPr>
          <w:rFonts w:ascii="B Nazanin" w:hAnsi="B Nazanin" w:cs="B Nazanin" w:hint="cs"/>
          <w:sz w:val="24"/>
          <w:szCs w:val="24"/>
          <w:rtl/>
          <w:lang w:bidi="fa-IR"/>
        </w:rPr>
        <w:t xml:space="preserve">ساختار فرم آنلاین که در پلتفرم پرس‌لاین طراحی شده است، صفحه‌های زیر را به ترتیب در بر می‌گیرد: صفحه معرفی پژوهش؛ صفحه رضایت‌نامه آگاهانه همراه با سؤال موافقت؛ سه سؤال غربالگری؛ سؤالات جمعیت‌شناختی و معاملاتی؛ پرسشنامه اضطراب حالت-صفت اسپیلبرگر — فرم صفتی؛ پرسشنامه طرحواره یانگ — فرم کوتاه در سه صفحه متوالی؛ مقیاس تحمل ریسک مالی گرابل و لایتون؛ و در پایان، صفحه تشکر. همه سؤالات فرم اجباری تنظیم شده‌اند تا از ثبت داده ناقص جلوگیری شود، نوار پیشرفت برای شرکت‌کنندگان فعال است و تکمیل فرم حدود ۱۵ تا ۲۰ دقیقه برآورد می‌شود.</w:t>
      </w:r>
    </w:p>
    <w:p>
      <w:pPr>
        <w:bidi w:val="1"/>
        <w:spacing w:lineRule="exact" w:line="580" w:after="0"/>
        <w:jc w:val="both"/>
      </w:pPr>
      <w:r>
        <w:rPr>
          <w:rFonts w:ascii="B Nazanin" w:hAnsi="B Nazanin" w:cs="B Nazanin" w:hint="cs"/>
          <w:sz w:val="24"/>
          <w:szCs w:val="24"/>
          <w:rtl/>
          <w:lang w:bidi="fa-IR"/>
        </w:rPr>
        <w:t xml:space="preserve">مراحل اخذ رضایت آگاهانه به این صورت طراحی شده است که در صفحه نخست، متن کامل رضایت‌نامه شامل اهداف پژوهش، ماهیت داوطلبانه شرکت، تضمین کامل محرمانه‌ماندن و ناشناس‌بودن اطلاعات شرکت‌کنندگان به‌طور شفاف در اختیار شرکت‌کننده قرار می‌گیرد و بر داوطلبانه و آزادانه‌بودن رضایت تأکید می‌شود. سپس سؤال تک‌گزینه‌ای موافقت با دو گزینه «بله، رضایت دارم» و «خیر، مایل به شرکت نیستم» نمایش داده می‌شود. تنها در صورت انتخاب گزینه موافقت، ورود به ادامه فرم ممکن خواهد بود و در غیر این صورت، فرم با پیام تشکر پایان می‌یابد.</w:t>
      </w:r>
    </w:p>
    <w:p>
      <w:pPr>
        <w:bidi w:val="1"/>
        <w:spacing w:lineRule="exact" w:line="580" w:after="0"/>
        <w:jc w:val="both"/>
      </w:pPr>
      <w:r>
        <w:rPr>
          <w:rFonts w:ascii="B Nazanin" w:hAnsi="B Nazanin" w:cs="B Nazanin" w:hint="cs"/>
          <w:sz w:val="24"/>
          <w:szCs w:val="24"/>
          <w:rtl/>
          <w:lang w:bidi="fa-IR"/>
        </w:rPr>
        <w:t xml:space="preserve">پس از تأیید رضایت، نوبت به منطق غربالگری می‌رسد؛ منطقی متشکل از سه سؤال بله/خیر اجباری: (۱) داشتن ۱۸ سال یا بیشتر؛ (۲) معامله‌گر حقیقی بودن و معامله با سرمایه شخصی؛ و (۳) داشتن حداقل شش ماه سابقه معامله‌گری واقعی. در هر یک از این سه سؤال، پاسخ منفی به پایان فرم و نمایش پیام تشکر منجر می‌شود؛ به این ترتیب، ملاک‌های ورود به‌صورت خودکار و پیش از ورود به بخش اصلی پرسشنامه‌ها اعمال می‌شوند و تنها شرکت‌کنندگان واجد شرایط به ابزارهای اصلی دسترسی خواهند یافت. این منطق غربالگری در فرم آنلاین به‌صورت شرطی پیاده‌سازی شده است تا هیچ پاسخ غیرمربوطی وارد داده‌های تحلیل نشود.</w:t>
      </w:r>
    </w:p>
    <w:p>
      <w:pPr>
        <w:bidi w:val="1"/>
        <w:spacing w:lineRule="exact" w:line="580" w:after="0"/>
        <w:jc w:val="both"/>
      </w:pPr>
      <w:r>
        <w:rPr>
          <w:rFonts w:ascii="B Nazanin" w:hAnsi="B Nazanin" w:cs="B Nazanin" w:hint="cs"/>
          <w:sz w:val="24"/>
          <w:szCs w:val="24"/>
          <w:rtl/>
          <w:lang w:bidi="fa-IR"/>
        </w:rPr>
        <w:t xml:space="preserve">ترتیب اجرای پرسشنامه‌ها نیز به این صورت است. نخست اطلاعات جمعیت‌شناختی و معاملاتی ثبت می‌شود؛ متغیرهایی شامل سن، جنسیت، وضعیت تأهل، سطح تحصیلات و وضعیت اشتغال، و نیز بازار اصلی فعالیت، سابقه معامله‌گری به ماه، تعداد معاملات در شش ماه اخیر و حدود سرمایه. سپس پرسشنامه اضطراب صفتی اسپیلبرگر اجرا می‌شود؛ پس از آن پرسشنامه طرحواره‌های ناسازگار اولیه یانگ در سه صفحه ارائه می‌شود؛ و در نهایت مقیاس تحمل ریسک مالی گرابل و لایتون اجرا خواهد شد. این ترتیب در مشخصه ساخت فرم آنلاین نیز به همین شکل تعیین شده است.</w:t>
      </w:r>
    </w:p>
    <w:p>
      <w:pPr>
        <w:bidi w:val="1"/>
        <w:spacing w:lineRule="exact" w:line="580" w:after="0"/>
        <w:jc w:val="both"/>
      </w:pPr>
      <w:r>
        <w:rPr>
          <w:rFonts w:ascii="B Nazanin" w:hAnsi="B Nazanin" w:cs="B Nazanin" w:hint="cs"/>
          <w:sz w:val="24"/>
          <w:szCs w:val="24"/>
          <w:rtl/>
          <w:lang w:bidi="fa-IR"/>
        </w:rPr>
        <w:t xml:space="preserve">گردآوری داده‌ها به مدت تقریبی دو ماه برنامه‌ریزی شده است. لینک فرم از طریق کانال‌ها، گروه‌ها و انجمن‌های تخصصی معامله‌گری در شبکه‌های اجتماعی (مانند تلگرام، اینستاگرام و سایر پلتفرم‌ها) منتشر خواهد شد و از شرکت‌کنندگان واجد شرایط نیز خواسته می‌شود لینک را برای سایر معامله‌گران آشنای خود ارسال کنند. پس از رسیدن به حجم نمونه هدف، گردآوری داده‌ها متوقف می‌شود. از آنجا که فرآیند گردآوری کاملاً آنلاین انجام می‌شود، همه مراحل اجرا برای تمامی شرکت‌کنندگان با ترتیب یکسانی صورت می‌گیرد و شرایط اجرا برای همه افراد یکسان است؛ این یکنواختی، قابلیت مقایسه پاسخ‌ها را افزایش می‌دهد و در پایان فرم نیز صفحه تشکر از شرکت‌کنندگان نمایش داده می‌شود.</w:t>
      </w:r>
    </w:p>
    <w:p>
      <w:pPr>
        <w:bidi w:val="1"/>
        <w:spacing w:lineRule="exact" w:line="580" w:after="0"/>
        <w:jc w:val="both"/>
      </w:pPr>
      <w:r>
        <w:rPr>
          <w:rFonts w:ascii="B Nazanin" w:hAnsi="B Nazanin" w:cs="B Nazanin" w:hint="cs"/>
          <w:sz w:val="24"/>
          <w:szCs w:val="24"/>
          <w:rtl/>
          <w:lang w:bidi="fa-IR"/>
        </w:rPr>
        <w:t xml:space="preserve">در راستای حفاظت از ناشناس‌بودن پاسخ‌ها، در فرم هیچ سؤالی برای دریافت نام، شماره تماس، کد ملی یا ایمیل گنجانده نشده است و اطلاعات هویتی ذخیره نخواهد شد. برای جلوگیری از ثبت پاسخ تکراری نیز محدودیت «هر کاربر فقط یک بار» بدون ذخیره هیچ داده هویتی فعال می‌شود.</w:t>
      </w:r>
    </w:p>
    <w:p>
      <w:pPr>
        <w:bidi w:val="1"/>
        <w:spacing w:lineRule="exact" w:line="580" w:after="0"/>
        <w:jc w:val="both"/>
      </w:pPr>
      <w:r>
        <w:rPr>
          <w:rFonts w:ascii="B Nazanin" w:hAnsi="B Nazanin" w:cs="B Nazanin" w:hint="cs"/>
          <w:sz w:val="24"/>
          <w:szCs w:val="24"/>
          <w:rtl/>
          <w:lang w:bidi="fa-IR"/>
        </w:rPr>
        <w:t xml:space="preserve">کنترل کیفیت داده‌ها پس از اتمام گردآوری و در مرحله پاک‌سازی صورت می‌گیرد. در این مرحله، پاسخ‌های فاقد تأیید رضایت‌نامه حذف می‌شوند؛ فرم‌های ناقص کنار گذاشته می‌شوند؛ پاسخ‌هایی که الگوی یکنواخت و غیرواقعی دارند (مانند انتخاب یک گزینه ثابت در همه گویه‌ها) شناسایی و از مجموعه داده خارج می‌شوند؛ پاسخ‌هایی که زمان تکمیل آن‌ها به‌طور نامتعارفی کوتاه‌تر از حداقل زمان لازم برای مطالعه سؤالات باشد حذف می‌گردند؛ و تکرار احتمالی پاسخ‌ها نیز بررسی می‌شود. همچنین در صورت مشاهده پاسخ‌های مشابه از سوی بیش از یک نفر، موارد تکراری بررسی و در صورت لزوم حذف می‌شوند. در پایان، داده‌های باقی‌مانده بر اساس کدهای خروجی فرم کدگذاری می‌شوند و برای تحلیل در اختیار نرم‌افزار آماری قرار می‌گیرند.</w:t>
      </w:r>
    </w:p>
    <w:p>
      <w:pPr>
        <w:pStyle w:val="Heading2"/>
        <w:bidi w:val="1"/>
        <w:jc w:val="right"/>
        <w:outlineLvl w:val="1"/>
      </w:pPr>
      <w:r>
        <w:rPr>
          <w:rFonts w:ascii="B Nazanin" w:hAnsi="B Nazanin" w:cs="B Nazanin" w:hint="cs"/>
          <w:b/>
          <w:bCs/>
          <w:sz w:val="28"/>
          <w:szCs w:val="28"/>
          <w:rtl/>
          <w:lang w:bidi="fa-IR"/>
        </w:rPr>
        <w:t xml:space="preserve">۳-۶. روش تحلیل داده‌ها</w:t>
      </w:r>
    </w:p>
    <w:p>
      <w:pPr>
        <w:bidi w:val="1"/>
        <w:spacing w:lineRule="exact" w:line="580" w:after="0"/>
        <w:jc w:val="both"/>
      </w:pPr>
      <w:r>
        <w:rPr>
          <w:rFonts w:ascii="B Nazanin" w:hAnsi="B Nazanin" w:cs="B Nazanin" w:hint="cs"/>
          <w:sz w:val="24"/>
          <w:szCs w:val="24"/>
          <w:rtl/>
          <w:lang w:bidi="fa-IR"/>
        </w:rPr>
        <w:t xml:space="preserve">تحلیل داده‌ها در دو سطح توصیفی و استنباطی و بر اساس طرح تحلیلی مندرج در پروپوزال صورت می‌گیرد. در این بخش، مراحل آماده‌سازی داده‌ها، شاخص‌های توصیفی، روش ارزیابی پایایی ابزارها، پیش‌فرض‌های تحلیل، روش‌های آزمون فرضیه‌ها و نرم‌افزارهای مورد استفاده به تفصیل بیان می‌شود.</w:t>
      </w:r>
    </w:p>
    <w:p>
      <w:pPr>
        <w:bidi w:val="1"/>
        <w:spacing w:lineRule="exact" w:line="580" w:after="0"/>
        <w:jc w:val="both"/>
      </w:pPr>
      <w:r>
        <w:rPr>
          <w:rFonts w:ascii="B Nazanin" w:hAnsi="B Nazanin" w:cs="B Nazanin" w:hint="cs"/>
          <w:b/>
          <w:bCs/>
          <w:sz w:val="24"/>
          <w:szCs w:val="24"/>
          <w:rtl/>
          <w:lang w:bidi="fa-IR"/>
        </w:rPr>
        <w:t xml:space="preserve">آماده‌سازی داده‌ها.</w:t>
      </w:r>
      <w:r>
        <w:rPr>
          <w:rFonts w:ascii="B Nazanin" w:hAnsi="B Nazanin" w:cs="B Nazanin" w:hint="cs"/>
          <w:sz w:val="24"/>
          <w:szCs w:val="24"/>
          <w:rtl/>
          <w:lang w:bidi="fa-IR"/>
        </w:rPr>
        <w:t xml:space="preserve"> پس از پایان گردآوری و اعمال کنترل‌های کیفی بیان‌شده در بخش روش اجرا، داده‌های خام بر اساس کدهای خروجی فرم شامل سؤالات جمعیت‌شناختی و معاملاتی، گویه‌های اضطراب صفتی، گویه‌های طرحواره‌ها و سؤالات تحمل ریسک کدگذاری می‌شوند؛ متغیرهای طبقه‌ای مانند جنسیت، سطح تحصیلات و بازار اصلی فعالیت نیز در همین مرحله کد عددی می‌گیرند. نمره‌گذاری گویه‌ها بر اساس راهنمای رسمی هر ابزار صورت می‌گیرد (اسپیلبرگر، ۱۹۸۳؛ یانگ، ۱۹۹۸؛ گرابل و لایتون، ۱۹۹۹). برای فرم صفتی اسپیلبرگر، نمره کل با احتساب نمره‌گذاری معکوس گویه‌های معکوس طبق راهنمای ابزار، در دامنه ۲۰ تا ۸۰ محاسبه می‌شود؛ برای فرم کوتاه یانگ، نمره هر یک از ۱۵ طرحواره در دامنه ۵ تا ۳۰ به دست می‌آید؛ و نمره کل مقیاس تحمل ریسک مالی بین ۱۳ تا ۴۵ محاسبه می‌شود. از آنجا که کلید نمره‌گذاری، فهرست گویه‌های معکوس و مرز خرده‌مقیاس‌ها در فرم منتشرشده درج نشده است، این کلیدها پیش از تحلیل از راهنمای اصلی ابزارها استخراج می‌شوند. در همین مرحله، داده‌های ناقص باقی‌مانده، پاسخ‌های پرت و الگوهای مشکوک نیز بررسی می‌شوند و وضعیت آن‌ها تعیین می‌گردد. گفتنی است که به دلیل اجباری‌بودن همه سؤالات فرم، وقوع داده گمشده به حداقل ممکن محدود شده است و موارد معدود باقی‌مانده نیز پیش از تحلیل رسیدگی می‌شوند.</w:t>
      </w:r>
    </w:p>
    <w:p>
      <w:pPr>
        <w:bidi w:val="1"/>
        <w:spacing w:lineRule="exact" w:line="580" w:after="0"/>
        <w:jc w:val="both"/>
      </w:pPr>
      <w:r>
        <w:rPr>
          <w:rFonts w:ascii="B Nazanin" w:hAnsi="B Nazanin" w:cs="B Nazanin" w:hint="cs"/>
          <w:b/>
          <w:bCs/>
          <w:sz w:val="24"/>
          <w:szCs w:val="24"/>
          <w:rtl/>
          <w:lang w:bidi="fa-IR"/>
        </w:rPr>
        <w:t xml:space="preserve">آمار توصیفی.</w:t>
      </w:r>
      <w:r>
        <w:rPr>
          <w:rFonts w:ascii="B Nazanin" w:hAnsi="B Nazanin" w:cs="B Nazanin" w:hint="cs"/>
          <w:sz w:val="24"/>
          <w:szCs w:val="24"/>
          <w:rtl/>
          <w:lang w:bidi="fa-IR"/>
        </w:rPr>
        <w:t xml:space="preserve"> برای توصیف متغیرهای اصلی پژوهش — اضطراب صفتی، طرحواره‌های ناسازگار اولیه و رفتارهای مالی پرخطر — از شاخص‌های میانگین، انحراف معیار، حداقل و حداکثر استفاده می‌شود. برای متغیرهای جمعیت‌شناختی و معاملاتی نیز فراوانی و درصد گزارش می‌شود؛ این متغیرها شامل سن، جنسیت، وضعیت تأهل و سطح تحصیلات از یک سو و وضعیت اشتغال، بازار اصلی فعالیت و سابقه معامله‌گری از سوی دیگر هستند. این شاخص‌ها تصویری کلی از ویژگی‌های نمونه ارائه می‌دهند و مبنای تفسیر یافته‌های استنباطی خواهند بود و در قالب جدول و نمودار در فصل چهارم ارائه می‌شوند.</w:t>
      </w:r>
    </w:p>
    <w:p>
      <w:pPr>
        <w:bidi w:val="1"/>
        <w:spacing w:lineRule="exact" w:line="580" w:after="0"/>
        <w:jc w:val="both"/>
      </w:pPr>
      <w:r>
        <w:rPr>
          <w:rFonts w:ascii="B Nazanin" w:hAnsi="B Nazanin" w:cs="B Nazanin" w:hint="cs"/>
          <w:b/>
          <w:bCs/>
          <w:sz w:val="24"/>
          <w:szCs w:val="24"/>
          <w:rtl/>
          <w:lang w:bidi="fa-IR"/>
        </w:rPr>
        <w:t xml:space="preserve">پایایی ابزارها در نمونه پژوهش.</w:t>
      </w:r>
      <w:r>
        <w:rPr>
          <w:rFonts w:ascii="B Nazanin" w:hAnsi="B Nazanin" w:cs="B Nazanin" w:hint="cs"/>
          <w:sz w:val="24"/>
          <w:szCs w:val="24"/>
          <w:rtl/>
          <w:lang w:bidi="fa-IR"/>
        </w:rPr>
        <w:t xml:space="preserve"> پایایی درونی هر سه ابزار برای نمونه پژوهش حاضر با آلفای کرونباخ محاسبه می‌شود و مقادیر آن به تفکیک ابزار و خرده‌مقیاس‌ها در فصل چهارم گزارش خواهد شد. افزون بر نمره‌های کل سه ابزار، پایایی ۱۵ خرده‌مقیاس فرم کوتاه یانگ نیز به‌صورت جداگانه ارزیابی می‌شود. از آنجا که در این مرحله از تدوین رساله هنوز داده‌ای گردآوری نشده است، هیچ مقدار عددی برای پایایی در این فصل ذکر نمی‌شود و گزارش کمّی آن به فصل چهارم موکول می‌گردد و سازگاری مقادیر به‌دست‌آمده با یافته‌های روان‌سنجی پژوهش‌های پیشین نیز در همان فصل بحث می‌شود.</w:t>
      </w:r>
    </w:p>
    <w:p>
      <w:pPr>
        <w:bidi w:val="1"/>
        <w:spacing w:lineRule="exact" w:line="580" w:after="0"/>
        <w:jc w:val="both"/>
      </w:pPr>
      <w:r>
        <w:rPr>
          <w:rFonts w:ascii="B Nazanin" w:hAnsi="B Nazanin" w:cs="B Nazanin" w:hint="cs"/>
          <w:b/>
          <w:bCs/>
          <w:sz w:val="24"/>
          <w:szCs w:val="24"/>
          <w:rtl/>
          <w:lang w:bidi="fa-IR"/>
        </w:rPr>
        <w:t xml:space="preserve">بررسی پیش‌فرض‌های تحلیل.</w:t>
      </w:r>
      <w:r>
        <w:rPr>
          <w:rFonts w:ascii="B Nazanin" w:hAnsi="B Nazanin" w:cs="B Nazanin" w:hint="cs"/>
          <w:sz w:val="24"/>
          <w:szCs w:val="24"/>
          <w:rtl/>
          <w:lang w:bidi="fa-IR"/>
        </w:rPr>
        <w:t xml:space="preserve"> پیش از اجرای آزمون‌های استنباطی، مفروضه‌های لازم بررسی می‌شوند: نرمال‌بودن توزیع متغیرها با شاخص‌های توصیفی مانند چولگی و کشیدگی و نیز بررسی نمودارها ارزیابی می‌شود. در صورت انحراف شدید از توزیع نرمال نیز تصمیم مقتضی درباره شیوه تحلیل بر همین اساس اتخاذ می‌گردد. خطی‌بودن روابط میان متغیرها بررسی می‌شود؛ نبود هم‌خطی شدید میان متغیرهای پیش‌بین ارزیابی می‌گردد؛ داده‌های پرت — که می‌توانند برآورد ضرایب همبستگی و پارامترهای مدل میانجی‌گری را مخدوش کنند — شناسایی و وضعیت آن‌ها تعیین می‌شود؛ و کفایت حجم نمونه برای روش اصلی تحلیل مورد ارزیابی قرار می‌گیرد. بر اساس قواعد تجربی مدل‌یابی معادلات ساختاری، حجم نمونه‌ای در حدود ۲۰۰ نفر برای برآوردهای پایا مناسب تلقی می‌شود (کلاین، ۲۰۱۶)؛ همان‌گونه که در بخش حجم نمونه بیان شد، هدف پژوهش رسیدن به همین کران است و در صورت عدم دسترسی کافی، تحلیل با حداقل ۱۰۰ نفر و با ذکر صریح محدودیت انجام می‌گیرد. نتیجه بررسی این پیش‌فرض‌ها، چارچوب روش تحلیلی نهایی را مشخص می‌کند و مستندسازی آن در گزارش فصل چهارم انجام می‌گیرد.</w:t>
      </w:r>
    </w:p>
    <w:p>
      <w:pPr>
        <w:bidi w:val="1"/>
        <w:spacing w:lineRule="exact" w:line="580" w:after="0"/>
        <w:jc w:val="both"/>
      </w:pPr>
      <w:r>
        <w:rPr>
          <w:rFonts w:ascii="B Nazanin" w:hAnsi="B Nazanin" w:cs="B Nazanin" w:hint="cs"/>
          <w:b/>
          <w:bCs/>
          <w:sz w:val="24"/>
          <w:szCs w:val="24"/>
          <w:rtl/>
          <w:lang w:bidi="fa-IR"/>
        </w:rPr>
        <w:t xml:space="preserve">آزمون فرضیه‌های فرعی.</w:t>
      </w:r>
      <w:r>
        <w:rPr>
          <w:rFonts w:ascii="B Nazanin" w:hAnsi="B Nazanin" w:cs="B Nazanin" w:hint="cs"/>
          <w:sz w:val="24"/>
          <w:szCs w:val="24"/>
          <w:rtl/>
          <w:lang w:bidi="fa-IR"/>
        </w:rPr>
        <w:t xml:space="preserve"> برای بررسی روابط دوجانبه میان متغیرهای پژوهش در قالب فرضیه‌های فرعی، از ضریب همبستگی پیرسون استفاده خواهد شد؛ پیش از آن، ماتریس همبستگی میان همه متغیرهای اصلی تشکیل می‌شود که مبنای بررسی هم‌خطی نیز خواهد بود. این ضریب، جهت و شدت رابطه خطی میان هر جفت از متغیرها را نشان می‌دهد. باید توجه داشت که با توجه به مقطعی‌بودن طرح پژوهش، همبستگی‌ها صرفاً در سطح رابطه تفسیر می‌شوند و دلالت علّی ندارند. سطح معناداری در همه آزمون‌های پژوهش ۰٫۰۵ در نظر گرفته شده است.</w:t>
      </w:r>
    </w:p>
    <w:p>
      <w:pPr>
        <w:bidi w:val="1"/>
        <w:spacing w:lineRule="exact" w:line="580" w:after="0"/>
        <w:jc w:val="both"/>
      </w:pPr>
      <w:r>
        <w:rPr>
          <w:rFonts w:ascii="B Nazanin" w:hAnsi="B Nazanin" w:cs="B Nazanin" w:hint="cs"/>
          <w:b/>
          <w:bCs/>
          <w:sz w:val="24"/>
          <w:szCs w:val="24"/>
          <w:rtl/>
          <w:lang w:bidi="fa-IR"/>
        </w:rPr>
        <w:t xml:space="preserve">آزمون فرضیه اصلی و مدل میانجی‌گری.</w:t>
      </w:r>
      <w:r>
        <w:rPr>
          <w:rFonts w:ascii="B Nazanin" w:hAnsi="B Nazanin" w:cs="B Nazanin" w:hint="cs"/>
          <w:sz w:val="24"/>
          <w:szCs w:val="24"/>
          <w:rtl/>
          <w:lang w:bidi="fa-IR"/>
        </w:rPr>
        <w:t xml:space="preserve"> برای آزمون نقش میانجی طرحواره‌های ناسازگار اولیه در رابطه میان اضطراب صفتی و رفتارهای مالی پرخطر، دو چارچوب تحلیلی در نظر گرفته شده است. در این مدل، اثر کل اضطراب صفتی بر رفتارهای مالی پرخطر به دو مؤلفه اثر مستقیم و اثر غیرمستقیم تجزیه می‌شود و مؤلفه غیرمستقیم، مسیری است که از مجرای طرحواره‌های ناسازگار اولیه عبور می‌کند. روش اصلی، مدل‌سازی معادلات ساختاری در نرم‌افزار</w:t>
      </w:r>
      <w:r>
        <w:rPr>
          <w:rFonts w:ascii="Times New Roman" w:hAnsi="Times New Roman" w:cs="Times New Roman"/>
          <w:sz w:val="22"/>
          <w:szCs w:val="22"/>
          <w:lang w:val="en-US"/>
        </w:rPr>
        <w:t xml:space="preserve"> Amos </w:t>
      </w:r>
      <w:r>
        <w:rPr>
          <w:rFonts w:ascii="B Nazanin" w:hAnsi="B Nazanin" w:cs="B Nazanin" w:hint="cs"/>
          <w:sz w:val="24"/>
          <w:szCs w:val="24"/>
          <w:rtl/>
          <w:lang w:bidi="fa-IR"/>
        </w:rPr>
        <w:t xml:space="preserve">است که در صورت کفایت حجم نمونه (در حدود ۲۰۰ نفر) به کار می‌رود و برازش مدل با شاخص‌های کای‌دو نسبت به درجه آزادی، شاخص برازش تطبیقی و ریشه میانگین مربعات خطای برآورد ارزیابی می‌شود. روش جایگزین و تکمیلی، تحلیل مسیر با ماکروی</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و الگوی شماره ۴ است که اثرات مستقیم و غیرمستقیم را برآورد می‌کند و معناداری اثر غیرمستقیم از طریق روش بوت‌استرپ همراه با فاصله اطمینان ۹۵ درصد آزمون می‌شود (هایز، ۲۰۱۸)؛ در این چارچوب، در صورتی که فاصله اطمینان بوت‌استرپ برای اثر غیرمستقیم عدد صفر را در بر نگیرد، اثر میانجی در سطح ۰٫۰۵ معنادار تلقی می‌شود. انتخاب میان این دو روش بر اساس حجم نهایی نمونه تحقق‌یافته و نتایج بررسی پیش‌فرض‌ها صورت می‌گیرد؛ در هر دو حالت، تفسیر نتایج بر اساس منطق میانجی‌گری و در چارچوب نظری پژوهش انجام می‌شود و هیچ نتیجه‌ای پیش از گردآوری و تحلیل واقعی داده‌ها قابل گزارش نیست.</w:t>
      </w:r>
    </w:p>
    <w:p>
      <w:pPr>
        <w:bidi w:val="1"/>
        <w:spacing w:lineRule="exact" w:line="580" w:after="0"/>
        <w:jc w:val="both"/>
      </w:pPr>
      <w:r>
        <w:rPr>
          <w:rFonts w:ascii="B Nazanin" w:hAnsi="B Nazanin" w:cs="B Nazanin" w:hint="cs"/>
          <w:b/>
          <w:bCs/>
          <w:sz w:val="24"/>
          <w:szCs w:val="24"/>
          <w:rtl/>
          <w:lang w:bidi="fa-IR"/>
        </w:rPr>
        <w:t xml:space="preserve">نرم‌افزارها.</w:t>
      </w:r>
      <w:r>
        <w:rPr>
          <w:rFonts w:ascii="B Nazanin" w:hAnsi="B Nazanin" w:cs="B Nazanin" w:hint="cs"/>
          <w:sz w:val="24"/>
          <w:szCs w:val="24"/>
          <w:rtl/>
          <w:lang w:bidi="fa-IR"/>
        </w:rPr>
        <w:t xml:space="preserve"> تحلیل‌های آماری پژوهش با نرم‌افزار</w:t>
      </w:r>
      <w:r>
        <w:rPr>
          <w:rFonts w:ascii="Times New Roman" w:hAnsi="Times New Roman" w:cs="Times New Roman"/>
          <w:sz w:val="22"/>
          <w:szCs w:val="22"/>
          <w:lang w:val="en-US"/>
        </w:rPr>
        <w:t xml:space="preserve"> SPSS </w:t>
      </w:r>
      <w:r>
        <w:rPr>
          <w:rFonts w:ascii="B Nazanin" w:hAnsi="B Nazanin" w:cs="B Nazanin" w:hint="cs"/>
          <w:sz w:val="24"/>
          <w:szCs w:val="24"/>
          <w:rtl/>
          <w:lang w:bidi="fa-IR"/>
        </w:rPr>
        <w:t xml:space="preserve">نسخه ۲۶ و (در صورت امکان) نرم‌افزار</w:t>
      </w:r>
      <w:r>
        <w:rPr>
          <w:rFonts w:ascii="Times New Roman" w:hAnsi="Times New Roman" w:cs="Times New Roman"/>
          <w:sz w:val="22"/>
          <w:szCs w:val="22"/>
          <w:lang w:val="en-US"/>
        </w:rPr>
        <w:t xml:space="preserve"> Amos </w:t>
      </w:r>
      <w:r>
        <w:rPr>
          <w:rFonts w:ascii="B Nazanin" w:hAnsi="B Nazanin" w:cs="B Nazanin" w:hint="cs"/>
          <w:sz w:val="24"/>
          <w:szCs w:val="24"/>
          <w:rtl/>
          <w:lang w:bidi="fa-IR"/>
        </w:rPr>
        <w:t xml:space="preserve">نسخه ۲۴ انجام می‌شود و برای تحلیل مسیر جایگزین، از ماکروی</w:t>
      </w:r>
      <w:r>
        <w:rPr>
          <w:rFonts w:ascii="Times New Roman" w:hAnsi="Times New Roman" w:cs="Times New Roman"/>
          <w:sz w:val="22"/>
          <w:szCs w:val="22"/>
          <w:lang w:val="en-US"/>
        </w:rPr>
        <w:t xml:space="preserve"> PROCESS </w:t>
      </w:r>
      <w:r>
        <w:rPr>
          <w:rFonts w:ascii="B Nazanin" w:hAnsi="B Nazanin" w:cs="B Nazanin" w:hint="cs"/>
          <w:sz w:val="24"/>
          <w:szCs w:val="24"/>
          <w:rtl/>
          <w:lang w:bidi="fa-IR"/>
        </w:rPr>
        <w:t xml:space="preserve">بر بستر</w:t>
      </w:r>
      <w:r>
        <w:rPr>
          <w:rFonts w:ascii="Times New Roman" w:hAnsi="Times New Roman" w:cs="Times New Roman"/>
          <w:sz w:val="22"/>
          <w:szCs w:val="22"/>
          <w:lang w:val="en-US"/>
        </w:rPr>
        <w:t xml:space="preserve"> SPSS </w:t>
      </w:r>
      <w:r>
        <w:rPr>
          <w:rFonts w:ascii="B Nazanin" w:hAnsi="B Nazanin" w:cs="B Nazanin" w:hint="cs"/>
          <w:sz w:val="24"/>
          <w:szCs w:val="24"/>
          <w:rtl/>
          <w:lang w:bidi="fa-IR"/>
        </w:rPr>
        <w:t xml:space="preserve">استفاده می‌گردد.</w:t>
      </w:r>
    </w:p>
    <w:p>
      <w:pPr>
        <w:bidi w:val="1"/>
        <w:spacing w:lineRule="exact" w:line="580" w:after="0"/>
        <w:jc w:val="both"/>
      </w:pPr>
      <w:r>
        <w:rPr>
          <w:rFonts w:ascii="B Nazanin" w:hAnsi="B Nazanin" w:cs="B Nazanin" w:hint="cs"/>
          <w:sz w:val="24"/>
          <w:szCs w:val="24"/>
          <w:rtl/>
          <w:lang w:bidi="fa-IR"/>
        </w:rPr>
        <w:t xml:space="preserve">نتیجه همه تحلیل‌های توصیفی و استنباطی یادشده در فصل چهارم در قالب جدول‌ها و نمودارها گزارش می‌شود و در فصل حاضر هیچ نتیجه، عدد تحلیلی یا یافته‌ای پیش از گردآوری واقعی داده‌ها ارائه نمی‌شود.</w:t>
      </w:r>
    </w:p>
    <w:p>
      <w:pPr>
        <w:pStyle w:val="Heading2"/>
        <w:bidi w:val="1"/>
        <w:jc w:val="right"/>
        <w:outlineLvl w:val="1"/>
      </w:pPr>
      <w:r>
        <w:rPr>
          <w:rFonts w:ascii="B Nazanin" w:hAnsi="B Nazanin" w:cs="B Nazanin" w:hint="cs"/>
          <w:b/>
          <w:bCs/>
          <w:sz w:val="28"/>
          <w:szCs w:val="28"/>
          <w:rtl/>
          <w:lang w:bidi="fa-IR"/>
        </w:rPr>
        <w:t xml:space="preserve">۳-۷. ملاحظات اخلاقی</w:t>
      </w:r>
    </w:p>
    <w:p>
      <w:pPr>
        <w:bidi w:val="1"/>
        <w:spacing w:lineRule="exact" w:line="580" w:after="0"/>
        <w:jc w:val="both"/>
      </w:pPr>
      <w:r>
        <w:rPr>
          <w:rFonts w:ascii="B Nazanin" w:hAnsi="B Nazanin" w:cs="B Nazanin" w:hint="cs"/>
          <w:sz w:val="24"/>
          <w:szCs w:val="24"/>
          <w:rtl/>
          <w:lang w:bidi="fa-IR"/>
        </w:rPr>
        <w:t xml:space="preserve">رعایت اصول اخلاقی در این پژوهش یک الزام بنیادین است. پژوهش حاضر نیز با پایبندی کامل به اصول اخلاقی حاکم بر پژوهش‌های رفتاری با شرکت انسان‌ها طراحی شده و بر همین مبنا اجرا خواهد گردید. پیش از آغاز گردآوری داده‌ها، پروپوزال پس از تصویب شورای تحصیلات تکمیلی گروه روان‌شناسی برای بررسی ملاحظات اخلاقی به کمیته اخلاق در پژوهش دانشگاه علم و هنر یزد ارسال خواهد شد و کد اخلاق پژوهش از این کمیته اخذ می‌گردد؛ آغاز جمع‌آوری داده‌ها منوط به دریافت تأییدیه نهایی کمیته اخلاق است و اجرای کامل پژوهش، در صورت نیاز، پس از اخذ مجوزهای دانشگاهی انجام خواهد شد.</w:t>
      </w:r>
    </w:p>
    <w:p>
      <w:pPr>
        <w:bidi w:val="1"/>
        <w:spacing w:lineRule="exact" w:line="580" w:after="0"/>
        <w:jc w:val="both"/>
      </w:pPr>
      <w:r>
        <w:rPr>
          <w:rFonts w:ascii="B Nazanin" w:hAnsi="B Nazanin" w:cs="B Nazanin" w:hint="cs"/>
          <w:sz w:val="24"/>
          <w:szCs w:val="24"/>
          <w:rtl/>
          <w:lang w:bidi="fa-IR"/>
        </w:rPr>
        <w:t xml:space="preserve">شرکت در پژوهش کاملاً داوطلبانه است. در صفحه ابتدایی فرم، هدف و ماهیت پژوهش به‌طور روشن برای شرکت‌کنندگان توضیح داده می‌شود و شرکت‌کنندگان تنها در صورت تأیید رضایت‌نامه آگاهانه وارد فرم می‌شوند. در متن رضایت‌نامه بر آزادانه و آگاهانه‌بودن رضایت تأکید می‌شود و بیان می‌گردد که شرکت‌کننده اطلاعات مربوط به پژوهش را مطالعه کرده و فرصت پرسیدن سؤالات خود را داشته است؛ همچنین تصریح می‌شود که این پژوهش شامل هیچ‌گونه مداخله درمانی یا مالی نیست و پاسخ‌ها هیچ تأثیری بر وضعیت شغلی یا مالی معامله‌گران نخواهد داشت. همچنین به شرکت‌کنندگان اعلام می‌شود که در هر مرحله امکان انصراف بدون هیچ پیامد منفی را دارند؛ در فرم آنلاین، خروج از فرم در هر لحظه به‌منزله انصراف تلقی می‌شود و داده‌های ثبت‌نشده در هیچ تحلیلی وارد نخواهند شد.</w:t>
      </w:r>
    </w:p>
    <w:p>
      <w:pPr>
        <w:bidi w:val="1"/>
        <w:spacing w:lineRule="exact" w:line="580" w:after="0"/>
        <w:jc w:val="both"/>
      </w:pPr>
      <w:r>
        <w:rPr>
          <w:rFonts w:ascii="B Nazanin" w:hAnsi="B Nazanin" w:cs="B Nazanin" w:hint="cs"/>
          <w:sz w:val="24"/>
          <w:szCs w:val="24"/>
          <w:rtl/>
          <w:lang w:bidi="fa-IR"/>
        </w:rPr>
        <w:t xml:space="preserve">ناشناس‌بودن و محرمانگی پاسخ‌ها در تمام مراحل حفظ می‌شود. هیچ‌گونه اطلاعات هویتی قابل شناسایی مانند نام، نام خانوادگی، شماره تماس، کد ملی یا ایمیل دریافت نمی‌شود و برای جلوگیری از پاسخ تکراری نیز از سازوکاری استفاده می‌شود که در آن هیچ داده هویتی ذخیره نمی‌شود. داده‌ها صرفاً برای اهداف علمی گردآوری می‌شوند و فقط به‌صورت کلی و گروهی و در چارچوب اهداف علمی گزارش می‌شوند و در اختیار هیچ شخص یا نهاد ثالثی قرار نمی‌گیرند؛ هیچ گزارشی در سطح فردی منتشر نمی‌شود و در انتشار نتایج پژوهش نیز هیچ اطلاعاتی که بتواند منجر به شناسایی افراد شود ارائه نمی‌گردد. فایل‌های خروجی پژوهش نیز به‌صورت امن نگهداری می‌شوند و تنها در دسترس پژوهشگر و برای اهداف علمی و دانشگاهی مورد استفاده قرار می‌گیرند.</w:t>
      </w:r>
    </w:p>
    <w:p>
      <w:pPr>
        <w:bidi w:val="1"/>
        <w:spacing w:lineRule="exact" w:line="580" w:after="0"/>
        <w:jc w:val="both"/>
      </w:pPr>
      <w:r>
        <w:rPr>
          <w:rFonts w:ascii="B Nazanin" w:hAnsi="B Nazanin" w:cs="B Nazanin" w:hint="cs"/>
          <w:sz w:val="24"/>
          <w:szCs w:val="24"/>
          <w:rtl/>
          <w:lang w:bidi="fa-IR"/>
        </w:rPr>
        <w:t xml:space="preserve">از آنجا که بخشی از سؤالات پژوهش به احساسات، نگرانی‌ها و تصمیم‌های مالی شرکت‌کنندگان — از جمله تجربه‌های مرتبط با زیان مالی — مربوط می‌شوند، ممکن است پاسخ‌دادن به این سؤالات برای برخی افراد حساسیت‌برانگیز باشد. این نکته در طراحی ابزارها لحاظ شده است؛ چه آنکه گویه‌ها در قالب عبارات کلی درباره احساسات و رفتارهای معمول مطرح می‌شوند و شرکت‌کننده را ملزم به بازگویی جزئیات رویدادهای خاص نمی‌کنند. برای مدیریت این حساسیت، امکان توقف یا انصراف در هر لحظه فراهم است و در رضایت‌نامه به‌طور صریح ذکر می‌شود که پاسخ‌ها هیچ پیامد شغلی یا مالی برای فرد نخواهند داشت. با توجه به ماهیت توصیفی و غیرمداخله‌ای پژوهش، هیچ‌گونه عوارضی متوجه شرکت‌کنندگان نخواهد بود و چارچوب اجرای پژوهش به‌گونه‌ای طراحی شده است که پاسخ‌دادن به سؤالات، بار روانی غیرمتعارفی بر شرکت‌کنندگان تحمیل نکند.</w:t>
      </w:r>
    </w:p>
    <w:p>
      <w:pPr>
        <w:bidi w:val="1"/>
        <w:spacing w:lineRule="exact" w:line="580" w:after="0"/>
        <w:jc w:val="both"/>
      </w:pPr>
      <w:r>
        <w:rPr>
          <w:rFonts w:ascii="B Nazanin" w:hAnsi="B Nazanin" w:cs="B Nazanin" w:hint="cs"/>
          <w:sz w:val="24"/>
          <w:szCs w:val="24"/>
          <w:rtl/>
          <w:lang w:bidi="fa-IR"/>
        </w:rPr>
        <w:t xml:space="preserve">بدین ترتیب، چهارچوب اخلاقی پژوهش بر سه اصل داوطلبانه‌بودن شرکت، ناشناس‌بودن و محرمانگی داده‌ها، و محدود بودن استفاده از داده‌ها به اهداف علمی استوار است و همه سازوکارهای اجرایی فرم آنلاین نیز بر همین اساس طراحی شده‌اند. این ملاحظات، تعهدات پژوهشگر مندرج در پروپوزال و رضایت‌نامه آگاهانه پژوهش را نیز پوشش می‌دهند.</w:t>
      </w:r>
    </w:p>
    <w:p>
      <w:pPr>
        <w:sectPr>
          <w:footerReference w:type="default" r:id="rId18"/>
          <w:pgNumType w:fmt="hindi"/>
          <w:titlePg/>
        </w:sectPr>
      </w:pPr>
    </w:p>
    <w:p>
      <w:pPr>
        <w:bidi w:val="1"/>
        <w:spacing w:lineRule="exact" w:line="580" w:before="120" w:after="240"/>
        <w:jc w:val="center"/>
        <w:outlineLvl w:val="0"/>
      </w:pPr>
      <w:r>
        <w:rPr>
          <w:rFonts w:ascii="B Nazanin" w:hAnsi="B Nazanin" w:cs="B Nazanin" w:hint="cs"/>
          <w:b/>
          <w:bCs/>
          <w:sz w:val="56"/>
          <w:szCs w:val="56"/>
          <w:rtl/>
          <w:lang w:bidi="fa-IR"/>
        </w:rPr>
        <w:t xml:space="preserve">فصل چهارم: یافته‌های پژوهش</w:t>
      </w:r>
    </w:p>
    <w:p>
      <w:pPr>
        <w:bidi w:val="1"/>
        <w:spacing w:lineRule="exact" w:line="580" w:before="0" w:after="200"/>
        <w:jc w:val="center"/>
      </w:pPr>
      <w:r>
        <w:rPr>
          <w:rFonts w:ascii="B Nazanin" w:hAnsi="B Nazanin" w:cs="B Nazanin" w:hint="cs"/>
          <w:b/>
          <w:bCs/>
          <w:sz w:val="28"/>
          <w:szCs w:val="28"/>
          <w:rtl/>
          <w:lang w:bidi="fa-IR"/>
        </w:rPr>
        <w:t xml:space="preserve">نمونه آموزشی مبتنی بر داده شبیه‌سازی‌شده</w:t>
      </w:r>
    </w:p>
    <w:p>
      <w:pPr>
        <w:bidi/>
        <w:jc w:val="center"/>
        <w:spacing w:line="580" w:lineRule="exact"/>
      </w:pPr>
      <w:r>
        <w:rPr>
          <w:rFonts w:ascii="B Nazanin" w:hAnsi="B Nazanin" w:cs="B Nazanin"/>
          <w:i/>
          <w:iCs/>
          <w:sz w:val="22"/>
          <w:szCs w:val="22"/>
        </w:rPr>
        <w:t>این فصل نمونه آموزشی مبتنی بر داده شبیه‌سازی‌شده است و صرفاً برای نمایش روش تحلیل آماری تهیه شده است. متن نهایی فصل پس از تحلیل داده‌های واقعی پژوهش بازنویسی خواهد شد.</w:t>
      </w:r>
    </w:p>
    <w:p>
      <w:r>
        <w:br w:type="page"/>
      </w:r>
    </w:p>
    <w:p>
      <w:pPr>
        <w:pStyle w:val="Heading2"/>
        <w:bidi w:val="1"/>
        <w:jc w:val="right"/>
        <w:outlineLvl w:val="1"/>
      </w:pPr>
      <w:r>
        <w:rPr>
          <w:rFonts w:ascii="B Nazanin" w:hAnsi="B Nazanin" w:cs="B Nazanin" w:hint="cs"/>
          <w:b/>
          <w:bCs/>
          <w:sz w:val="28"/>
          <w:szCs w:val="28"/>
          <w:rtl/>
          <w:lang w:bidi="fa-IR"/>
        </w:rPr>
        <w:t xml:space="preserve">۴-۱. مقدمه</w:t>
      </w:r>
    </w:p>
    <w:p>
      <w:pPr>
        <w:bidi w:val="1"/>
        <w:spacing w:lineRule="exact" w:line="580" w:after="0"/>
        <w:jc w:val="both"/>
      </w:pPr>
      <w:r>
        <w:rPr>
          <w:rFonts w:ascii="B Nazanin" w:hAnsi="B Nazanin" w:cs="B Nazanin" w:hint="cs"/>
          <w:sz w:val="24"/>
          <w:szCs w:val="24"/>
          <w:rtl/>
          <w:lang w:bidi="fa-IR"/>
        </w:rPr>
        <w:t xml:space="preserve">فصل چهارم به گزارش یافته‌های حاصل از آزمون فرضیه‌های پژوهش اختصاص دارد. هدف اصلی پژوهش حاضر، بررسی رابطه اضطراب صفتی با رفتارهای مالی پرخطر در معامله‌گران بازارهای مالی و تبیین سازوکار این رابطه از طریق نقش میانجی طرحواره‌های ناسازگار اولیه است. بر این اساس چهار فرضیه تدوین شد: سه فرضیه فرعی روابط دوتایی متغیرها را می‌آزمایند و فرضیه اصلی الگوی میانجی‌گری را. فرضیه اول (اصلی) بیان می‌کند که طرحواره‌های ناسازگار اولیه رابطه میان اضطراب صفتی و رفتارهای مالی پرخطر را میانجی‌گری می‌کند؛ فرضیه دوم از رابطه مثبت معنادار میان اضطراب صفتی و رفتارهای مالی پرخطر حکایت دارد؛ فرضیه سوم رابطه مثبت معنادار میان اضطراب صفتی و طرحواره‌های ناسازگار اولیه را پیش‌بینی می‌کند؛ و فرضیه چهارم نیز رابطه مثبت معنادار میان طرحواره‌های ناسازگار اولیه و رفتارهای مالی پرخطر را مطرح می‌سازد.</w:t>
      </w:r>
    </w:p>
    <w:p>
      <w:pPr>
        <w:bidi w:val="1"/>
        <w:spacing w:lineRule="exact" w:line="580" w:after="0"/>
        <w:jc w:val="both"/>
      </w:pPr>
      <w:r>
        <w:rPr>
          <w:rFonts w:ascii="B Nazanin" w:hAnsi="B Nazanin" w:cs="B Nazanin" w:hint="cs"/>
          <w:sz w:val="24"/>
          <w:szCs w:val="24"/>
          <w:rtl/>
          <w:lang w:bidi="fa-IR"/>
        </w:rPr>
        <w:t xml:space="preserve">مراحل اجرای تحلیل عبارت بودند از: غربالگری داده‌ها و تعیین نمونه معتبر بر اساس معیارهای از پیش تعیین‌شده؛ برآورد آمار توصیفی ویژگی‌های جمعیت‌شناختی و متغیرهای اصلی پژوهش؛ و بررسی پایایی ابزارهای اندازه‌گیری با ضریب آلفای کرونباخ. ارزیابی پیش‌فرض‌های تحلیل استنباطی — شامل شکل توزیع‌ها، نبود داده‌های پرت چندمتغیره، عدم هم‌خطی و استقلال پسماندها — نیز پیش از آزمون فرضیه‌ها انجام شد. سپس فرضیه‌های فرعی با ضریب همبستگی پیرسون آزمون شدند و فرضیه اصلی با تحلیل میانجی‌گری بر اساس الگوی شماره ۴ هایز همراه با خودگردان‌سازی ۵۰۰۰ نمونه‌ای. به‌منظور بررسی همگرایی، الگوی مسیر با متغیرهای مشاهده‌شده و برآورد درست‌نمایی بیشینه نیز برازش داده شد.</w:t>
      </w:r>
    </w:p>
    <w:p>
      <w:pPr>
        <w:bidi w:val="1"/>
        <w:spacing w:lineRule="exact" w:line="580" w:after="0"/>
        <w:jc w:val="both"/>
      </w:pPr>
      <w:r>
        <w:rPr>
          <w:rFonts w:ascii="B Nazanin" w:hAnsi="B Nazanin" w:cs="B Nazanin" w:hint="cs"/>
          <w:sz w:val="24"/>
          <w:szCs w:val="24"/>
          <w:rtl/>
          <w:lang w:bidi="fa-IR"/>
        </w:rPr>
        <w:t xml:space="preserve">نقشه راه فصل به این ترتیب است: بخش ۴-۲ به آماده‌سازی و غربالگری داده‌ها، بخش ۴-۳ به ویژگی‌های جمعیت‌شناختی نمونه، بخش ۴-۴ به شاخص‌های توصیفی متغیرهای اصلی و بخش ۴-۵ به پایایی ابزارها می‌پردازند. بخش ۴-۶ پیش‌فرض‌های آماری، بخش ۴-۷ همبستگی پیرسون و آزمون فرضیه‌های فرعی، بخش ۴-۸ آزمون فرضیه اصلی با تحلیل میانجی‌گری، بخش ۴-۹ تحلیل مسیر با متغیرهای مشاهده‌شده و بخش ۴-۱۰ جمع‌بندی نتایج را پوشش می‌دهند.</w:t>
      </w:r>
    </w:p>
    <w:p>
      <w:pPr>
        <w:pStyle w:val="Heading2"/>
        <w:bidi w:val="1"/>
        <w:jc w:val="right"/>
        <w:outlineLvl w:val="1"/>
      </w:pPr>
      <w:r>
        <w:rPr>
          <w:rFonts w:ascii="B Nazanin" w:hAnsi="B Nazanin" w:cs="B Nazanin" w:hint="cs"/>
          <w:b/>
          <w:bCs/>
          <w:sz w:val="28"/>
          <w:szCs w:val="28"/>
          <w:rtl/>
          <w:lang w:bidi="fa-IR"/>
        </w:rPr>
        <w:t xml:space="preserve">۴-۲. آماده‌سازی و غربالگری داده‌ها</w:t>
      </w:r>
    </w:p>
    <w:p>
      <w:pPr>
        <w:bidi w:val="1"/>
        <w:spacing w:lineRule="exact" w:line="580" w:after="0"/>
        <w:jc w:val="both"/>
      </w:pPr>
      <w:r>
        <w:rPr>
          <w:rFonts w:ascii="B Nazanin" w:hAnsi="B Nazanin" w:cs="B Nazanin" w:hint="cs"/>
          <w:sz w:val="24"/>
          <w:szCs w:val="24"/>
          <w:rtl/>
          <w:lang w:bidi="fa-IR"/>
        </w:rPr>
        <w:t xml:space="preserve">پرسشنامه آنلاین در مجموع ۲۴۳ پاسخ خام دریافت کرد. غربالگری در شش مرحله سلسله‌مراتبی و به‌ترتیب اجرا شد، به این معنا که هر پاسخ‌دهنده تنها در نخستین مرحله‌ای که واجد شرط حذف بود شمرده شد. در مرحله اول، ۸ پاسخ به دلیل نبود رضایت آگاهانه معتبر کنار گذاشته شد. در مرحله دوم، ۱۰ پاسخ که دست‌کم یکی از سه شرط ورود (سن ۱۸ سال و بالاتر، معامله‌گر واقعی بودن با سرمایه شخصی، و دست‌کم ۶ ماه سابقه معامله‌گری واقعی) را نداشتند حذف شدند؛ با پایان یافتن فرم در همان مرحله، این پاسخ‌ها فاقد داده ابزارها بودند. در مرحله سوم، ۱۷ پاسخ که بیش از ۳۰ درصد گویه‌های ابزارها را بی‌پاسخ گذاشته بودند (رهاشدگی فرم، عمدتاً در میانه فرم بلند یانگ) حذف شدند. در مرحله چهارم، ۱۱ پاسخ با الگوی ثابت پاسخ‌گویی (واریانس صفر در سراسر گویه‌ها) کنار رفتند. در مرحله پنجم، ۹ پاسخ با زمان تکمیل نامتعارف کوتاه (کمتر از ۱۲۰ ثانیه برای ۱۰۸ گویه؛ بازه مشاهده‌شده ۴۶ تا ۱۰۹ ثانیه) حذف شدند. در مرحله ششم، ۳ پاسخ تکراری با بردار پاسخ یکسان شناسایی و نسخه‌های دوم به بعد آن‌ها کنار گذاشته شد. جدول ۴-۱ روند غربالگری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۴-۱.</w:t>
      </w:r>
      <w:r>
        <w:rPr>
          <w:rFonts w:ascii="B Nazanin" w:hAnsi="B Nazanin" w:cs="B Nazanin" w:hint="cs"/>
          <w:sz w:val="22"/>
          <w:szCs w:val="22"/>
          <w:rtl/>
          <w:lang w:bidi="fa-IR"/>
        </w:rPr>
        <w:t xml:space="preserve"> روند غربالگری و ریزش پاسخ‌ها</w:t>
      </w:r>
    </w:p>
    <w:p>
      <w:pPr>
        <w:bidi/>
      </w:pPr>
      <w:r>
        <w:rPr>
          <w:vanish/>
          <w:rFonts w:ascii="B Nazanin" w:hAnsi="B Nazanin"/>
        </w:rPr>
        <w:fldChar w:fldCharType="begin"/>
      </w:r>
      <w:r>
        <w:rPr>
          <w:vanish/>
          <w:rFonts w:ascii="B Nazanin" w:hAnsi="B Nazanin"/>
        </w:rPr>
        <w:instrText>TC "جدول ۴-۱. روند غربالگری و ریزش پاسخ‌ها"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rFonts w:ascii="Cambria" w:hAnsi="Cambria" w:cs="Cambria"/>
                <w:b/>
                <w:sz w:val="22"/>
              </w:rPr>
              <w:t>مرحله</w:t>
            </w:r>
          </w:p>
        </w:tc>
        <w:tc>
          <w:tcPr>
            <w:tcW w:type="dxa" w:w="2740"/>
            <w:tcBorders>
              <w:bottom w:val="single" w:sz="12" w:space="0" w:color="000000"/>
            </w:tcBorders>
          </w:tcPr>
          <w:p>
            <w:pPr>
              <w:bidi w:val="1"/>
              <w:jc w:val="center"/>
            </w:pPr>
            <w:r/>
            <w:r>
              <w:rPr>
                <w:rFonts w:ascii="Cambria" w:hAnsi="Cambria" w:cs="Cambria"/>
                <w:b/>
                <w:sz w:val="22"/>
              </w:rPr>
              <w:t>تعداد حذف‌شده</w:t>
            </w:r>
          </w:p>
        </w:tc>
        <w:tc>
          <w:tcPr>
            <w:tcW w:type="dxa" w:w="2740"/>
            <w:tcBorders>
              <w:bottom w:val="single" w:sz="12" w:space="0" w:color="000000"/>
            </w:tcBorders>
          </w:tcPr>
          <w:p>
            <w:pPr>
              <w:bidi w:val="1"/>
              <w:jc w:val="center"/>
            </w:pPr>
            <w:r/>
            <w:r>
              <w:rPr>
                <w:rFonts w:ascii="Cambria" w:hAnsi="Cambria" w:cs="Cambria"/>
                <w:b/>
                <w:sz w:val="22"/>
              </w:rPr>
              <w:t>باقی‌مانده</w:t>
            </w:r>
          </w:p>
        </w:tc>
      </w:tr>
      <w:tr>
        <w:tc>
          <w:tcPr>
            <w:tcW w:type="dxa" w:w="2740"/>
          </w:tcPr>
          <w:p>
            <w:pPr>
              <w:bidi w:val="1"/>
              <w:jc w:val="center"/>
            </w:pPr>
            <w:r/>
            <w:r>
              <w:rPr>
                <w:rFonts w:ascii="Cambria" w:hAnsi="Cambria" w:cs="Cambria"/>
                <w:b w:val="0"/>
                <w:sz w:val="22"/>
              </w:rPr>
              <w:t>خام اولیه</w:t>
            </w:r>
          </w:p>
        </w:tc>
        <w:tc>
          <w:tcPr>
            <w:tcW w:type="dxa" w:w="2740"/>
          </w:tcPr>
          <w:p>
            <w:pPr>
              <w:jc w:val="center"/>
            </w:pPr>
            <w:r/>
            <w:r>
              <w:rPr>
                <w:rFonts w:ascii="Cambria" w:hAnsi="Cambria" w:cs="Cambria"/>
                <w:b w:val="0"/>
                <w:sz w:val="22"/>
              </w:rPr>
              <w:t>—</w:t>
            </w:r>
          </w:p>
        </w:tc>
        <w:tc>
          <w:tcPr>
            <w:tcW w:type="dxa" w:w="2740"/>
          </w:tcPr>
          <w:p>
            <w:pPr>
              <w:bidi w:val="1"/>
              <w:jc w:val="center"/>
            </w:pPr>
            <w:r/>
            <w:r>
              <w:rPr>
                <w:rFonts w:ascii="Cambria" w:hAnsi="Cambria" w:cs="Cambria"/>
                <w:b w:val="0"/>
                <w:sz w:val="22"/>
              </w:rPr>
              <w:t>۲۴۳</w:t>
            </w:r>
          </w:p>
        </w:tc>
      </w:tr>
      <w:tr>
        <w:tc>
          <w:tcPr>
            <w:tcW w:type="dxa" w:w="2740"/>
          </w:tcPr>
          <w:p>
            <w:pPr>
              <w:bidi w:val="1"/>
              <w:jc w:val="center"/>
            </w:pPr>
            <w:r/>
            <w:r>
              <w:rPr>
                <w:rFonts w:ascii="Cambria" w:hAnsi="Cambria" w:cs="Cambria"/>
                <w:b w:val="0"/>
                <w:sz w:val="22"/>
              </w:rPr>
              <w:t>رضایت آگاهانه (بدون رضایت)</w:t>
            </w:r>
          </w:p>
        </w:tc>
        <w:tc>
          <w:tcPr>
            <w:tcW w:type="dxa" w:w="2740"/>
          </w:tcPr>
          <w:p>
            <w:pPr>
              <w:bidi w:val="1"/>
              <w:jc w:val="center"/>
            </w:pPr>
            <w:r/>
            <w:r>
              <w:rPr>
                <w:rFonts w:ascii="Cambria" w:hAnsi="Cambria" w:cs="Cambria"/>
                <w:b w:val="0"/>
                <w:sz w:val="22"/>
              </w:rPr>
              <w:t>۸</w:t>
            </w:r>
          </w:p>
        </w:tc>
        <w:tc>
          <w:tcPr>
            <w:tcW w:type="dxa" w:w="2740"/>
          </w:tcPr>
          <w:p>
            <w:pPr>
              <w:bidi w:val="1"/>
              <w:jc w:val="center"/>
            </w:pPr>
            <w:r/>
            <w:r>
              <w:rPr>
                <w:rFonts w:ascii="Cambria" w:hAnsi="Cambria" w:cs="Cambria"/>
                <w:b w:val="0"/>
                <w:sz w:val="22"/>
              </w:rPr>
              <w:t>۲۳۵</w:t>
            </w:r>
          </w:p>
        </w:tc>
      </w:tr>
      <w:tr>
        <w:tc>
          <w:tcPr>
            <w:tcW w:type="dxa" w:w="2740"/>
          </w:tcPr>
          <w:p>
            <w:pPr>
              <w:bidi w:val="1"/>
              <w:jc w:val="center"/>
            </w:pPr>
            <w:r/>
            <w:r>
              <w:rPr>
                <w:rFonts w:ascii="Cambria" w:hAnsi="Cambria" w:cs="Cambria"/>
                <w:b w:val="0"/>
                <w:sz w:val="22"/>
              </w:rPr>
              <w:t>غربالگری ورود (سن/معامله‌گر واقعی/سابقه)</w:t>
            </w:r>
          </w:p>
        </w:tc>
        <w:tc>
          <w:tcPr>
            <w:tcW w:type="dxa" w:w="2740"/>
          </w:tcPr>
          <w:p>
            <w:pPr>
              <w:bidi w:val="1"/>
              <w:jc w:val="center"/>
            </w:pPr>
            <w:r/>
            <w:r>
              <w:rPr>
                <w:rFonts w:ascii="Cambria" w:hAnsi="Cambria" w:cs="Cambria"/>
                <w:b w:val="0"/>
                <w:sz w:val="22"/>
              </w:rPr>
              <w:t>۱۰</w:t>
            </w:r>
          </w:p>
        </w:tc>
        <w:tc>
          <w:tcPr>
            <w:tcW w:type="dxa" w:w="2740"/>
          </w:tcPr>
          <w:p>
            <w:pPr>
              <w:bidi w:val="1"/>
              <w:jc w:val="center"/>
            </w:pPr>
            <w:r/>
            <w:r>
              <w:rPr>
                <w:rFonts w:ascii="Cambria" w:hAnsi="Cambria" w:cs="Cambria"/>
                <w:b w:val="0"/>
                <w:sz w:val="22"/>
              </w:rPr>
              <w:t>۲۲۵</w:t>
            </w:r>
          </w:p>
        </w:tc>
      </w:tr>
      <w:tr>
        <w:tc>
          <w:tcPr>
            <w:tcW w:type="dxa" w:w="2740"/>
          </w:tcPr>
          <w:p>
            <w:pPr>
              <w:bidi w:val="1"/>
              <w:jc w:val="center"/>
            </w:pPr>
            <w:r/>
            <w:r>
              <w:rPr>
                <w:rFonts w:ascii="Cambria" w:hAnsi="Cambria" w:cs="Cambria"/>
                <w:b w:val="0"/>
                <w:sz w:val="22"/>
              </w:rPr>
              <w:t>ناقص‌بودن (بیش از ۳۰٪ بی‌پاسخ)</w:t>
            </w:r>
          </w:p>
        </w:tc>
        <w:tc>
          <w:tcPr>
            <w:tcW w:type="dxa" w:w="2740"/>
          </w:tcPr>
          <w:p>
            <w:pPr>
              <w:bidi w:val="1"/>
              <w:jc w:val="center"/>
            </w:pPr>
            <w:r/>
            <w:r>
              <w:rPr>
                <w:rFonts w:ascii="Cambria" w:hAnsi="Cambria" w:cs="Cambria"/>
                <w:b w:val="0"/>
                <w:sz w:val="22"/>
              </w:rPr>
              <w:t>۱۷</w:t>
            </w:r>
          </w:p>
        </w:tc>
        <w:tc>
          <w:tcPr>
            <w:tcW w:type="dxa" w:w="2740"/>
          </w:tcPr>
          <w:p>
            <w:pPr>
              <w:bidi w:val="1"/>
              <w:jc w:val="center"/>
            </w:pPr>
            <w:r/>
            <w:r>
              <w:rPr>
                <w:rFonts w:ascii="Cambria" w:hAnsi="Cambria" w:cs="Cambria"/>
                <w:b w:val="0"/>
                <w:sz w:val="22"/>
              </w:rPr>
              <w:t>۲۰۸</w:t>
            </w:r>
          </w:p>
        </w:tc>
      </w:tr>
      <w:tr>
        <w:tc>
          <w:tcPr>
            <w:tcW w:type="dxa" w:w="2740"/>
          </w:tcPr>
          <w:p>
            <w:pPr>
              <w:bidi w:val="1"/>
              <w:jc w:val="center"/>
            </w:pPr>
            <w:r/>
            <w:r>
              <w:rPr>
                <w:rFonts w:ascii="Cambria" w:hAnsi="Cambria" w:cs="Cambria"/>
                <w:b w:val="0"/>
                <w:sz w:val="22"/>
              </w:rPr>
              <w:t>الگوی ثابت پاسخ (واریانس صفر)</w:t>
            </w:r>
          </w:p>
        </w:tc>
        <w:tc>
          <w:tcPr>
            <w:tcW w:type="dxa" w:w="2740"/>
          </w:tcPr>
          <w:p>
            <w:pPr>
              <w:bidi w:val="1"/>
              <w:jc w:val="center"/>
            </w:pPr>
            <w:r/>
            <w:r>
              <w:rPr>
                <w:rFonts w:ascii="Cambria" w:hAnsi="Cambria" w:cs="Cambria"/>
                <w:b w:val="0"/>
                <w:sz w:val="22"/>
              </w:rPr>
              <w:t>۱۱</w:t>
            </w:r>
          </w:p>
        </w:tc>
        <w:tc>
          <w:tcPr>
            <w:tcW w:type="dxa" w:w="2740"/>
          </w:tcPr>
          <w:p>
            <w:pPr>
              <w:bidi w:val="1"/>
              <w:jc w:val="center"/>
            </w:pPr>
            <w:r/>
            <w:r>
              <w:rPr>
                <w:rFonts w:ascii="Cambria" w:hAnsi="Cambria" w:cs="Cambria"/>
                <w:b w:val="0"/>
                <w:sz w:val="22"/>
              </w:rPr>
              <w:t>۱۹۷</w:t>
            </w:r>
          </w:p>
        </w:tc>
      </w:tr>
      <w:tr>
        <w:tc>
          <w:tcPr>
            <w:tcW w:type="dxa" w:w="2740"/>
          </w:tcPr>
          <w:p>
            <w:pPr>
              <w:bidi w:val="1"/>
              <w:jc w:val="center"/>
            </w:pPr>
            <w:r/>
            <w:r>
              <w:rPr>
                <w:rFonts w:ascii="Cambria" w:hAnsi="Cambria" w:cs="Cambria"/>
                <w:b w:val="0"/>
                <w:sz w:val="22"/>
              </w:rPr>
              <w:t>زمان نامتعارف کوتاه (کمتر از ۱۲۰ ثانیه)</w:t>
            </w:r>
          </w:p>
        </w:tc>
        <w:tc>
          <w:tcPr>
            <w:tcW w:type="dxa" w:w="2740"/>
          </w:tcPr>
          <w:p>
            <w:pPr>
              <w:bidi w:val="1"/>
              <w:jc w:val="center"/>
            </w:pPr>
            <w:r/>
            <w:r>
              <w:rPr>
                <w:rFonts w:ascii="Cambria" w:hAnsi="Cambria" w:cs="Cambria"/>
                <w:b w:val="0"/>
                <w:sz w:val="22"/>
              </w:rPr>
              <w:t>۹</w:t>
            </w:r>
          </w:p>
        </w:tc>
        <w:tc>
          <w:tcPr>
            <w:tcW w:type="dxa" w:w="2740"/>
          </w:tcPr>
          <w:p>
            <w:pPr>
              <w:bidi w:val="1"/>
              <w:jc w:val="center"/>
            </w:pPr>
            <w:r/>
            <w:r>
              <w:rPr>
                <w:rFonts w:ascii="Cambria" w:hAnsi="Cambria" w:cs="Cambria"/>
                <w:b w:val="0"/>
                <w:sz w:val="22"/>
              </w:rPr>
              <w:t>۱۸۸</w:t>
            </w:r>
          </w:p>
        </w:tc>
      </w:tr>
      <w:tr>
        <w:tc>
          <w:tcPr>
            <w:tcW w:type="dxa" w:w="2740"/>
          </w:tcPr>
          <w:p>
            <w:pPr>
              <w:bidi w:val="1"/>
              <w:jc w:val="center"/>
            </w:pPr>
            <w:r/>
            <w:r>
              <w:rPr>
                <w:rFonts w:ascii="Cambria" w:hAnsi="Cambria" w:cs="Cambria"/>
                <w:b w:val="0"/>
                <w:sz w:val="22"/>
              </w:rPr>
              <w:t>تکراری (بردار پاسخ یکسان)</w:t>
            </w:r>
          </w:p>
        </w:tc>
        <w:tc>
          <w:tcPr>
            <w:tcW w:type="dxa" w:w="2740"/>
          </w:tcPr>
          <w:p>
            <w:pPr>
              <w:bidi w:val="1"/>
              <w:jc w:val="center"/>
            </w:pPr>
            <w:r/>
            <w:r>
              <w:rPr>
                <w:rFonts w:ascii="Cambria" w:hAnsi="Cambria" w:cs="Cambria"/>
                <w:b w:val="0"/>
                <w:sz w:val="22"/>
              </w:rPr>
              <w:t>۳</w:t>
            </w:r>
          </w:p>
        </w:tc>
        <w:tc>
          <w:tcPr>
            <w:tcW w:type="dxa" w:w="2740"/>
          </w:tcPr>
          <w:p>
            <w:pPr>
              <w:bidi w:val="1"/>
              <w:jc w:val="center"/>
            </w:pPr>
            <w:r/>
            <w:r>
              <w:rPr>
                <w:rFonts w:ascii="Cambria" w:hAnsi="Cambria" w:cs="Cambria"/>
                <w:b w:val="0"/>
                <w:sz w:val="22"/>
              </w:rPr>
              <w:t>۱۸۵</w:t>
            </w:r>
          </w:p>
        </w:tc>
      </w:tr>
      <w:tr>
        <w:tc>
          <w:tcPr>
            <w:tcW w:type="dxa" w:w="2740"/>
          </w:tcPr>
          <w:p>
            <w:pPr>
              <w:bidi w:val="1"/>
              <w:jc w:val="center"/>
            </w:pPr>
            <w:r/>
            <w:r>
              <w:rPr>
                <w:rFonts w:ascii="Cambria" w:hAnsi="Cambria" w:cs="Cambria"/>
                <w:b w:val="0"/>
                <w:sz w:val="22"/>
              </w:rPr>
              <w:t>نمونهٔ نهایی معتبر</w:t>
            </w:r>
          </w:p>
        </w:tc>
        <w:tc>
          <w:tcPr>
            <w:tcW w:type="dxa" w:w="2740"/>
          </w:tcPr>
          <w:p>
            <w:pPr>
              <w:jc w:val="center"/>
            </w:pPr>
            <w:r/>
            <w:r>
              <w:rPr>
                <w:rFonts w:ascii="Cambria" w:hAnsi="Cambria" w:cs="Cambria"/>
                <w:b w:val="0"/>
                <w:sz w:val="22"/>
              </w:rPr>
              <w:t>—</w:t>
            </w:r>
          </w:p>
        </w:tc>
        <w:tc>
          <w:tcPr>
            <w:tcW w:type="dxa" w:w="2740"/>
          </w:tcPr>
          <w:p>
            <w:pPr>
              <w:bidi w:val="1"/>
              <w:jc w:val="center"/>
            </w:pPr>
            <w:r/>
            <w:r>
              <w:rPr>
                <w:rFonts w:ascii="Cambria" w:hAnsi="Cambria" w:cs="Cambria"/>
                <w:b w:val="0"/>
                <w:sz w:val="22"/>
              </w:rPr>
              <w:t>۱۸۵</w:t>
            </w:r>
          </w:p>
        </w:tc>
      </w:tr>
    </w:tbl>
    <w:p>
      <w:pPr>
        <w:bidi w:val="1"/>
        <w:spacing w:lineRule="exact" w:line="580" w:after="0"/>
        <w:jc w:val="both"/>
      </w:pPr>
      <w:r>
        <w:rPr>
          <w:rFonts w:ascii="B Nazanin" w:hAnsi="B Nazanin" w:cs="B Nazanin" w:hint="cs"/>
          <w:sz w:val="24"/>
          <w:szCs w:val="24"/>
          <w:rtl/>
          <w:lang w:bidi="fa-IR"/>
        </w:rPr>
        <w:t xml:space="preserve">پس از اعمال هر شش مرحله، ۱۸۵ پاسخ معتبر باقی ماند (۷۶٫۱ درصد پاسخ‌های خام) و ۵۸ پاسخ حذف شد (۲۳٫۹ درصد). زمان تکمیل فرم در نمونه نهایی معتبر، میانه‌ای برابر ۹۱۲ ثانیه (حدود ۱۵ دقیقه) با میانگین ۱۰۲۰ ثانیه و انحراف معیار ۴۴۳ ثانیه داشت؛ چارک اول و سوم به‌ترتیب ۶۹۰ و ۱۲۴۴ ثانیه و دامنه مشاهده‌شده ۳۰۰ تا ۲۸۷۵ ثانیه بود. این توزیع با برآورد ۱۵ تا ۲۰ دقیقه‌ای مدت‌زمان تکمیل فرم سازگار است. به دلیل اجباری‌بودن همه سؤالات فرم، در نمونه نهایی هیچ داده گمشده‌ای در گویه‌های ابزارها باقی نماند و تحلیل‌ها به روش حذف موردی روی نمونه کامل ۱۸۵ نفری انجام شد. همچنین بررسی سازگاری نشان داد که در نمونه نهایی هیچ پاسخ‌دهنده‌ای زیر ۱۸ سال، با سابقه کمتر از ۶ ماه، یا با گزارش صفر معامله در ۶ ماهه اخیر وجود ندارد.</w:t>
      </w:r>
    </w:p>
    <w:p>
      <w:pPr>
        <w:pStyle w:val="Heading2"/>
        <w:bidi w:val="1"/>
        <w:jc w:val="right"/>
        <w:outlineLvl w:val="1"/>
      </w:pPr>
      <w:r>
        <w:rPr>
          <w:rFonts w:ascii="B Nazanin" w:hAnsi="B Nazanin" w:cs="B Nazanin" w:hint="cs"/>
          <w:b/>
          <w:bCs/>
          <w:sz w:val="28"/>
          <w:szCs w:val="28"/>
          <w:rtl/>
          <w:lang w:bidi="fa-IR"/>
        </w:rPr>
        <w:t xml:space="preserve">۴-۳. ویژگی‌های جمعیت‌شناختی و معاملاتی نمونه</w:t>
      </w:r>
    </w:p>
    <w:p>
      <w:pPr>
        <w:bidi w:val="1"/>
        <w:spacing w:lineRule="exact" w:line="580" w:after="0"/>
        <w:jc w:val="both"/>
      </w:pPr>
      <w:r>
        <w:rPr>
          <w:rFonts w:ascii="B Nazanin" w:hAnsi="B Nazanin" w:cs="B Nazanin" w:hint="cs"/>
          <w:sz w:val="24"/>
          <w:szCs w:val="24"/>
          <w:rtl/>
          <w:lang w:bidi="fa-IR"/>
        </w:rPr>
        <w:t xml:space="preserve">میانگین سنی نمونه نهایی ۳۶٫۳ سال با انحراف معیار ۹٫۴ سال بود (دامنه ۲۱ تا ۶۱ سال) و بیشترین تراکم سنی در دهه چهارم زندگی دیده شد. از نظر جنسیت، ۱۲۳ نفر (۶۶٫۵ درصد) مرد، ۵۸ نفر (۳۱٫۴ درصد) زن و ۴ نفر (۲٫۲ درصد) بدون اظهار نظر بودند. وضعیت تأهل نمونه تقریباً به دو نیمه مساوی مجرد (۸۳ نفر، ۴۴٫۹ درصد) و متاهل (۸۲ نفر، ۴۴٫۳ درصد) تقسیم شد و ۲۰ نفر (۱۰٫۸ درصد) در گروه مطلقه/سایر قرار گرفتند. سطح تحصیلات غالب، لیسانس (۷۴ نفر، ۴۰٫۰ درصد) و فوق‌لیسانس (۴۲ نفر، ۲۲٫۷ درصد) بود و پس از آن‌ها دیپلم (۲۰٫۰ درصد)، فوق‌دیپلم (۱۰٫۳ درصد)، دکتری (۵٫۴ درصد) و زیر دیپلم (۱٫۶ درصد) قرار گرفتند. از نظر اشتغال، بیش از نیمی از نمونه کارمند (۹۴ نفر، ۵۰٫۸ درصد) و بیش از یک‌سوم دارای مشاغل آزاد (۶۷ نفر، ۳۶٫۲ درصد) بودند. جدول ۴-۲ توزیع ویژگی‌های جمعیت‌شناختی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۴-۲.</w:t>
      </w:r>
      <w:r>
        <w:rPr>
          <w:rFonts w:ascii="B Nazanin" w:hAnsi="B Nazanin" w:cs="B Nazanin" w:hint="cs"/>
          <w:sz w:val="22"/>
          <w:szCs w:val="22"/>
          <w:rtl/>
          <w:lang w:bidi="fa-IR"/>
        </w:rPr>
        <w:t xml:space="preserve"> توزیع ویژگی‌های جمعیت‌شناختی نمونه نهایی</w:t>
      </w:r>
    </w:p>
    <w:p>
      <w:pPr>
        <w:bidi/>
      </w:pPr>
      <w:r>
        <w:rPr>
          <w:vanish/>
          <w:rFonts w:ascii="B Nazanin" w:hAnsi="B Nazanin"/>
        </w:rPr>
        <w:fldChar w:fldCharType="begin"/>
      </w:r>
      <w:r>
        <w:rPr>
          <w:vanish/>
          <w:rFonts w:ascii="B Nazanin" w:hAnsi="B Nazanin"/>
        </w:rPr>
        <w:instrText>TC "جدول ۴-۲. توزیع ویژگی‌های جمعیت‌شناختی نمونه نهایی"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rFonts w:ascii="Cambria" w:hAnsi="Cambria" w:cs="Cambria"/>
                <w:b/>
                <w:sz w:val="22"/>
              </w:rPr>
              <w:t>متغیر</w:t>
            </w:r>
          </w:p>
        </w:tc>
        <w:tc>
          <w:tcPr>
            <w:tcW w:type="dxa" w:w="2055"/>
            <w:tcBorders>
              <w:bottom w:val="single" w:sz="12" w:space="0" w:color="000000"/>
            </w:tcBorders>
          </w:tcPr>
          <w:p>
            <w:pPr>
              <w:bidi w:val="1"/>
              <w:jc w:val="center"/>
            </w:pPr>
            <w:r/>
            <w:r>
              <w:rPr>
                <w:rFonts w:ascii="Cambria" w:hAnsi="Cambria" w:cs="Cambria"/>
                <w:b/>
                <w:sz w:val="22"/>
              </w:rPr>
              <w:t>سطح</w:t>
            </w:r>
          </w:p>
        </w:tc>
        <w:tc>
          <w:tcPr>
            <w:tcW w:type="dxa" w:w="2055"/>
            <w:tcBorders>
              <w:bottom w:val="single" w:sz="12" w:space="0" w:color="000000"/>
            </w:tcBorders>
          </w:tcPr>
          <w:p>
            <w:pPr>
              <w:bidi w:val="1"/>
              <w:jc w:val="center"/>
            </w:pPr>
            <w:r/>
            <w:r>
              <w:rPr>
                <w:rFonts w:ascii="Cambria" w:hAnsi="Cambria" w:cs="Cambria"/>
                <w:b/>
                <w:sz w:val="22"/>
              </w:rPr>
              <w:t>تعداد</w:t>
            </w:r>
          </w:p>
        </w:tc>
        <w:tc>
          <w:tcPr>
            <w:tcW w:type="dxa" w:w="2055"/>
            <w:tcBorders>
              <w:bottom w:val="single" w:sz="12" w:space="0" w:color="000000"/>
            </w:tcBorders>
          </w:tcPr>
          <w:p>
            <w:pPr>
              <w:bidi w:val="1"/>
              <w:jc w:val="center"/>
            </w:pPr>
            <w:r/>
            <w:r>
              <w:rPr>
                <w:rFonts w:ascii="Cambria" w:hAnsi="Cambria" w:cs="Cambria"/>
                <w:b/>
                <w:sz w:val="22"/>
              </w:rPr>
              <w:t>درصد</w:t>
            </w:r>
          </w:p>
        </w:tc>
      </w:tr>
      <w:tr>
        <w:tc>
          <w:tcPr>
            <w:tcW w:type="dxa" w:w="2055"/>
          </w:tcPr>
          <w:p>
            <w:pPr>
              <w:bidi w:val="1"/>
              <w:jc w:val="center"/>
            </w:pPr>
            <w:r/>
            <w:r>
              <w:rPr>
                <w:rFonts w:ascii="Cambria" w:hAnsi="Cambria" w:cs="Cambria"/>
                <w:b w:val="0"/>
                <w:sz w:val="22"/>
              </w:rPr>
              <w:t>سن (سال)</w:t>
            </w:r>
          </w:p>
        </w:tc>
        <w:tc>
          <w:tcPr>
            <w:tcW w:type="dxa" w:w="2055"/>
          </w:tcPr>
          <w:p>
            <w:pPr>
              <w:bidi w:val="1"/>
              <w:jc w:val="center"/>
            </w:pPr>
            <w:r/>
            <w:r>
              <w:rPr>
                <w:rFonts w:ascii="Cambria" w:hAnsi="Cambria" w:cs="Cambria"/>
                <w:b w:val="0"/>
                <w:sz w:val="22"/>
              </w:rPr>
              <w:t>۱۸ تا ۲۹</w:t>
            </w:r>
          </w:p>
        </w:tc>
        <w:tc>
          <w:tcPr>
            <w:tcW w:type="dxa" w:w="2055"/>
          </w:tcPr>
          <w:p>
            <w:pPr>
              <w:bidi w:val="1"/>
              <w:jc w:val="center"/>
            </w:pPr>
            <w:r/>
            <w:r>
              <w:rPr>
                <w:rFonts w:ascii="Cambria" w:hAnsi="Cambria" w:cs="Cambria"/>
                <w:b w:val="0"/>
                <w:sz w:val="22"/>
              </w:rPr>
              <w:t>۵۲</w:t>
            </w:r>
          </w:p>
        </w:tc>
        <w:tc>
          <w:tcPr>
            <w:tcW w:type="dxa" w:w="2055"/>
          </w:tcPr>
          <w:p>
            <w:pPr>
              <w:bidi w:val="1"/>
              <w:jc w:val="center"/>
            </w:pPr>
            <w:r/>
            <w:r>
              <w:rPr>
                <w:rFonts w:ascii="Cambria" w:hAnsi="Cambria" w:cs="Cambria"/>
                <w:b w:val="0"/>
                <w:sz w:val="22"/>
              </w:rPr>
              <w:t>۲۸٫۱۱</w:t>
            </w:r>
          </w:p>
        </w:tc>
      </w:tr>
      <w:tr>
        <w:tc>
          <w:tcPr>
            <w:tcW w:type="dxa" w:w="2055"/>
          </w:tcPr>
          <w:p>
            <w:pPr>
              <w:bidi w:val="1"/>
              <w:jc w:val="center"/>
            </w:pPr>
            <w:r/>
            <w:r>
              <w:rPr>
                <w:rFonts w:ascii="Cambria" w:hAnsi="Cambria" w:cs="Cambria"/>
                <w:b w:val="0"/>
                <w:sz w:val="22"/>
              </w:rPr>
              <w:t>سن (سال)</w:t>
            </w:r>
          </w:p>
        </w:tc>
        <w:tc>
          <w:tcPr>
            <w:tcW w:type="dxa" w:w="2055"/>
          </w:tcPr>
          <w:p>
            <w:pPr>
              <w:bidi w:val="1"/>
              <w:jc w:val="center"/>
            </w:pPr>
            <w:r/>
            <w:r>
              <w:rPr>
                <w:rFonts w:ascii="Cambria" w:hAnsi="Cambria" w:cs="Cambria"/>
                <w:b w:val="0"/>
                <w:sz w:val="22"/>
              </w:rPr>
              <w:t>۳۰ تا ۳۹</w:t>
            </w:r>
          </w:p>
        </w:tc>
        <w:tc>
          <w:tcPr>
            <w:tcW w:type="dxa" w:w="2055"/>
          </w:tcPr>
          <w:p>
            <w:pPr>
              <w:bidi w:val="1"/>
              <w:jc w:val="center"/>
            </w:pPr>
            <w:r/>
            <w:r>
              <w:rPr>
                <w:rFonts w:ascii="Cambria" w:hAnsi="Cambria" w:cs="Cambria"/>
                <w:b w:val="0"/>
                <w:sz w:val="22"/>
              </w:rPr>
              <w:t>۶۸</w:t>
            </w:r>
          </w:p>
        </w:tc>
        <w:tc>
          <w:tcPr>
            <w:tcW w:type="dxa" w:w="2055"/>
          </w:tcPr>
          <w:p>
            <w:pPr>
              <w:bidi w:val="1"/>
              <w:jc w:val="center"/>
            </w:pPr>
            <w:r/>
            <w:r>
              <w:rPr>
                <w:rFonts w:ascii="Cambria" w:hAnsi="Cambria" w:cs="Cambria"/>
                <w:b w:val="0"/>
                <w:sz w:val="22"/>
              </w:rPr>
              <w:t>۳۶٫۷۶</w:t>
            </w:r>
          </w:p>
        </w:tc>
      </w:tr>
      <w:tr>
        <w:tc>
          <w:tcPr>
            <w:tcW w:type="dxa" w:w="2055"/>
          </w:tcPr>
          <w:p>
            <w:pPr>
              <w:bidi w:val="1"/>
              <w:jc w:val="center"/>
            </w:pPr>
            <w:r/>
            <w:r>
              <w:rPr>
                <w:rFonts w:ascii="Cambria" w:hAnsi="Cambria" w:cs="Cambria"/>
                <w:b w:val="0"/>
                <w:sz w:val="22"/>
              </w:rPr>
              <w:t>سن (سال)</w:t>
            </w:r>
          </w:p>
        </w:tc>
        <w:tc>
          <w:tcPr>
            <w:tcW w:type="dxa" w:w="2055"/>
          </w:tcPr>
          <w:p>
            <w:pPr>
              <w:bidi w:val="1"/>
              <w:jc w:val="center"/>
            </w:pPr>
            <w:r/>
            <w:r>
              <w:rPr>
                <w:rFonts w:ascii="Cambria" w:hAnsi="Cambria" w:cs="Cambria"/>
                <w:b w:val="0"/>
                <w:sz w:val="22"/>
              </w:rPr>
              <w:t>۴۰ تا ۴۹</w:t>
            </w:r>
          </w:p>
        </w:tc>
        <w:tc>
          <w:tcPr>
            <w:tcW w:type="dxa" w:w="2055"/>
          </w:tcPr>
          <w:p>
            <w:pPr>
              <w:bidi w:val="1"/>
              <w:jc w:val="center"/>
            </w:pPr>
            <w:r/>
            <w:r>
              <w:rPr>
                <w:rFonts w:ascii="Cambria" w:hAnsi="Cambria" w:cs="Cambria"/>
                <w:b w:val="0"/>
                <w:sz w:val="22"/>
              </w:rPr>
              <w:t>۴۳</w:t>
            </w:r>
          </w:p>
        </w:tc>
        <w:tc>
          <w:tcPr>
            <w:tcW w:type="dxa" w:w="2055"/>
          </w:tcPr>
          <w:p>
            <w:pPr>
              <w:bidi w:val="1"/>
              <w:jc w:val="center"/>
            </w:pPr>
            <w:r/>
            <w:r>
              <w:rPr>
                <w:rFonts w:ascii="Cambria" w:hAnsi="Cambria" w:cs="Cambria"/>
                <w:b w:val="0"/>
                <w:sz w:val="22"/>
              </w:rPr>
              <w:t>۲۳٫۲۴</w:t>
            </w:r>
          </w:p>
        </w:tc>
      </w:tr>
      <w:tr>
        <w:tc>
          <w:tcPr>
            <w:tcW w:type="dxa" w:w="2055"/>
          </w:tcPr>
          <w:p>
            <w:pPr>
              <w:bidi w:val="1"/>
              <w:jc w:val="center"/>
            </w:pPr>
            <w:r/>
            <w:r>
              <w:rPr>
                <w:rFonts w:ascii="Cambria" w:hAnsi="Cambria" w:cs="Cambria"/>
                <w:b w:val="0"/>
                <w:sz w:val="22"/>
              </w:rPr>
              <w:t>سن (سال)</w:t>
            </w:r>
          </w:p>
        </w:tc>
        <w:tc>
          <w:tcPr>
            <w:tcW w:type="dxa" w:w="2055"/>
          </w:tcPr>
          <w:p>
            <w:pPr>
              <w:bidi w:val="1"/>
              <w:jc w:val="center"/>
            </w:pPr>
            <w:r/>
            <w:r>
              <w:rPr>
                <w:rFonts w:ascii="Cambria" w:hAnsi="Cambria" w:cs="Cambria"/>
                <w:b w:val="0"/>
                <w:sz w:val="22"/>
              </w:rPr>
              <w:t>۵۰ به بالا</w:t>
            </w:r>
          </w:p>
        </w:tc>
        <w:tc>
          <w:tcPr>
            <w:tcW w:type="dxa" w:w="2055"/>
          </w:tcPr>
          <w:p>
            <w:pPr>
              <w:bidi w:val="1"/>
              <w:jc w:val="center"/>
            </w:pPr>
            <w:r/>
            <w:r>
              <w:rPr>
                <w:rFonts w:ascii="Cambria" w:hAnsi="Cambria" w:cs="Cambria"/>
                <w:b w:val="0"/>
                <w:sz w:val="22"/>
              </w:rPr>
              <w:t>۲۲</w:t>
            </w:r>
          </w:p>
        </w:tc>
        <w:tc>
          <w:tcPr>
            <w:tcW w:type="dxa" w:w="2055"/>
          </w:tcPr>
          <w:p>
            <w:pPr>
              <w:bidi w:val="1"/>
              <w:jc w:val="center"/>
            </w:pPr>
            <w:r/>
            <w:r>
              <w:rPr>
                <w:rFonts w:ascii="Cambria" w:hAnsi="Cambria" w:cs="Cambria"/>
                <w:b w:val="0"/>
                <w:sz w:val="22"/>
              </w:rPr>
              <w:t>۱۱٫۸۹</w:t>
            </w:r>
          </w:p>
        </w:tc>
      </w:tr>
      <w:tr>
        <w:tc>
          <w:tcPr>
            <w:tcW w:type="dxa" w:w="2055"/>
          </w:tcPr>
          <w:p>
            <w:pPr>
              <w:bidi w:val="1"/>
              <w:jc w:val="center"/>
            </w:pPr>
            <w:r/>
            <w:r>
              <w:rPr>
                <w:rFonts w:ascii="Cambria" w:hAnsi="Cambria" w:cs="Cambria"/>
                <w:b w:val="0"/>
                <w:sz w:val="22"/>
              </w:rPr>
              <w:t>جنسیت</w:t>
            </w:r>
          </w:p>
        </w:tc>
        <w:tc>
          <w:tcPr>
            <w:tcW w:type="dxa" w:w="2055"/>
          </w:tcPr>
          <w:p>
            <w:pPr>
              <w:bidi w:val="1"/>
              <w:jc w:val="center"/>
            </w:pPr>
            <w:r/>
            <w:r>
              <w:rPr>
                <w:rFonts w:ascii="Cambria" w:hAnsi="Cambria" w:cs="Cambria"/>
                <w:b w:val="0"/>
                <w:sz w:val="22"/>
              </w:rPr>
              <w:t>زن</w:t>
            </w:r>
          </w:p>
        </w:tc>
        <w:tc>
          <w:tcPr>
            <w:tcW w:type="dxa" w:w="2055"/>
          </w:tcPr>
          <w:p>
            <w:pPr>
              <w:bidi w:val="1"/>
              <w:jc w:val="center"/>
            </w:pPr>
            <w:r/>
            <w:r>
              <w:rPr>
                <w:rFonts w:ascii="Cambria" w:hAnsi="Cambria" w:cs="Cambria"/>
                <w:b w:val="0"/>
                <w:sz w:val="22"/>
              </w:rPr>
              <w:t>۵۸</w:t>
            </w:r>
          </w:p>
        </w:tc>
        <w:tc>
          <w:tcPr>
            <w:tcW w:type="dxa" w:w="2055"/>
          </w:tcPr>
          <w:p>
            <w:pPr>
              <w:bidi w:val="1"/>
              <w:jc w:val="center"/>
            </w:pPr>
            <w:r/>
            <w:r>
              <w:rPr>
                <w:rFonts w:ascii="Cambria" w:hAnsi="Cambria" w:cs="Cambria"/>
                <w:b w:val="0"/>
                <w:sz w:val="22"/>
              </w:rPr>
              <w:t>۳۱٫۳۵</w:t>
            </w:r>
          </w:p>
        </w:tc>
      </w:tr>
      <w:tr>
        <w:tc>
          <w:tcPr>
            <w:tcW w:type="dxa" w:w="2055"/>
          </w:tcPr>
          <w:p>
            <w:pPr>
              <w:bidi w:val="1"/>
              <w:jc w:val="center"/>
            </w:pPr>
            <w:r/>
            <w:r>
              <w:rPr>
                <w:rFonts w:ascii="Cambria" w:hAnsi="Cambria" w:cs="Cambria"/>
                <w:b w:val="0"/>
                <w:sz w:val="22"/>
              </w:rPr>
              <w:t>جنسیت</w:t>
            </w:r>
          </w:p>
        </w:tc>
        <w:tc>
          <w:tcPr>
            <w:tcW w:type="dxa" w:w="2055"/>
          </w:tcPr>
          <w:p>
            <w:pPr>
              <w:bidi w:val="1"/>
              <w:jc w:val="center"/>
            </w:pPr>
            <w:r/>
            <w:r>
              <w:rPr>
                <w:rFonts w:ascii="Cambria" w:hAnsi="Cambria" w:cs="Cambria"/>
                <w:b w:val="0"/>
                <w:sz w:val="22"/>
              </w:rPr>
              <w:t>مرد</w:t>
            </w:r>
          </w:p>
        </w:tc>
        <w:tc>
          <w:tcPr>
            <w:tcW w:type="dxa" w:w="2055"/>
          </w:tcPr>
          <w:p>
            <w:pPr>
              <w:bidi w:val="1"/>
              <w:jc w:val="center"/>
            </w:pPr>
            <w:r/>
            <w:r>
              <w:rPr>
                <w:rFonts w:ascii="Cambria" w:hAnsi="Cambria" w:cs="Cambria"/>
                <w:b w:val="0"/>
                <w:sz w:val="22"/>
              </w:rPr>
              <w:t>۱۲۳</w:t>
            </w:r>
          </w:p>
        </w:tc>
        <w:tc>
          <w:tcPr>
            <w:tcW w:type="dxa" w:w="2055"/>
          </w:tcPr>
          <w:p>
            <w:pPr>
              <w:bidi w:val="1"/>
              <w:jc w:val="center"/>
            </w:pPr>
            <w:r/>
            <w:r>
              <w:rPr>
                <w:rFonts w:ascii="Cambria" w:hAnsi="Cambria" w:cs="Cambria"/>
                <w:b w:val="0"/>
                <w:sz w:val="22"/>
              </w:rPr>
              <w:t>۶۶٫۴۹</w:t>
            </w:r>
          </w:p>
        </w:tc>
      </w:tr>
      <w:tr>
        <w:tc>
          <w:tcPr>
            <w:tcW w:type="dxa" w:w="2055"/>
          </w:tcPr>
          <w:p>
            <w:pPr>
              <w:bidi w:val="1"/>
              <w:jc w:val="center"/>
            </w:pPr>
            <w:r/>
            <w:r>
              <w:rPr>
                <w:rFonts w:ascii="Cambria" w:hAnsi="Cambria" w:cs="Cambria"/>
                <w:b w:val="0"/>
                <w:sz w:val="22"/>
              </w:rPr>
              <w:t>جنسیت</w:t>
            </w:r>
          </w:p>
        </w:tc>
        <w:tc>
          <w:tcPr>
            <w:tcW w:type="dxa" w:w="2055"/>
          </w:tcPr>
          <w:p>
            <w:pPr>
              <w:bidi w:val="1"/>
              <w:jc w:val="center"/>
            </w:pPr>
            <w:r/>
            <w:r>
              <w:rPr>
                <w:rFonts w:ascii="Cambria" w:hAnsi="Cambria" w:cs="Cambria"/>
                <w:b w:val="0"/>
                <w:sz w:val="22"/>
              </w:rPr>
              <w:t>ترجیح می‌دهم پاسخ ندهم</w:t>
            </w:r>
          </w:p>
        </w:tc>
        <w:tc>
          <w:tcPr>
            <w:tcW w:type="dxa" w:w="2055"/>
          </w:tcPr>
          <w:p>
            <w:pPr>
              <w:bidi w:val="1"/>
              <w:jc w:val="center"/>
            </w:pPr>
            <w:r/>
            <w:r>
              <w:rPr>
                <w:rFonts w:ascii="Cambria" w:hAnsi="Cambria" w:cs="Cambria"/>
                <w:b w:val="0"/>
                <w:sz w:val="22"/>
              </w:rPr>
              <w:t>۴</w:t>
            </w:r>
          </w:p>
        </w:tc>
        <w:tc>
          <w:tcPr>
            <w:tcW w:type="dxa" w:w="2055"/>
          </w:tcPr>
          <w:p>
            <w:pPr>
              <w:bidi w:val="1"/>
              <w:jc w:val="center"/>
            </w:pPr>
            <w:r/>
            <w:r>
              <w:rPr>
                <w:rFonts w:ascii="Cambria" w:hAnsi="Cambria" w:cs="Cambria"/>
                <w:b w:val="0"/>
                <w:sz w:val="22"/>
              </w:rPr>
              <w:t>۲٫۱۶</w:t>
            </w:r>
          </w:p>
        </w:tc>
      </w:tr>
      <w:tr>
        <w:tc>
          <w:tcPr>
            <w:tcW w:type="dxa" w:w="2055"/>
          </w:tcPr>
          <w:p>
            <w:pPr>
              <w:bidi w:val="1"/>
              <w:jc w:val="center"/>
            </w:pPr>
            <w:r/>
            <w:r>
              <w:rPr>
                <w:rFonts w:ascii="Cambria" w:hAnsi="Cambria" w:cs="Cambria"/>
                <w:b w:val="0"/>
                <w:sz w:val="22"/>
              </w:rPr>
              <w:t>وضعیت تأهل</w:t>
            </w:r>
          </w:p>
        </w:tc>
        <w:tc>
          <w:tcPr>
            <w:tcW w:type="dxa" w:w="2055"/>
          </w:tcPr>
          <w:p>
            <w:pPr>
              <w:bidi w:val="1"/>
              <w:jc w:val="center"/>
            </w:pPr>
            <w:r/>
            <w:r>
              <w:rPr>
                <w:rFonts w:ascii="Cambria" w:hAnsi="Cambria" w:cs="Cambria"/>
                <w:b w:val="0"/>
                <w:sz w:val="22"/>
              </w:rPr>
              <w:t>مجرد</w:t>
            </w:r>
          </w:p>
        </w:tc>
        <w:tc>
          <w:tcPr>
            <w:tcW w:type="dxa" w:w="2055"/>
          </w:tcPr>
          <w:p>
            <w:pPr>
              <w:bidi w:val="1"/>
              <w:jc w:val="center"/>
            </w:pPr>
            <w:r/>
            <w:r>
              <w:rPr>
                <w:rFonts w:ascii="Cambria" w:hAnsi="Cambria" w:cs="Cambria"/>
                <w:b w:val="0"/>
                <w:sz w:val="22"/>
              </w:rPr>
              <w:t>۸۳</w:t>
            </w:r>
          </w:p>
        </w:tc>
        <w:tc>
          <w:tcPr>
            <w:tcW w:type="dxa" w:w="2055"/>
          </w:tcPr>
          <w:p>
            <w:pPr>
              <w:bidi w:val="1"/>
              <w:jc w:val="center"/>
            </w:pPr>
            <w:r/>
            <w:r>
              <w:rPr>
                <w:rFonts w:ascii="Cambria" w:hAnsi="Cambria" w:cs="Cambria"/>
                <w:b w:val="0"/>
                <w:sz w:val="22"/>
              </w:rPr>
              <w:t>۴۴٫۸۶</w:t>
            </w:r>
          </w:p>
        </w:tc>
      </w:tr>
      <w:tr>
        <w:tc>
          <w:tcPr>
            <w:tcW w:type="dxa" w:w="2055"/>
          </w:tcPr>
          <w:p>
            <w:pPr>
              <w:bidi w:val="1"/>
              <w:jc w:val="center"/>
            </w:pPr>
            <w:r/>
            <w:r>
              <w:rPr>
                <w:rFonts w:ascii="Cambria" w:hAnsi="Cambria" w:cs="Cambria"/>
                <w:b w:val="0"/>
                <w:sz w:val="22"/>
              </w:rPr>
              <w:t>وضعیت تأهل</w:t>
            </w:r>
          </w:p>
        </w:tc>
        <w:tc>
          <w:tcPr>
            <w:tcW w:type="dxa" w:w="2055"/>
          </w:tcPr>
          <w:p>
            <w:pPr>
              <w:bidi w:val="1"/>
              <w:jc w:val="center"/>
            </w:pPr>
            <w:r/>
            <w:r>
              <w:rPr>
                <w:rFonts w:ascii="Cambria" w:hAnsi="Cambria" w:cs="Cambria"/>
                <w:b w:val="0"/>
                <w:sz w:val="22"/>
              </w:rPr>
              <w:t>متاهل</w:t>
            </w:r>
          </w:p>
        </w:tc>
        <w:tc>
          <w:tcPr>
            <w:tcW w:type="dxa" w:w="2055"/>
          </w:tcPr>
          <w:p>
            <w:pPr>
              <w:bidi w:val="1"/>
              <w:jc w:val="center"/>
            </w:pPr>
            <w:r/>
            <w:r>
              <w:rPr>
                <w:rFonts w:ascii="Cambria" w:hAnsi="Cambria" w:cs="Cambria"/>
                <w:b w:val="0"/>
                <w:sz w:val="22"/>
              </w:rPr>
              <w:t>۸۲</w:t>
            </w:r>
          </w:p>
        </w:tc>
        <w:tc>
          <w:tcPr>
            <w:tcW w:type="dxa" w:w="2055"/>
          </w:tcPr>
          <w:p>
            <w:pPr>
              <w:bidi w:val="1"/>
              <w:jc w:val="center"/>
            </w:pPr>
            <w:r/>
            <w:r>
              <w:rPr>
                <w:rFonts w:ascii="Cambria" w:hAnsi="Cambria" w:cs="Cambria"/>
                <w:b w:val="0"/>
                <w:sz w:val="22"/>
              </w:rPr>
              <w:t>۴۴٫۳۲</w:t>
            </w:r>
          </w:p>
        </w:tc>
      </w:tr>
      <w:tr>
        <w:tc>
          <w:tcPr>
            <w:tcW w:type="dxa" w:w="2055"/>
          </w:tcPr>
          <w:p>
            <w:pPr>
              <w:bidi w:val="1"/>
              <w:jc w:val="center"/>
            </w:pPr>
            <w:r/>
            <w:r>
              <w:rPr>
                <w:rFonts w:ascii="Cambria" w:hAnsi="Cambria" w:cs="Cambria"/>
                <w:b w:val="0"/>
                <w:sz w:val="22"/>
              </w:rPr>
              <w:t>وضعیت تأهل</w:t>
            </w:r>
          </w:p>
        </w:tc>
        <w:tc>
          <w:tcPr>
            <w:tcW w:type="dxa" w:w="2055"/>
          </w:tcPr>
          <w:p>
            <w:pPr>
              <w:bidi w:val="1"/>
              <w:jc w:val="center"/>
            </w:pPr>
            <w:r/>
            <w:r>
              <w:rPr>
                <w:rFonts w:ascii="Cambria" w:hAnsi="Cambria" w:cs="Cambria"/>
                <w:b w:val="0"/>
                <w:sz w:val="22"/>
              </w:rPr>
              <w:t>مطلقه/سایر</w:t>
            </w:r>
          </w:p>
        </w:tc>
        <w:tc>
          <w:tcPr>
            <w:tcW w:type="dxa" w:w="2055"/>
          </w:tcPr>
          <w:p>
            <w:pPr>
              <w:bidi w:val="1"/>
              <w:jc w:val="center"/>
            </w:pPr>
            <w:r/>
            <w:r>
              <w:rPr>
                <w:rFonts w:ascii="Cambria" w:hAnsi="Cambria" w:cs="Cambria"/>
                <w:b w:val="0"/>
                <w:sz w:val="22"/>
              </w:rPr>
              <w:t>۲۰</w:t>
            </w:r>
          </w:p>
        </w:tc>
        <w:tc>
          <w:tcPr>
            <w:tcW w:type="dxa" w:w="2055"/>
          </w:tcPr>
          <w:p>
            <w:pPr>
              <w:bidi w:val="1"/>
              <w:jc w:val="center"/>
            </w:pPr>
            <w:r/>
            <w:r>
              <w:rPr>
                <w:rFonts w:ascii="Cambria" w:hAnsi="Cambria" w:cs="Cambria"/>
                <w:b w:val="0"/>
                <w:sz w:val="22"/>
              </w:rPr>
              <w:t>۱۰٫۸۱</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زیر دیپلم</w:t>
            </w:r>
          </w:p>
        </w:tc>
        <w:tc>
          <w:tcPr>
            <w:tcW w:type="dxa" w:w="2055"/>
          </w:tcPr>
          <w:p>
            <w:pPr>
              <w:bidi w:val="1"/>
              <w:jc w:val="center"/>
            </w:pPr>
            <w:r/>
            <w:r>
              <w:rPr>
                <w:rFonts w:ascii="Cambria" w:hAnsi="Cambria" w:cs="Cambria"/>
                <w:b w:val="0"/>
                <w:sz w:val="22"/>
              </w:rPr>
              <w:t>۳</w:t>
            </w:r>
          </w:p>
        </w:tc>
        <w:tc>
          <w:tcPr>
            <w:tcW w:type="dxa" w:w="2055"/>
          </w:tcPr>
          <w:p>
            <w:pPr>
              <w:bidi w:val="1"/>
              <w:jc w:val="center"/>
            </w:pPr>
            <w:r/>
            <w:r>
              <w:rPr>
                <w:rFonts w:ascii="Cambria" w:hAnsi="Cambria" w:cs="Cambria"/>
                <w:b w:val="0"/>
                <w:sz w:val="22"/>
              </w:rPr>
              <w:t>۱٫۶۲</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دیپلم</w:t>
            </w:r>
          </w:p>
        </w:tc>
        <w:tc>
          <w:tcPr>
            <w:tcW w:type="dxa" w:w="2055"/>
          </w:tcPr>
          <w:p>
            <w:pPr>
              <w:bidi w:val="1"/>
              <w:jc w:val="center"/>
            </w:pPr>
            <w:r/>
            <w:r>
              <w:rPr>
                <w:rFonts w:ascii="Cambria" w:hAnsi="Cambria" w:cs="Cambria"/>
                <w:b w:val="0"/>
                <w:sz w:val="22"/>
              </w:rPr>
              <w:t>۳۷</w:t>
            </w:r>
          </w:p>
        </w:tc>
        <w:tc>
          <w:tcPr>
            <w:tcW w:type="dxa" w:w="2055"/>
          </w:tcPr>
          <w:p>
            <w:pPr>
              <w:bidi w:val="1"/>
              <w:jc w:val="center"/>
            </w:pPr>
            <w:r/>
            <w:r>
              <w:rPr>
                <w:rFonts w:ascii="Cambria" w:hAnsi="Cambria" w:cs="Cambria"/>
                <w:b w:val="0"/>
                <w:sz w:val="22"/>
              </w:rPr>
              <w:t>۲۰٫۰۰</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فوق دیپلم</w:t>
            </w:r>
          </w:p>
        </w:tc>
        <w:tc>
          <w:tcPr>
            <w:tcW w:type="dxa" w:w="2055"/>
          </w:tcPr>
          <w:p>
            <w:pPr>
              <w:bidi w:val="1"/>
              <w:jc w:val="center"/>
            </w:pPr>
            <w:r/>
            <w:r>
              <w:rPr>
                <w:rFonts w:ascii="Cambria" w:hAnsi="Cambria" w:cs="Cambria"/>
                <w:b w:val="0"/>
                <w:sz w:val="22"/>
              </w:rPr>
              <w:t>۱۹</w:t>
            </w:r>
          </w:p>
        </w:tc>
        <w:tc>
          <w:tcPr>
            <w:tcW w:type="dxa" w:w="2055"/>
          </w:tcPr>
          <w:p>
            <w:pPr>
              <w:bidi w:val="1"/>
              <w:jc w:val="center"/>
            </w:pPr>
            <w:r/>
            <w:r>
              <w:rPr>
                <w:rFonts w:ascii="Cambria" w:hAnsi="Cambria" w:cs="Cambria"/>
                <w:b w:val="0"/>
                <w:sz w:val="22"/>
              </w:rPr>
              <w:t>۱۰٫۲۷</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لیسانس</w:t>
            </w:r>
          </w:p>
        </w:tc>
        <w:tc>
          <w:tcPr>
            <w:tcW w:type="dxa" w:w="2055"/>
          </w:tcPr>
          <w:p>
            <w:pPr>
              <w:bidi w:val="1"/>
              <w:jc w:val="center"/>
            </w:pPr>
            <w:r/>
            <w:r>
              <w:rPr>
                <w:rFonts w:ascii="Cambria" w:hAnsi="Cambria" w:cs="Cambria"/>
                <w:b w:val="0"/>
                <w:sz w:val="22"/>
              </w:rPr>
              <w:t>۷۴</w:t>
            </w:r>
          </w:p>
        </w:tc>
        <w:tc>
          <w:tcPr>
            <w:tcW w:type="dxa" w:w="2055"/>
          </w:tcPr>
          <w:p>
            <w:pPr>
              <w:bidi w:val="1"/>
              <w:jc w:val="center"/>
            </w:pPr>
            <w:r/>
            <w:r>
              <w:rPr>
                <w:rFonts w:ascii="Cambria" w:hAnsi="Cambria" w:cs="Cambria"/>
                <w:b w:val="0"/>
                <w:sz w:val="22"/>
              </w:rPr>
              <w:t>۴۰٫۰۰</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فوق لیسانس</w:t>
            </w:r>
          </w:p>
        </w:tc>
        <w:tc>
          <w:tcPr>
            <w:tcW w:type="dxa" w:w="2055"/>
          </w:tcPr>
          <w:p>
            <w:pPr>
              <w:bidi w:val="1"/>
              <w:jc w:val="center"/>
            </w:pPr>
            <w:r/>
            <w:r>
              <w:rPr>
                <w:rFonts w:ascii="Cambria" w:hAnsi="Cambria" w:cs="Cambria"/>
                <w:b w:val="0"/>
                <w:sz w:val="22"/>
              </w:rPr>
              <w:t>۴۲</w:t>
            </w:r>
          </w:p>
        </w:tc>
        <w:tc>
          <w:tcPr>
            <w:tcW w:type="dxa" w:w="2055"/>
          </w:tcPr>
          <w:p>
            <w:pPr>
              <w:bidi w:val="1"/>
              <w:jc w:val="center"/>
            </w:pPr>
            <w:r/>
            <w:r>
              <w:rPr>
                <w:rFonts w:ascii="Cambria" w:hAnsi="Cambria" w:cs="Cambria"/>
                <w:b w:val="0"/>
                <w:sz w:val="22"/>
              </w:rPr>
              <w:t>۲۲٫۷۰</w:t>
            </w:r>
          </w:p>
        </w:tc>
      </w:tr>
      <w:tr>
        <w:tc>
          <w:tcPr>
            <w:tcW w:type="dxa" w:w="2055"/>
          </w:tcPr>
          <w:p>
            <w:pPr>
              <w:bidi w:val="1"/>
              <w:jc w:val="center"/>
            </w:pPr>
            <w:r/>
            <w:r>
              <w:rPr>
                <w:rFonts w:ascii="Cambria" w:hAnsi="Cambria" w:cs="Cambria"/>
                <w:b w:val="0"/>
                <w:sz w:val="22"/>
              </w:rPr>
              <w:t>سطح تحصیلات</w:t>
            </w:r>
          </w:p>
        </w:tc>
        <w:tc>
          <w:tcPr>
            <w:tcW w:type="dxa" w:w="2055"/>
          </w:tcPr>
          <w:p>
            <w:pPr>
              <w:bidi w:val="1"/>
              <w:jc w:val="center"/>
            </w:pPr>
            <w:r/>
            <w:r>
              <w:rPr>
                <w:rFonts w:ascii="Cambria" w:hAnsi="Cambria" w:cs="Cambria"/>
                <w:b w:val="0"/>
                <w:sz w:val="22"/>
              </w:rPr>
              <w:t>دکتری</w:t>
            </w:r>
          </w:p>
        </w:tc>
        <w:tc>
          <w:tcPr>
            <w:tcW w:type="dxa" w:w="2055"/>
          </w:tcPr>
          <w:p>
            <w:pPr>
              <w:bidi w:val="1"/>
              <w:jc w:val="center"/>
            </w:pPr>
            <w:r/>
            <w:r>
              <w:rPr>
                <w:rFonts w:ascii="Cambria" w:hAnsi="Cambria" w:cs="Cambria"/>
                <w:b w:val="0"/>
                <w:sz w:val="22"/>
              </w:rPr>
              <w:t>۱۰</w:t>
            </w:r>
          </w:p>
        </w:tc>
        <w:tc>
          <w:tcPr>
            <w:tcW w:type="dxa" w:w="2055"/>
          </w:tcPr>
          <w:p>
            <w:pPr>
              <w:bidi w:val="1"/>
              <w:jc w:val="center"/>
            </w:pPr>
            <w:r/>
            <w:r>
              <w:rPr>
                <w:rFonts w:ascii="Cambria" w:hAnsi="Cambria" w:cs="Cambria"/>
                <w:b w:val="0"/>
                <w:sz w:val="22"/>
              </w:rPr>
              <w:t>۵٫۴۱</w:t>
            </w:r>
          </w:p>
        </w:tc>
      </w:tr>
      <w:tr>
        <w:tc>
          <w:tcPr>
            <w:tcW w:type="dxa" w:w="2055"/>
          </w:tcPr>
          <w:p>
            <w:pPr>
              <w:bidi w:val="1"/>
              <w:jc w:val="center"/>
            </w:pPr>
            <w:r/>
            <w:r>
              <w:rPr>
                <w:rFonts w:ascii="Cambria" w:hAnsi="Cambria" w:cs="Cambria"/>
                <w:b w:val="0"/>
                <w:sz w:val="22"/>
              </w:rPr>
              <w:t>وضعیت اشتغال</w:t>
            </w:r>
          </w:p>
        </w:tc>
        <w:tc>
          <w:tcPr>
            <w:tcW w:type="dxa" w:w="2055"/>
          </w:tcPr>
          <w:p>
            <w:pPr>
              <w:bidi w:val="1"/>
              <w:jc w:val="center"/>
            </w:pPr>
            <w:r/>
            <w:r>
              <w:rPr>
                <w:rFonts w:ascii="Cambria" w:hAnsi="Cambria" w:cs="Cambria"/>
                <w:b w:val="0"/>
                <w:sz w:val="22"/>
              </w:rPr>
              <w:t>خانه‌دار</w:t>
            </w:r>
          </w:p>
        </w:tc>
        <w:tc>
          <w:tcPr>
            <w:tcW w:type="dxa" w:w="2055"/>
          </w:tcPr>
          <w:p>
            <w:pPr>
              <w:bidi w:val="1"/>
              <w:jc w:val="center"/>
            </w:pPr>
            <w:r/>
            <w:r>
              <w:rPr>
                <w:rFonts w:ascii="Cambria" w:hAnsi="Cambria" w:cs="Cambria"/>
                <w:b w:val="0"/>
                <w:sz w:val="22"/>
              </w:rPr>
              <w:t>۹</w:t>
            </w:r>
          </w:p>
        </w:tc>
        <w:tc>
          <w:tcPr>
            <w:tcW w:type="dxa" w:w="2055"/>
          </w:tcPr>
          <w:p>
            <w:pPr>
              <w:bidi w:val="1"/>
              <w:jc w:val="center"/>
            </w:pPr>
            <w:r/>
            <w:r>
              <w:rPr>
                <w:rFonts w:ascii="Cambria" w:hAnsi="Cambria" w:cs="Cambria"/>
                <w:b w:val="0"/>
                <w:sz w:val="22"/>
              </w:rPr>
              <w:t>۴٫۸۶</w:t>
            </w:r>
          </w:p>
        </w:tc>
      </w:tr>
      <w:tr>
        <w:tc>
          <w:tcPr>
            <w:tcW w:type="dxa" w:w="2055"/>
          </w:tcPr>
          <w:p>
            <w:pPr>
              <w:bidi w:val="1"/>
              <w:jc w:val="center"/>
            </w:pPr>
            <w:r/>
            <w:r>
              <w:rPr>
                <w:rFonts w:ascii="Cambria" w:hAnsi="Cambria" w:cs="Cambria"/>
                <w:b w:val="0"/>
                <w:sz w:val="22"/>
              </w:rPr>
              <w:t>وضعیت اشتغال</w:t>
            </w:r>
          </w:p>
        </w:tc>
        <w:tc>
          <w:tcPr>
            <w:tcW w:type="dxa" w:w="2055"/>
          </w:tcPr>
          <w:p>
            <w:pPr>
              <w:bidi w:val="1"/>
              <w:jc w:val="center"/>
            </w:pPr>
            <w:r/>
            <w:r>
              <w:rPr>
                <w:rFonts w:ascii="Cambria" w:hAnsi="Cambria" w:cs="Cambria"/>
                <w:b w:val="0"/>
                <w:sz w:val="22"/>
              </w:rPr>
              <w:t>کارمند</w:t>
            </w:r>
          </w:p>
        </w:tc>
        <w:tc>
          <w:tcPr>
            <w:tcW w:type="dxa" w:w="2055"/>
          </w:tcPr>
          <w:p>
            <w:pPr>
              <w:bidi w:val="1"/>
              <w:jc w:val="center"/>
            </w:pPr>
            <w:r/>
            <w:r>
              <w:rPr>
                <w:rFonts w:ascii="Cambria" w:hAnsi="Cambria" w:cs="Cambria"/>
                <w:b w:val="0"/>
                <w:sz w:val="22"/>
              </w:rPr>
              <w:t>۹۴</w:t>
            </w:r>
          </w:p>
        </w:tc>
        <w:tc>
          <w:tcPr>
            <w:tcW w:type="dxa" w:w="2055"/>
          </w:tcPr>
          <w:p>
            <w:pPr>
              <w:bidi w:val="1"/>
              <w:jc w:val="center"/>
            </w:pPr>
            <w:r/>
            <w:r>
              <w:rPr>
                <w:rFonts w:ascii="Cambria" w:hAnsi="Cambria" w:cs="Cambria"/>
                <w:b w:val="0"/>
                <w:sz w:val="22"/>
              </w:rPr>
              <w:t>۵۰٫۸۱</w:t>
            </w:r>
          </w:p>
        </w:tc>
      </w:tr>
      <w:tr>
        <w:tc>
          <w:tcPr>
            <w:tcW w:type="dxa" w:w="2055"/>
          </w:tcPr>
          <w:p>
            <w:pPr>
              <w:bidi w:val="1"/>
              <w:jc w:val="center"/>
            </w:pPr>
            <w:r/>
            <w:r>
              <w:rPr>
                <w:rFonts w:ascii="Cambria" w:hAnsi="Cambria" w:cs="Cambria"/>
                <w:b w:val="0"/>
                <w:sz w:val="22"/>
              </w:rPr>
              <w:t>وضعیت اشتغال</w:t>
            </w:r>
          </w:p>
        </w:tc>
        <w:tc>
          <w:tcPr>
            <w:tcW w:type="dxa" w:w="2055"/>
          </w:tcPr>
          <w:p>
            <w:pPr>
              <w:bidi w:val="1"/>
              <w:jc w:val="center"/>
            </w:pPr>
            <w:r/>
            <w:r>
              <w:rPr>
                <w:rFonts w:ascii="Cambria" w:hAnsi="Cambria" w:cs="Cambria"/>
                <w:b w:val="0"/>
                <w:sz w:val="22"/>
              </w:rPr>
              <w:t>مشاغل آزاد</w:t>
            </w:r>
          </w:p>
        </w:tc>
        <w:tc>
          <w:tcPr>
            <w:tcW w:type="dxa" w:w="2055"/>
          </w:tcPr>
          <w:p>
            <w:pPr>
              <w:bidi w:val="1"/>
              <w:jc w:val="center"/>
            </w:pPr>
            <w:r/>
            <w:r>
              <w:rPr>
                <w:rFonts w:ascii="Cambria" w:hAnsi="Cambria" w:cs="Cambria"/>
                <w:b w:val="0"/>
                <w:sz w:val="22"/>
              </w:rPr>
              <w:t>۶۷</w:t>
            </w:r>
          </w:p>
        </w:tc>
        <w:tc>
          <w:tcPr>
            <w:tcW w:type="dxa" w:w="2055"/>
          </w:tcPr>
          <w:p>
            <w:pPr>
              <w:bidi w:val="1"/>
              <w:jc w:val="center"/>
            </w:pPr>
            <w:r/>
            <w:r>
              <w:rPr>
                <w:rFonts w:ascii="Cambria" w:hAnsi="Cambria" w:cs="Cambria"/>
                <w:b w:val="0"/>
                <w:sz w:val="22"/>
              </w:rPr>
              <w:t>۳۶٫۲۲</w:t>
            </w:r>
          </w:p>
        </w:tc>
      </w:tr>
      <w:tr>
        <w:tc>
          <w:tcPr>
            <w:tcW w:type="dxa" w:w="2055"/>
          </w:tcPr>
          <w:p>
            <w:pPr>
              <w:bidi w:val="1"/>
              <w:jc w:val="center"/>
            </w:pPr>
            <w:r/>
            <w:r>
              <w:rPr>
                <w:rFonts w:ascii="Cambria" w:hAnsi="Cambria" w:cs="Cambria"/>
                <w:b w:val="0"/>
                <w:sz w:val="22"/>
              </w:rPr>
              <w:t>وضعیت اشتغال</w:t>
            </w:r>
          </w:p>
        </w:tc>
        <w:tc>
          <w:tcPr>
            <w:tcW w:type="dxa" w:w="2055"/>
          </w:tcPr>
          <w:p>
            <w:pPr>
              <w:bidi w:val="1"/>
              <w:jc w:val="center"/>
            </w:pPr>
            <w:r/>
            <w:r>
              <w:rPr>
                <w:rFonts w:ascii="Cambria" w:hAnsi="Cambria" w:cs="Cambria"/>
                <w:b w:val="0"/>
                <w:sz w:val="22"/>
              </w:rPr>
              <w:t>سایر</w:t>
            </w:r>
          </w:p>
        </w:tc>
        <w:tc>
          <w:tcPr>
            <w:tcW w:type="dxa" w:w="2055"/>
          </w:tcPr>
          <w:p>
            <w:pPr>
              <w:bidi w:val="1"/>
              <w:jc w:val="center"/>
            </w:pPr>
            <w:r/>
            <w:r>
              <w:rPr>
                <w:rFonts w:ascii="Cambria" w:hAnsi="Cambria" w:cs="Cambria"/>
                <w:b w:val="0"/>
                <w:sz w:val="22"/>
              </w:rPr>
              <w:t>۱۵</w:t>
            </w:r>
          </w:p>
        </w:tc>
        <w:tc>
          <w:tcPr>
            <w:tcW w:type="dxa" w:w="2055"/>
          </w:tcPr>
          <w:p>
            <w:pPr>
              <w:bidi w:val="1"/>
              <w:jc w:val="center"/>
            </w:pPr>
            <w:r/>
            <w:r>
              <w:rPr>
                <w:rFonts w:ascii="Cambria" w:hAnsi="Cambria" w:cs="Cambria"/>
                <w:b w:val="0"/>
                <w:sz w:val="22"/>
              </w:rPr>
              <w:t>۸٫۱۱</w:t>
            </w:r>
          </w:p>
        </w:tc>
      </w:tr>
    </w:tbl>
    <w:p>
      <w:pPr>
        <w:bidi w:val="1"/>
        <w:spacing w:lineRule="exact" w:line="580" w:after="0"/>
        <w:jc w:val="both"/>
      </w:pPr>
      <w:r>
        <w:rPr>
          <w:rFonts w:ascii="B Nazanin" w:hAnsi="B Nazanin" w:cs="B Nazanin" w:hint="cs"/>
          <w:sz w:val="24"/>
          <w:szCs w:val="24"/>
          <w:rtl/>
          <w:lang w:bidi="fa-IR"/>
        </w:rPr>
        <w:t xml:space="preserve">از نظر ویژگی‌های معاملاتی، بازار اصلی فعالیت ۷۹ نفر (۴۲٫۷ درصد) بورس، ۴۸ نفر (۲۶٫۰ درصد) رمزارز و ۳۱ نفر (۱۶٫۸ درصد) فارکس بود و بقیه در بازارهای طلا و ارز، کالا و سایر بازارها فعالیت می‌کردند. میانگین سابقه معامله‌گری ۴۲٫۸ ماه (حدود ۳٫۶ سال) با انحراف معیار ۲۵٫۹ ماه بود (دامنه ۹ تا ۱۷۳ ماه) و بیشترین تراکم در بازه ۱۲ تا ۳۵ ماه دیده شد. تعداد معاملات واقعی ۶ ماهه اخیر در ۶۵ نفر (۳۵٫۱ درصد) بین ۱ تا ۱۰ معامله، در ۷۹ نفر (۴۲٫۷ درصد) بین ۱۰ تا ۵۰ معامله و در ۴۱ نفر (۲۲٫۲ درصد) ۵۰ معامله به بالا بود. سرمایه تقریبی نیز پراکندگی متوازنی داشت: کمتر از ۵۰ میلیون تومان (۲۶٫۵ درصد)، ۵۰ تا ۲۰۰ میلیون تومان (۲۷٫۰ درصد)، ۲۰۰ تا ۵۰۰ میلیون تومان (۲۰٫۰ درصد)، ۵۰۰ میلیون تا ۱ میلیارد تومان (۱۵٫۷ درصد) و بیش از ۱ میلیارد تومان (۸٫۱ درصد). جدول ۴-۳ توزیع ویژگی‌های معاملاتی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۴-۳.</w:t>
      </w:r>
      <w:r>
        <w:rPr>
          <w:rFonts w:ascii="B Nazanin" w:hAnsi="B Nazanin" w:cs="B Nazanin" w:hint="cs"/>
          <w:sz w:val="22"/>
          <w:szCs w:val="22"/>
          <w:rtl/>
          <w:lang w:bidi="fa-IR"/>
        </w:rPr>
        <w:t xml:space="preserve"> توزیع ویژگی‌های معاملاتی نمونه نهایی</w:t>
      </w:r>
    </w:p>
    <w:p>
      <w:pPr>
        <w:bidi/>
      </w:pPr>
      <w:r>
        <w:rPr>
          <w:vanish/>
          <w:rFonts w:ascii="B Nazanin" w:hAnsi="B Nazanin"/>
        </w:rPr>
        <w:fldChar w:fldCharType="begin"/>
      </w:r>
      <w:r>
        <w:rPr>
          <w:vanish/>
          <w:rFonts w:ascii="B Nazanin" w:hAnsi="B Nazanin"/>
        </w:rPr>
        <w:instrText>TC "جدول ۴-۳. توزیع ویژگی‌های معاملاتی نمونه نهایی"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bidi w:val="1"/>
              <w:jc w:val="center"/>
            </w:pPr>
            <w:r/>
            <w:r>
              <w:rPr>
                <w:rFonts w:ascii="Cambria" w:hAnsi="Cambria" w:cs="Cambria"/>
                <w:b/>
                <w:sz w:val="22"/>
              </w:rPr>
              <w:t>متغیر</w:t>
            </w:r>
          </w:p>
        </w:tc>
        <w:tc>
          <w:tcPr>
            <w:tcW w:type="dxa" w:w="2055"/>
            <w:tcBorders>
              <w:bottom w:val="single" w:sz="12" w:space="0" w:color="000000"/>
            </w:tcBorders>
          </w:tcPr>
          <w:p>
            <w:pPr>
              <w:bidi w:val="1"/>
              <w:jc w:val="center"/>
            </w:pPr>
            <w:r/>
            <w:r>
              <w:rPr>
                <w:rFonts w:ascii="Cambria" w:hAnsi="Cambria" w:cs="Cambria"/>
                <w:b/>
                <w:sz w:val="22"/>
              </w:rPr>
              <w:t>سطح</w:t>
            </w:r>
          </w:p>
        </w:tc>
        <w:tc>
          <w:tcPr>
            <w:tcW w:type="dxa" w:w="2055"/>
            <w:tcBorders>
              <w:bottom w:val="single" w:sz="12" w:space="0" w:color="000000"/>
            </w:tcBorders>
          </w:tcPr>
          <w:p>
            <w:pPr>
              <w:bidi w:val="1"/>
              <w:jc w:val="center"/>
            </w:pPr>
            <w:r/>
            <w:r>
              <w:rPr>
                <w:rFonts w:ascii="Cambria" w:hAnsi="Cambria" w:cs="Cambria"/>
                <w:b/>
                <w:sz w:val="22"/>
              </w:rPr>
              <w:t>تعداد</w:t>
            </w:r>
          </w:p>
        </w:tc>
        <w:tc>
          <w:tcPr>
            <w:tcW w:type="dxa" w:w="2055"/>
            <w:tcBorders>
              <w:bottom w:val="single" w:sz="12" w:space="0" w:color="000000"/>
            </w:tcBorders>
          </w:tcPr>
          <w:p>
            <w:pPr>
              <w:bidi w:val="1"/>
              <w:jc w:val="center"/>
            </w:pPr>
            <w:r/>
            <w:r>
              <w:rPr>
                <w:rFonts w:ascii="Cambria" w:hAnsi="Cambria" w:cs="Cambria"/>
                <w:b/>
                <w:sz w:val="22"/>
              </w:rPr>
              <w:t>درصد</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بورس</w:t>
            </w:r>
          </w:p>
        </w:tc>
        <w:tc>
          <w:tcPr>
            <w:tcW w:type="dxa" w:w="2055"/>
          </w:tcPr>
          <w:p>
            <w:pPr>
              <w:bidi w:val="1"/>
              <w:jc w:val="center"/>
            </w:pPr>
            <w:r/>
            <w:r>
              <w:rPr>
                <w:rFonts w:ascii="Cambria" w:hAnsi="Cambria" w:cs="Cambria"/>
                <w:b w:val="0"/>
                <w:sz w:val="22"/>
              </w:rPr>
              <w:t>۷۹</w:t>
            </w:r>
          </w:p>
        </w:tc>
        <w:tc>
          <w:tcPr>
            <w:tcW w:type="dxa" w:w="2055"/>
          </w:tcPr>
          <w:p>
            <w:pPr>
              <w:bidi w:val="1"/>
              <w:jc w:val="center"/>
            </w:pPr>
            <w:r/>
            <w:r>
              <w:rPr>
                <w:rFonts w:ascii="Cambria" w:hAnsi="Cambria" w:cs="Cambria"/>
                <w:b w:val="0"/>
                <w:sz w:val="22"/>
              </w:rPr>
              <w:t>۴۲٫۷۰</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رمزارز</w:t>
            </w:r>
          </w:p>
        </w:tc>
        <w:tc>
          <w:tcPr>
            <w:tcW w:type="dxa" w:w="2055"/>
          </w:tcPr>
          <w:p>
            <w:pPr>
              <w:bidi w:val="1"/>
              <w:jc w:val="center"/>
            </w:pPr>
            <w:r/>
            <w:r>
              <w:rPr>
                <w:rFonts w:ascii="Cambria" w:hAnsi="Cambria" w:cs="Cambria"/>
                <w:b w:val="0"/>
                <w:sz w:val="22"/>
              </w:rPr>
              <w:t>۴۸</w:t>
            </w:r>
          </w:p>
        </w:tc>
        <w:tc>
          <w:tcPr>
            <w:tcW w:type="dxa" w:w="2055"/>
          </w:tcPr>
          <w:p>
            <w:pPr>
              <w:bidi w:val="1"/>
              <w:jc w:val="center"/>
            </w:pPr>
            <w:r/>
            <w:r>
              <w:rPr>
                <w:rFonts w:ascii="Cambria" w:hAnsi="Cambria" w:cs="Cambria"/>
                <w:b w:val="0"/>
                <w:sz w:val="22"/>
              </w:rPr>
              <w:t>۲۵٫۹۵</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فارکس</w:t>
            </w:r>
          </w:p>
        </w:tc>
        <w:tc>
          <w:tcPr>
            <w:tcW w:type="dxa" w:w="2055"/>
          </w:tcPr>
          <w:p>
            <w:pPr>
              <w:bidi w:val="1"/>
              <w:jc w:val="center"/>
            </w:pPr>
            <w:r/>
            <w:r>
              <w:rPr>
                <w:rFonts w:ascii="Cambria" w:hAnsi="Cambria" w:cs="Cambria"/>
                <w:b w:val="0"/>
                <w:sz w:val="22"/>
              </w:rPr>
              <w:t>۳۱</w:t>
            </w:r>
          </w:p>
        </w:tc>
        <w:tc>
          <w:tcPr>
            <w:tcW w:type="dxa" w:w="2055"/>
          </w:tcPr>
          <w:p>
            <w:pPr>
              <w:bidi w:val="1"/>
              <w:jc w:val="center"/>
            </w:pPr>
            <w:r/>
            <w:r>
              <w:rPr>
                <w:rFonts w:ascii="Cambria" w:hAnsi="Cambria" w:cs="Cambria"/>
                <w:b w:val="0"/>
                <w:sz w:val="22"/>
              </w:rPr>
              <w:t>۱۶٫۷۶</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طلا و ارز</w:t>
            </w:r>
          </w:p>
        </w:tc>
        <w:tc>
          <w:tcPr>
            <w:tcW w:type="dxa" w:w="2055"/>
          </w:tcPr>
          <w:p>
            <w:pPr>
              <w:bidi w:val="1"/>
              <w:jc w:val="center"/>
            </w:pPr>
            <w:r/>
            <w:r>
              <w:rPr>
                <w:rFonts w:ascii="Cambria" w:hAnsi="Cambria" w:cs="Cambria"/>
                <w:b w:val="0"/>
                <w:sz w:val="22"/>
              </w:rPr>
              <w:t>۱۵</w:t>
            </w:r>
          </w:p>
        </w:tc>
        <w:tc>
          <w:tcPr>
            <w:tcW w:type="dxa" w:w="2055"/>
          </w:tcPr>
          <w:p>
            <w:pPr>
              <w:bidi w:val="1"/>
              <w:jc w:val="center"/>
            </w:pPr>
            <w:r/>
            <w:r>
              <w:rPr>
                <w:rFonts w:ascii="Cambria" w:hAnsi="Cambria" w:cs="Cambria"/>
                <w:b w:val="0"/>
                <w:sz w:val="22"/>
              </w:rPr>
              <w:t>۸٫۱۱</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کالا</w:t>
            </w:r>
          </w:p>
        </w:tc>
        <w:tc>
          <w:tcPr>
            <w:tcW w:type="dxa" w:w="2055"/>
          </w:tcPr>
          <w:p>
            <w:pPr>
              <w:bidi w:val="1"/>
              <w:jc w:val="center"/>
            </w:pPr>
            <w:r/>
            <w:r>
              <w:rPr>
                <w:rFonts w:ascii="Cambria" w:hAnsi="Cambria" w:cs="Cambria"/>
                <w:b w:val="0"/>
                <w:sz w:val="22"/>
              </w:rPr>
              <w:t>۴</w:t>
            </w:r>
          </w:p>
        </w:tc>
        <w:tc>
          <w:tcPr>
            <w:tcW w:type="dxa" w:w="2055"/>
          </w:tcPr>
          <w:p>
            <w:pPr>
              <w:bidi w:val="1"/>
              <w:jc w:val="center"/>
            </w:pPr>
            <w:r/>
            <w:r>
              <w:rPr>
                <w:rFonts w:ascii="Cambria" w:hAnsi="Cambria" w:cs="Cambria"/>
                <w:b w:val="0"/>
                <w:sz w:val="22"/>
              </w:rPr>
              <w:t>۲٫۱۶</w:t>
            </w:r>
          </w:p>
        </w:tc>
      </w:tr>
      <w:tr>
        <w:tc>
          <w:tcPr>
            <w:tcW w:type="dxa" w:w="2055"/>
          </w:tcPr>
          <w:p>
            <w:pPr>
              <w:bidi w:val="1"/>
              <w:jc w:val="center"/>
            </w:pPr>
            <w:r/>
            <w:r>
              <w:rPr>
                <w:rFonts w:ascii="Cambria" w:hAnsi="Cambria" w:cs="Cambria"/>
                <w:b w:val="0"/>
                <w:sz w:val="22"/>
              </w:rPr>
              <w:t>بازار اصلی فعالیت</w:t>
            </w:r>
          </w:p>
        </w:tc>
        <w:tc>
          <w:tcPr>
            <w:tcW w:type="dxa" w:w="2055"/>
          </w:tcPr>
          <w:p>
            <w:pPr>
              <w:bidi w:val="1"/>
              <w:jc w:val="center"/>
            </w:pPr>
            <w:r/>
            <w:r>
              <w:rPr>
                <w:rFonts w:ascii="Cambria" w:hAnsi="Cambria" w:cs="Cambria"/>
                <w:b w:val="0"/>
                <w:sz w:val="22"/>
              </w:rPr>
              <w:t>سایر</w:t>
            </w:r>
          </w:p>
        </w:tc>
        <w:tc>
          <w:tcPr>
            <w:tcW w:type="dxa" w:w="2055"/>
          </w:tcPr>
          <w:p>
            <w:pPr>
              <w:bidi w:val="1"/>
              <w:jc w:val="center"/>
            </w:pPr>
            <w:r/>
            <w:r>
              <w:rPr>
                <w:rFonts w:ascii="Cambria" w:hAnsi="Cambria" w:cs="Cambria"/>
                <w:b w:val="0"/>
                <w:sz w:val="22"/>
              </w:rPr>
              <w:t>۸</w:t>
            </w:r>
          </w:p>
        </w:tc>
        <w:tc>
          <w:tcPr>
            <w:tcW w:type="dxa" w:w="2055"/>
          </w:tcPr>
          <w:p>
            <w:pPr>
              <w:bidi w:val="1"/>
              <w:jc w:val="center"/>
            </w:pPr>
            <w:r/>
            <w:r>
              <w:rPr>
                <w:rFonts w:ascii="Cambria" w:hAnsi="Cambria" w:cs="Cambria"/>
                <w:b w:val="0"/>
                <w:sz w:val="22"/>
              </w:rPr>
              <w:t>۴٫۳۲</w:t>
            </w:r>
          </w:p>
        </w:tc>
      </w:tr>
      <w:tr>
        <w:tc>
          <w:tcPr>
            <w:tcW w:type="dxa" w:w="2055"/>
          </w:tcPr>
          <w:p>
            <w:pPr>
              <w:bidi w:val="1"/>
              <w:jc w:val="center"/>
            </w:pPr>
            <w:r/>
            <w:r>
              <w:rPr>
                <w:rFonts w:ascii="Cambria" w:hAnsi="Cambria" w:cs="Cambria"/>
                <w:b w:val="0"/>
                <w:sz w:val="22"/>
              </w:rPr>
              <w:t>سابقه (ماه)</w:t>
            </w:r>
          </w:p>
        </w:tc>
        <w:tc>
          <w:tcPr>
            <w:tcW w:type="dxa" w:w="2055"/>
          </w:tcPr>
          <w:p>
            <w:pPr>
              <w:bidi w:val="1"/>
              <w:jc w:val="center"/>
            </w:pPr>
            <w:r/>
            <w:r>
              <w:rPr>
                <w:rFonts w:ascii="Cambria" w:hAnsi="Cambria" w:cs="Cambria"/>
                <w:b w:val="0"/>
                <w:sz w:val="22"/>
              </w:rPr>
              <w:t>۶ تا ۱۱</w:t>
            </w:r>
          </w:p>
        </w:tc>
        <w:tc>
          <w:tcPr>
            <w:tcW w:type="dxa" w:w="2055"/>
          </w:tcPr>
          <w:p>
            <w:pPr>
              <w:bidi w:val="1"/>
              <w:jc w:val="center"/>
            </w:pPr>
            <w:r/>
            <w:r>
              <w:rPr>
                <w:rFonts w:ascii="Cambria" w:hAnsi="Cambria" w:cs="Cambria"/>
                <w:b w:val="0"/>
                <w:sz w:val="22"/>
              </w:rPr>
              <w:t>۵</w:t>
            </w:r>
          </w:p>
        </w:tc>
        <w:tc>
          <w:tcPr>
            <w:tcW w:type="dxa" w:w="2055"/>
          </w:tcPr>
          <w:p>
            <w:pPr>
              <w:bidi w:val="1"/>
              <w:jc w:val="center"/>
            </w:pPr>
            <w:r/>
            <w:r>
              <w:rPr>
                <w:rFonts w:ascii="Cambria" w:hAnsi="Cambria" w:cs="Cambria"/>
                <w:b w:val="0"/>
                <w:sz w:val="22"/>
              </w:rPr>
              <w:t>۲٫۷۰</w:t>
            </w:r>
          </w:p>
        </w:tc>
      </w:tr>
      <w:tr>
        <w:tc>
          <w:tcPr>
            <w:tcW w:type="dxa" w:w="2055"/>
          </w:tcPr>
          <w:p>
            <w:pPr>
              <w:bidi w:val="1"/>
              <w:jc w:val="center"/>
            </w:pPr>
            <w:r/>
            <w:r>
              <w:rPr>
                <w:rFonts w:ascii="Cambria" w:hAnsi="Cambria" w:cs="Cambria"/>
                <w:b w:val="0"/>
                <w:sz w:val="22"/>
              </w:rPr>
              <w:t>سابقه (ماه)</w:t>
            </w:r>
          </w:p>
        </w:tc>
        <w:tc>
          <w:tcPr>
            <w:tcW w:type="dxa" w:w="2055"/>
          </w:tcPr>
          <w:p>
            <w:pPr>
              <w:bidi w:val="1"/>
              <w:jc w:val="center"/>
            </w:pPr>
            <w:r/>
            <w:r>
              <w:rPr>
                <w:rFonts w:ascii="Cambria" w:hAnsi="Cambria" w:cs="Cambria"/>
                <w:b w:val="0"/>
                <w:sz w:val="22"/>
              </w:rPr>
              <w:t>۱۲ تا ۳۵</w:t>
            </w:r>
          </w:p>
        </w:tc>
        <w:tc>
          <w:tcPr>
            <w:tcW w:type="dxa" w:w="2055"/>
          </w:tcPr>
          <w:p>
            <w:pPr>
              <w:bidi w:val="1"/>
              <w:jc w:val="center"/>
            </w:pPr>
            <w:r/>
            <w:r>
              <w:rPr>
                <w:rFonts w:ascii="Cambria" w:hAnsi="Cambria" w:cs="Cambria"/>
                <w:b w:val="0"/>
                <w:sz w:val="22"/>
              </w:rPr>
              <w:t>۸۴</w:t>
            </w:r>
          </w:p>
        </w:tc>
        <w:tc>
          <w:tcPr>
            <w:tcW w:type="dxa" w:w="2055"/>
          </w:tcPr>
          <w:p>
            <w:pPr>
              <w:bidi w:val="1"/>
              <w:jc w:val="center"/>
            </w:pPr>
            <w:r/>
            <w:r>
              <w:rPr>
                <w:rFonts w:ascii="Cambria" w:hAnsi="Cambria" w:cs="Cambria"/>
                <w:b w:val="0"/>
                <w:sz w:val="22"/>
              </w:rPr>
              <w:t>۴۵٫۴۱</w:t>
            </w:r>
          </w:p>
        </w:tc>
      </w:tr>
      <w:tr>
        <w:tc>
          <w:tcPr>
            <w:tcW w:type="dxa" w:w="2055"/>
          </w:tcPr>
          <w:p>
            <w:pPr>
              <w:bidi w:val="1"/>
              <w:jc w:val="center"/>
            </w:pPr>
            <w:r/>
            <w:r>
              <w:rPr>
                <w:rFonts w:ascii="Cambria" w:hAnsi="Cambria" w:cs="Cambria"/>
                <w:b w:val="0"/>
                <w:sz w:val="22"/>
              </w:rPr>
              <w:t>سابقه (ماه)</w:t>
            </w:r>
          </w:p>
        </w:tc>
        <w:tc>
          <w:tcPr>
            <w:tcW w:type="dxa" w:w="2055"/>
          </w:tcPr>
          <w:p>
            <w:pPr>
              <w:bidi w:val="1"/>
              <w:jc w:val="center"/>
            </w:pPr>
            <w:r/>
            <w:r>
              <w:rPr>
                <w:rFonts w:ascii="Cambria" w:hAnsi="Cambria" w:cs="Cambria"/>
                <w:b w:val="0"/>
                <w:sz w:val="22"/>
              </w:rPr>
              <w:t>۳۶ تا ۷۱</w:t>
            </w:r>
          </w:p>
        </w:tc>
        <w:tc>
          <w:tcPr>
            <w:tcW w:type="dxa" w:w="2055"/>
          </w:tcPr>
          <w:p>
            <w:pPr>
              <w:bidi w:val="1"/>
              <w:jc w:val="center"/>
            </w:pPr>
            <w:r/>
            <w:r>
              <w:rPr>
                <w:rFonts w:ascii="Cambria" w:hAnsi="Cambria" w:cs="Cambria"/>
                <w:b w:val="0"/>
                <w:sz w:val="22"/>
              </w:rPr>
              <w:t>۷۲</w:t>
            </w:r>
          </w:p>
        </w:tc>
        <w:tc>
          <w:tcPr>
            <w:tcW w:type="dxa" w:w="2055"/>
          </w:tcPr>
          <w:p>
            <w:pPr>
              <w:bidi w:val="1"/>
              <w:jc w:val="center"/>
            </w:pPr>
            <w:r/>
            <w:r>
              <w:rPr>
                <w:rFonts w:ascii="Cambria" w:hAnsi="Cambria" w:cs="Cambria"/>
                <w:b w:val="0"/>
                <w:sz w:val="22"/>
              </w:rPr>
              <w:t>۳۸٫۹۲</w:t>
            </w:r>
          </w:p>
        </w:tc>
      </w:tr>
      <w:tr>
        <w:tc>
          <w:tcPr>
            <w:tcW w:type="dxa" w:w="2055"/>
          </w:tcPr>
          <w:p>
            <w:pPr>
              <w:bidi w:val="1"/>
              <w:jc w:val="center"/>
            </w:pPr>
            <w:r/>
            <w:r>
              <w:rPr>
                <w:rFonts w:ascii="Cambria" w:hAnsi="Cambria" w:cs="Cambria"/>
                <w:b w:val="0"/>
                <w:sz w:val="22"/>
              </w:rPr>
              <w:t>سابقه (ماه)</w:t>
            </w:r>
          </w:p>
        </w:tc>
        <w:tc>
          <w:tcPr>
            <w:tcW w:type="dxa" w:w="2055"/>
          </w:tcPr>
          <w:p>
            <w:pPr>
              <w:bidi w:val="1"/>
              <w:jc w:val="center"/>
            </w:pPr>
            <w:r/>
            <w:r>
              <w:rPr>
                <w:rFonts w:ascii="Cambria" w:hAnsi="Cambria" w:cs="Cambria"/>
                <w:b w:val="0"/>
                <w:sz w:val="22"/>
              </w:rPr>
              <w:t>۷۲ به بالا</w:t>
            </w:r>
          </w:p>
        </w:tc>
        <w:tc>
          <w:tcPr>
            <w:tcW w:type="dxa" w:w="2055"/>
          </w:tcPr>
          <w:p>
            <w:pPr>
              <w:bidi w:val="1"/>
              <w:jc w:val="center"/>
            </w:pPr>
            <w:r/>
            <w:r>
              <w:rPr>
                <w:rFonts w:ascii="Cambria" w:hAnsi="Cambria" w:cs="Cambria"/>
                <w:b w:val="0"/>
                <w:sz w:val="22"/>
              </w:rPr>
              <w:t>۲۴</w:t>
            </w:r>
          </w:p>
        </w:tc>
        <w:tc>
          <w:tcPr>
            <w:tcW w:type="dxa" w:w="2055"/>
          </w:tcPr>
          <w:p>
            <w:pPr>
              <w:bidi w:val="1"/>
              <w:jc w:val="center"/>
            </w:pPr>
            <w:r/>
            <w:r>
              <w:rPr>
                <w:rFonts w:ascii="Cambria" w:hAnsi="Cambria" w:cs="Cambria"/>
                <w:b w:val="0"/>
                <w:sz w:val="22"/>
              </w:rPr>
              <w:t>۱۲٫۹۷</w:t>
            </w:r>
          </w:p>
        </w:tc>
      </w:tr>
      <w:tr>
        <w:tc>
          <w:tcPr>
            <w:tcW w:type="dxa" w:w="2055"/>
          </w:tcPr>
          <w:p>
            <w:pPr>
              <w:bidi w:val="1"/>
              <w:jc w:val="center"/>
            </w:pPr>
            <w:r/>
            <w:r>
              <w:rPr>
                <w:rFonts w:ascii="Cambria" w:hAnsi="Cambria" w:cs="Cambria"/>
                <w:b w:val="0"/>
                <w:sz w:val="22"/>
              </w:rPr>
              <w:t>تعداد معاملات ۶ ماههٔ اخیر</w:t>
            </w:r>
          </w:p>
        </w:tc>
        <w:tc>
          <w:tcPr>
            <w:tcW w:type="dxa" w:w="2055"/>
          </w:tcPr>
          <w:p>
            <w:pPr>
              <w:bidi w:val="1"/>
              <w:jc w:val="center"/>
            </w:pPr>
            <w:r/>
            <w:r>
              <w:rPr>
                <w:rFonts w:ascii="Cambria" w:hAnsi="Cambria" w:cs="Cambria"/>
                <w:b w:val="0"/>
                <w:sz w:val="22"/>
              </w:rPr>
              <w:t>۱ الی ۱۰ معامله</w:t>
            </w:r>
          </w:p>
        </w:tc>
        <w:tc>
          <w:tcPr>
            <w:tcW w:type="dxa" w:w="2055"/>
          </w:tcPr>
          <w:p>
            <w:pPr>
              <w:bidi w:val="1"/>
              <w:jc w:val="center"/>
            </w:pPr>
            <w:r/>
            <w:r>
              <w:rPr>
                <w:rFonts w:ascii="Cambria" w:hAnsi="Cambria" w:cs="Cambria"/>
                <w:b w:val="0"/>
                <w:sz w:val="22"/>
              </w:rPr>
              <w:t>۶۵</w:t>
            </w:r>
          </w:p>
        </w:tc>
        <w:tc>
          <w:tcPr>
            <w:tcW w:type="dxa" w:w="2055"/>
          </w:tcPr>
          <w:p>
            <w:pPr>
              <w:bidi w:val="1"/>
              <w:jc w:val="center"/>
            </w:pPr>
            <w:r/>
            <w:r>
              <w:rPr>
                <w:rFonts w:ascii="Cambria" w:hAnsi="Cambria" w:cs="Cambria"/>
                <w:b w:val="0"/>
                <w:sz w:val="22"/>
              </w:rPr>
              <w:t>۳۵٫۱۴</w:t>
            </w:r>
          </w:p>
        </w:tc>
      </w:tr>
      <w:tr>
        <w:tc>
          <w:tcPr>
            <w:tcW w:type="dxa" w:w="2055"/>
          </w:tcPr>
          <w:p>
            <w:pPr>
              <w:bidi w:val="1"/>
              <w:jc w:val="center"/>
            </w:pPr>
            <w:r/>
            <w:r>
              <w:rPr>
                <w:rFonts w:ascii="Cambria" w:hAnsi="Cambria" w:cs="Cambria"/>
                <w:b w:val="0"/>
                <w:sz w:val="22"/>
              </w:rPr>
              <w:t>تعداد معاملات ۶ ماههٔ اخیر</w:t>
            </w:r>
          </w:p>
        </w:tc>
        <w:tc>
          <w:tcPr>
            <w:tcW w:type="dxa" w:w="2055"/>
          </w:tcPr>
          <w:p>
            <w:pPr>
              <w:bidi w:val="1"/>
              <w:jc w:val="center"/>
            </w:pPr>
            <w:r/>
            <w:r>
              <w:rPr>
                <w:rFonts w:ascii="Cambria" w:hAnsi="Cambria" w:cs="Cambria"/>
                <w:b w:val="0"/>
                <w:sz w:val="22"/>
              </w:rPr>
              <w:t>۱۰ الی ۵۰</w:t>
            </w:r>
          </w:p>
        </w:tc>
        <w:tc>
          <w:tcPr>
            <w:tcW w:type="dxa" w:w="2055"/>
          </w:tcPr>
          <w:p>
            <w:pPr>
              <w:bidi w:val="1"/>
              <w:jc w:val="center"/>
            </w:pPr>
            <w:r/>
            <w:r>
              <w:rPr>
                <w:rFonts w:ascii="Cambria" w:hAnsi="Cambria" w:cs="Cambria"/>
                <w:b w:val="0"/>
                <w:sz w:val="22"/>
              </w:rPr>
              <w:t>۷۹</w:t>
            </w:r>
          </w:p>
        </w:tc>
        <w:tc>
          <w:tcPr>
            <w:tcW w:type="dxa" w:w="2055"/>
          </w:tcPr>
          <w:p>
            <w:pPr>
              <w:bidi w:val="1"/>
              <w:jc w:val="center"/>
            </w:pPr>
            <w:r/>
            <w:r>
              <w:rPr>
                <w:rFonts w:ascii="Cambria" w:hAnsi="Cambria" w:cs="Cambria"/>
                <w:b w:val="0"/>
                <w:sz w:val="22"/>
              </w:rPr>
              <w:t>۴۲٫۷۰</w:t>
            </w:r>
          </w:p>
        </w:tc>
      </w:tr>
      <w:tr>
        <w:tc>
          <w:tcPr>
            <w:tcW w:type="dxa" w:w="2055"/>
          </w:tcPr>
          <w:p>
            <w:pPr>
              <w:bidi w:val="1"/>
              <w:jc w:val="center"/>
            </w:pPr>
            <w:r/>
            <w:r>
              <w:rPr>
                <w:rFonts w:ascii="Cambria" w:hAnsi="Cambria" w:cs="Cambria"/>
                <w:b w:val="0"/>
                <w:sz w:val="22"/>
              </w:rPr>
              <w:t>تعداد معاملات ۶ ماههٔ اخیر</w:t>
            </w:r>
          </w:p>
        </w:tc>
        <w:tc>
          <w:tcPr>
            <w:tcW w:type="dxa" w:w="2055"/>
          </w:tcPr>
          <w:p>
            <w:pPr>
              <w:bidi w:val="1"/>
              <w:jc w:val="center"/>
            </w:pPr>
            <w:r/>
            <w:r>
              <w:rPr>
                <w:rFonts w:ascii="Cambria" w:hAnsi="Cambria" w:cs="Cambria"/>
                <w:b w:val="0"/>
                <w:sz w:val="22"/>
              </w:rPr>
              <w:t>۵۰ به بالا</w:t>
            </w:r>
          </w:p>
        </w:tc>
        <w:tc>
          <w:tcPr>
            <w:tcW w:type="dxa" w:w="2055"/>
          </w:tcPr>
          <w:p>
            <w:pPr>
              <w:bidi w:val="1"/>
              <w:jc w:val="center"/>
            </w:pPr>
            <w:r/>
            <w:r>
              <w:rPr>
                <w:rFonts w:ascii="Cambria" w:hAnsi="Cambria" w:cs="Cambria"/>
                <w:b w:val="0"/>
                <w:sz w:val="22"/>
              </w:rPr>
              <w:t>۴۱</w:t>
            </w:r>
          </w:p>
        </w:tc>
        <w:tc>
          <w:tcPr>
            <w:tcW w:type="dxa" w:w="2055"/>
          </w:tcPr>
          <w:p>
            <w:pPr>
              <w:bidi w:val="1"/>
              <w:jc w:val="center"/>
            </w:pPr>
            <w:r/>
            <w:r>
              <w:rPr>
                <w:rFonts w:ascii="Cambria" w:hAnsi="Cambria" w:cs="Cambria"/>
                <w:b w:val="0"/>
                <w:sz w:val="22"/>
              </w:rPr>
              <w:t>۲۲٫۱۶</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کمتر از ۵۰ میلیون تومان</w:t>
            </w:r>
          </w:p>
        </w:tc>
        <w:tc>
          <w:tcPr>
            <w:tcW w:type="dxa" w:w="2055"/>
          </w:tcPr>
          <w:p>
            <w:pPr>
              <w:bidi w:val="1"/>
              <w:jc w:val="center"/>
            </w:pPr>
            <w:r/>
            <w:r>
              <w:rPr>
                <w:rFonts w:ascii="Cambria" w:hAnsi="Cambria" w:cs="Cambria"/>
                <w:b w:val="0"/>
                <w:sz w:val="22"/>
              </w:rPr>
              <w:t>۴۹</w:t>
            </w:r>
          </w:p>
        </w:tc>
        <w:tc>
          <w:tcPr>
            <w:tcW w:type="dxa" w:w="2055"/>
          </w:tcPr>
          <w:p>
            <w:pPr>
              <w:bidi w:val="1"/>
              <w:jc w:val="center"/>
            </w:pPr>
            <w:r/>
            <w:r>
              <w:rPr>
                <w:rFonts w:ascii="Cambria" w:hAnsi="Cambria" w:cs="Cambria"/>
                <w:b w:val="0"/>
                <w:sz w:val="22"/>
              </w:rPr>
              <w:t>۲۶٫۴۹</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۵۰ تا ۲۰۰ میلیون تومان</w:t>
            </w:r>
          </w:p>
        </w:tc>
        <w:tc>
          <w:tcPr>
            <w:tcW w:type="dxa" w:w="2055"/>
          </w:tcPr>
          <w:p>
            <w:pPr>
              <w:bidi w:val="1"/>
              <w:jc w:val="center"/>
            </w:pPr>
            <w:r/>
            <w:r>
              <w:rPr>
                <w:rFonts w:ascii="Cambria" w:hAnsi="Cambria" w:cs="Cambria"/>
                <w:b w:val="0"/>
                <w:sz w:val="22"/>
              </w:rPr>
              <w:t>۵۰</w:t>
            </w:r>
          </w:p>
        </w:tc>
        <w:tc>
          <w:tcPr>
            <w:tcW w:type="dxa" w:w="2055"/>
          </w:tcPr>
          <w:p>
            <w:pPr>
              <w:bidi w:val="1"/>
              <w:jc w:val="center"/>
            </w:pPr>
            <w:r/>
            <w:r>
              <w:rPr>
                <w:rFonts w:ascii="Cambria" w:hAnsi="Cambria" w:cs="Cambria"/>
                <w:b w:val="0"/>
                <w:sz w:val="22"/>
              </w:rPr>
              <w:t>۲۷٫۰۳</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۲۰۰ تا ۵۰۰ میلیون تومان</w:t>
            </w:r>
          </w:p>
        </w:tc>
        <w:tc>
          <w:tcPr>
            <w:tcW w:type="dxa" w:w="2055"/>
          </w:tcPr>
          <w:p>
            <w:pPr>
              <w:bidi w:val="1"/>
              <w:jc w:val="center"/>
            </w:pPr>
            <w:r/>
            <w:r>
              <w:rPr>
                <w:rFonts w:ascii="Cambria" w:hAnsi="Cambria" w:cs="Cambria"/>
                <w:b w:val="0"/>
                <w:sz w:val="22"/>
              </w:rPr>
              <w:t>۳۷</w:t>
            </w:r>
          </w:p>
        </w:tc>
        <w:tc>
          <w:tcPr>
            <w:tcW w:type="dxa" w:w="2055"/>
          </w:tcPr>
          <w:p>
            <w:pPr>
              <w:bidi w:val="1"/>
              <w:jc w:val="center"/>
            </w:pPr>
            <w:r/>
            <w:r>
              <w:rPr>
                <w:rFonts w:ascii="Cambria" w:hAnsi="Cambria" w:cs="Cambria"/>
                <w:b w:val="0"/>
                <w:sz w:val="22"/>
              </w:rPr>
              <w:t>۲۰٫۰۰</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۵۰۰ میلیون تا ۱ میلیارد تومان</w:t>
            </w:r>
          </w:p>
        </w:tc>
        <w:tc>
          <w:tcPr>
            <w:tcW w:type="dxa" w:w="2055"/>
          </w:tcPr>
          <w:p>
            <w:pPr>
              <w:bidi w:val="1"/>
              <w:jc w:val="center"/>
            </w:pPr>
            <w:r/>
            <w:r>
              <w:rPr>
                <w:rFonts w:ascii="Cambria" w:hAnsi="Cambria" w:cs="Cambria"/>
                <w:b w:val="0"/>
                <w:sz w:val="22"/>
              </w:rPr>
              <w:t>۲۹</w:t>
            </w:r>
          </w:p>
        </w:tc>
        <w:tc>
          <w:tcPr>
            <w:tcW w:type="dxa" w:w="2055"/>
          </w:tcPr>
          <w:p>
            <w:pPr>
              <w:bidi w:val="1"/>
              <w:jc w:val="center"/>
            </w:pPr>
            <w:r/>
            <w:r>
              <w:rPr>
                <w:rFonts w:ascii="Cambria" w:hAnsi="Cambria" w:cs="Cambria"/>
                <w:b w:val="0"/>
                <w:sz w:val="22"/>
              </w:rPr>
              <w:t>۱۵٫۶۸</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بیش از ۱ میلیارد تومان</w:t>
            </w:r>
          </w:p>
        </w:tc>
        <w:tc>
          <w:tcPr>
            <w:tcW w:type="dxa" w:w="2055"/>
          </w:tcPr>
          <w:p>
            <w:pPr>
              <w:bidi w:val="1"/>
              <w:jc w:val="center"/>
            </w:pPr>
            <w:r/>
            <w:r>
              <w:rPr>
                <w:rFonts w:ascii="Cambria" w:hAnsi="Cambria" w:cs="Cambria"/>
                <w:b w:val="0"/>
                <w:sz w:val="22"/>
              </w:rPr>
              <w:t>۱۵</w:t>
            </w:r>
          </w:p>
        </w:tc>
        <w:tc>
          <w:tcPr>
            <w:tcW w:type="dxa" w:w="2055"/>
          </w:tcPr>
          <w:p>
            <w:pPr>
              <w:bidi w:val="1"/>
              <w:jc w:val="center"/>
            </w:pPr>
            <w:r/>
            <w:r>
              <w:rPr>
                <w:rFonts w:ascii="Cambria" w:hAnsi="Cambria" w:cs="Cambria"/>
                <w:b w:val="0"/>
                <w:sz w:val="22"/>
              </w:rPr>
              <w:t>۸٫۱۱</w:t>
            </w:r>
          </w:p>
        </w:tc>
      </w:tr>
      <w:tr>
        <w:tc>
          <w:tcPr>
            <w:tcW w:type="dxa" w:w="2055"/>
          </w:tcPr>
          <w:p>
            <w:pPr>
              <w:bidi w:val="1"/>
              <w:jc w:val="center"/>
            </w:pPr>
            <w:r/>
            <w:r>
              <w:rPr>
                <w:rFonts w:ascii="Cambria" w:hAnsi="Cambria" w:cs="Cambria"/>
                <w:b w:val="0"/>
                <w:sz w:val="22"/>
              </w:rPr>
              <w:t>سرمایهٔ تقریبی</w:t>
            </w:r>
          </w:p>
        </w:tc>
        <w:tc>
          <w:tcPr>
            <w:tcW w:type="dxa" w:w="2055"/>
          </w:tcPr>
          <w:p>
            <w:pPr>
              <w:bidi w:val="1"/>
              <w:jc w:val="center"/>
            </w:pPr>
            <w:r/>
            <w:r>
              <w:rPr>
                <w:rFonts w:ascii="Cambria" w:hAnsi="Cambria" w:cs="Cambria"/>
                <w:b w:val="0"/>
                <w:sz w:val="22"/>
              </w:rPr>
              <w:t>ترجیح می‌دهم پاسخ ندهم</w:t>
            </w:r>
          </w:p>
        </w:tc>
        <w:tc>
          <w:tcPr>
            <w:tcW w:type="dxa" w:w="2055"/>
          </w:tcPr>
          <w:p>
            <w:pPr>
              <w:bidi w:val="1"/>
              <w:jc w:val="center"/>
            </w:pPr>
            <w:r/>
            <w:r>
              <w:rPr>
                <w:rFonts w:ascii="Cambria" w:hAnsi="Cambria" w:cs="Cambria"/>
                <w:b w:val="0"/>
                <w:sz w:val="22"/>
              </w:rPr>
              <w:t>۵</w:t>
            </w:r>
          </w:p>
        </w:tc>
        <w:tc>
          <w:tcPr>
            <w:tcW w:type="dxa" w:w="2055"/>
          </w:tcPr>
          <w:p>
            <w:pPr>
              <w:bidi w:val="1"/>
              <w:jc w:val="center"/>
            </w:pPr>
            <w:r/>
            <w:r>
              <w:rPr>
                <w:rFonts w:ascii="Cambria" w:hAnsi="Cambria" w:cs="Cambria"/>
                <w:b w:val="0"/>
                <w:sz w:val="22"/>
              </w:rPr>
              <w:t>۲٫۷۰</w:t>
            </w:r>
          </w:p>
        </w:tc>
      </w:tr>
    </w:tbl>
    <w:p>
      <w:pPr>
        <w:pStyle w:val="Heading2"/>
        <w:bidi w:val="1"/>
        <w:jc w:val="right"/>
        <w:outlineLvl w:val="1"/>
      </w:pPr>
      <w:r>
        <w:rPr>
          <w:rFonts w:ascii="B Nazanin" w:hAnsi="B Nazanin" w:cs="B Nazanin" w:hint="cs"/>
          <w:b/>
          <w:bCs/>
          <w:sz w:val="28"/>
          <w:szCs w:val="28"/>
          <w:rtl/>
          <w:lang w:bidi="fa-IR"/>
        </w:rPr>
        <w:t xml:space="preserve">۴-۴. شاخص‌های توصیفی متغیرهای اصلی پژوهش</w:t>
      </w:r>
    </w:p>
    <w:p>
      <w:pPr>
        <w:bidi w:val="1"/>
        <w:spacing w:lineRule="exact" w:line="580" w:after="0"/>
        <w:jc w:val="both"/>
      </w:pPr>
      <w:r>
        <w:rPr>
          <w:rFonts w:ascii="B Nazanin" w:hAnsi="B Nazanin" w:cs="B Nazanin" w:hint="cs"/>
          <w:sz w:val="24"/>
          <w:szCs w:val="24"/>
          <w:rtl/>
          <w:lang w:bidi="fa-IR"/>
        </w:rPr>
        <w:t xml:space="preserve">نمره‌گذاری ابزارها بر اساس کلید نهایی هر مقیاس انجام شد. در فرم اضطراب صفتی اسپیلبرگر، ۸ گویه به‌صورت معکوس نمره‌گذاری شدند (گویه‌های ۱، ۶، ۷، ۱۰، ۱۳، ۱۴، ۱۶ و ۱۹) و نمره کل در دامنه ۲۰ تا ۸۰ محاسبه شد. در فرم کوتاه یانگ، هیچ گویه‌ای معکوس نبود؛ نمره هر یک از ۱۵ طرحواره از مجموع ۵ گویه پیاپی آن در دامنه ۵ تا ۳۰ و نمره کل طرحواره‌ها از مجموع هر ۷۵ گویه در دامنه ۷۵ تا ۴۵۰ به دست آمد. در مقیاس تحمل ریسک گرابل و لایتون، سؤال اول معکوس و سؤال سیزدهم با الگوی اختصاصی خود نمره‌گذاری شد و نمره کل ۱۳ سؤالی در دامنه ۱۳ تا ۵۲ قرار گرفت. متغیر پیامد پژوهش (رفتارهای مالی پرخطر) با همین مقیاس سنجیده شد و نمره بالاتر به معنای تحمل ریسک بیشتر و تمایل بالاتر به رفتار پرخطر است. جدول ۴-۴ شاخص‌های توصیفی نمره‌های کل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۴-۴.</w:t>
      </w:r>
      <w:r>
        <w:rPr>
          <w:rFonts w:ascii="B Nazanin" w:hAnsi="B Nazanin" w:cs="B Nazanin" w:hint="cs"/>
          <w:sz w:val="22"/>
          <w:szCs w:val="22"/>
          <w:rtl/>
          <w:lang w:bidi="fa-IR"/>
        </w:rPr>
        <w:t xml:space="preserve"> شاخص‌های توصیفی نمره‌های کل</w:t>
      </w:r>
    </w:p>
    <w:p>
      <w:pPr>
        <w:bidi/>
      </w:pPr>
      <w:r>
        <w:rPr>
          <w:vanish/>
          <w:rFonts w:ascii="B Nazanin" w:hAnsi="B Nazanin"/>
        </w:rPr>
        <w:fldChar w:fldCharType="begin"/>
      </w:r>
      <w:r>
        <w:rPr>
          <w:vanish/>
          <w:rFonts w:ascii="B Nazanin" w:hAnsi="B Nazanin"/>
        </w:rPr>
        <w:instrText>TC "جدول ۴-۴. شاخص‌های توصیفی نمره‌های کل"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913"/>
        <w:gridCol w:w="913"/>
        <w:gridCol w:w="913"/>
        <w:gridCol w:w="913"/>
        <w:gridCol w:w="913"/>
        <w:gridCol w:w="913"/>
        <w:gridCol w:w="913"/>
        <w:gridCol w:w="913"/>
        <w:gridCol w:w="913"/>
      </w:tblGrid>
      <w:tr>
        <w:tc>
          <w:tcPr>
            <w:tcW w:type="dxa" w:w="913"/>
            <w:tcBorders>
              <w:bottom w:val="single" w:sz="12" w:space="0" w:color="000000"/>
            </w:tcBorders>
          </w:tcPr>
          <w:p>
            <w:pPr>
              <w:bidi w:val="1"/>
              <w:jc w:val="center"/>
            </w:pPr>
            <w:r/>
            <w:r>
              <w:rPr>
                <w:rFonts w:ascii="Cambria" w:hAnsi="Cambria" w:cs="Cambria"/>
                <w:b/>
                <w:sz w:val="22"/>
              </w:rPr>
              <w:t>متغیر</w:t>
            </w:r>
          </w:p>
        </w:tc>
        <w:tc>
          <w:tcPr>
            <w:tcW w:type="dxa" w:w="913"/>
            <w:tcBorders>
              <w:bottom w:val="single" w:sz="12" w:space="0" w:color="000000"/>
            </w:tcBorders>
          </w:tcPr>
          <w:p>
            <w:pPr>
              <w:bidi w:val="1"/>
              <w:jc w:val="center"/>
            </w:pPr>
            <w:r/>
            <w:r>
              <w:rPr>
                <w:rFonts w:ascii="Cambria" w:hAnsi="Cambria" w:cs="Cambria"/>
                <w:b/>
                <w:sz w:val="22"/>
              </w:rPr>
              <w:t>میانگین</w:t>
            </w:r>
          </w:p>
        </w:tc>
        <w:tc>
          <w:tcPr>
            <w:tcW w:type="dxa" w:w="913"/>
            <w:tcBorders>
              <w:bottom w:val="single" w:sz="12" w:space="0" w:color="000000"/>
            </w:tcBorders>
          </w:tcPr>
          <w:p>
            <w:pPr>
              <w:bidi w:val="1"/>
              <w:jc w:val="center"/>
            </w:pPr>
            <w:r/>
            <w:r>
              <w:rPr>
                <w:rFonts w:ascii="Cambria" w:hAnsi="Cambria" w:cs="Cambria"/>
                <w:b/>
                <w:sz w:val="22"/>
              </w:rPr>
              <w:t>انحراف معیار</w:t>
            </w:r>
          </w:p>
        </w:tc>
        <w:tc>
          <w:tcPr>
            <w:tcW w:type="dxa" w:w="913"/>
            <w:tcBorders>
              <w:bottom w:val="single" w:sz="12" w:space="0" w:color="000000"/>
            </w:tcBorders>
          </w:tcPr>
          <w:p>
            <w:pPr>
              <w:bidi w:val="1"/>
              <w:jc w:val="center"/>
            </w:pPr>
            <w:r/>
            <w:r>
              <w:rPr>
                <w:rFonts w:ascii="Cambria" w:hAnsi="Cambria" w:cs="Cambria"/>
                <w:b/>
                <w:sz w:val="22"/>
              </w:rPr>
              <w:t>کمینه</w:t>
            </w:r>
          </w:p>
        </w:tc>
        <w:tc>
          <w:tcPr>
            <w:tcW w:type="dxa" w:w="913"/>
            <w:tcBorders>
              <w:bottom w:val="single" w:sz="12" w:space="0" w:color="000000"/>
            </w:tcBorders>
          </w:tcPr>
          <w:p>
            <w:pPr>
              <w:bidi w:val="1"/>
              <w:jc w:val="center"/>
            </w:pPr>
            <w:r/>
            <w:r>
              <w:rPr>
                <w:rFonts w:ascii="Cambria" w:hAnsi="Cambria" w:cs="Cambria"/>
                <w:b/>
                <w:sz w:val="22"/>
              </w:rPr>
              <w:t>بیشینه</w:t>
            </w:r>
          </w:p>
        </w:tc>
        <w:tc>
          <w:tcPr>
            <w:tcW w:type="dxa" w:w="913"/>
            <w:tcBorders>
              <w:bottom w:val="single" w:sz="12" w:space="0" w:color="000000"/>
            </w:tcBorders>
          </w:tcPr>
          <w:p>
            <w:pPr>
              <w:bidi w:val="1"/>
              <w:jc w:val="center"/>
            </w:pPr>
            <w:r/>
            <w:r>
              <w:rPr>
                <w:rFonts w:ascii="Cambria" w:hAnsi="Cambria" w:cs="Cambria"/>
                <w:b/>
                <w:sz w:val="22"/>
              </w:rPr>
              <w:t>چولگی</w:t>
            </w:r>
          </w:p>
        </w:tc>
        <w:tc>
          <w:tcPr>
            <w:tcW w:type="dxa" w:w="913"/>
            <w:tcBorders>
              <w:bottom w:val="single" w:sz="12" w:space="0" w:color="000000"/>
            </w:tcBorders>
          </w:tcPr>
          <w:p>
            <w:pPr>
              <w:bidi w:val="1"/>
              <w:jc w:val="center"/>
            </w:pPr>
            <w:r/>
            <w:r>
              <w:rPr>
                <w:rFonts w:ascii="Cambria" w:hAnsi="Cambria" w:cs="Cambria"/>
                <w:b/>
                <w:sz w:val="22"/>
              </w:rPr>
              <w:t>کشیدگی</w:t>
            </w:r>
          </w:p>
        </w:tc>
        <w:tc>
          <w:tcPr>
            <w:tcW w:type="dxa" w:w="913"/>
            <w:tcBorders>
              <w:bottom w:val="single" w:sz="12" w:space="0" w:color="000000"/>
            </w:tcBorders>
          </w:tcPr>
          <w:p>
            <w:pPr>
              <w:bidi w:val="1"/>
              <w:jc w:val="center"/>
            </w:pPr>
            <w:r/>
            <w:r>
              <w:rPr>
                <w:rFonts w:ascii="Cambria" w:hAnsi="Cambria" w:cs="Cambria"/>
                <w:b/>
                <w:sz w:val="22"/>
              </w:rPr>
              <w:t>دامنهٔ نظری</w:t>
            </w:r>
          </w:p>
        </w:tc>
        <w:tc>
          <w:tcPr>
            <w:tcW w:type="dxa" w:w="913"/>
            <w:tcBorders>
              <w:bottom w:val="single" w:sz="12" w:space="0" w:color="000000"/>
            </w:tcBorders>
          </w:tcPr>
          <w:p>
            <w:pPr>
              <w:bidi w:val="1"/>
              <w:jc w:val="center"/>
            </w:pPr>
            <w:r/>
            <w:r>
              <w:rPr>
                <w:rFonts w:ascii="Cambria" w:hAnsi="Cambria" w:cs="Cambria"/>
                <w:b/>
                <w:sz w:val="22"/>
              </w:rPr>
              <w:t>دامنهٔ مشاهده‌شده</w:t>
            </w:r>
          </w:p>
        </w:tc>
      </w:tr>
      <w:tr>
        <w:tc>
          <w:tcPr>
            <w:tcW w:type="dxa" w:w="913"/>
          </w:tcPr>
          <w:p>
            <w:pPr>
              <w:bidi w:val="1"/>
              <w:jc w:val="center"/>
            </w:pPr>
            <w:r/>
            <w:r>
              <w:rPr>
                <w:rFonts w:ascii="Cambria" w:hAnsi="Cambria" w:cs="Cambria"/>
                <w:b w:val="0"/>
                <w:sz w:val="22"/>
              </w:rPr>
              <w:t>اضطراب صفتی</w:t>
            </w:r>
          </w:p>
        </w:tc>
        <w:tc>
          <w:tcPr>
            <w:tcW w:type="dxa" w:w="913"/>
          </w:tcPr>
          <w:p>
            <w:pPr>
              <w:bidi w:val="1"/>
              <w:jc w:val="center"/>
            </w:pPr>
            <w:r/>
            <w:r>
              <w:rPr>
                <w:rFonts w:ascii="Cambria" w:hAnsi="Cambria" w:cs="Cambria"/>
                <w:b w:val="0"/>
                <w:sz w:val="22"/>
              </w:rPr>
              <w:t>۴۵٫۳۶</w:t>
            </w:r>
          </w:p>
        </w:tc>
        <w:tc>
          <w:tcPr>
            <w:tcW w:type="dxa" w:w="913"/>
          </w:tcPr>
          <w:p>
            <w:pPr>
              <w:bidi w:val="1"/>
              <w:jc w:val="center"/>
            </w:pPr>
            <w:r/>
            <w:r>
              <w:rPr>
                <w:rFonts w:ascii="Cambria" w:hAnsi="Cambria" w:cs="Cambria"/>
                <w:b w:val="0"/>
                <w:sz w:val="22"/>
              </w:rPr>
              <w:t>۱۱٫۴۲</w:t>
            </w:r>
          </w:p>
        </w:tc>
        <w:tc>
          <w:tcPr>
            <w:tcW w:type="dxa" w:w="913"/>
          </w:tcPr>
          <w:p>
            <w:pPr>
              <w:bidi w:val="1"/>
              <w:jc w:val="center"/>
            </w:pPr>
            <w:r/>
            <w:r>
              <w:rPr>
                <w:rFonts w:ascii="Cambria" w:hAnsi="Cambria" w:cs="Cambria"/>
                <w:b w:val="0"/>
                <w:sz w:val="22"/>
              </w:rPr>
              <w:t>۲۱</w:t>
            </w:r>
          </w:p>
        </w:tc>
        <w:tc>
          <w:tcPr>
            <w:tcW w:type="dxa" w:w="913"/>
          </w:tcPr>
          <w:p>
            <w:pPr>
              <w:bidi w:val="1"/>
              <w:jc w:val="center"/>
            </w:pPr>
            <w:r/>
            <w:r>
              <w:rPr>
                <w:rFonts w:ascii="Cambria" w:hAnsi="Cambria" w:cs="Cambria"/>
                <w:b w:val="0"/>
                <w:sz w:val="22"/>
              </w:rPr>
              <w:t>۷۴</w:t>
            </w:r>
          </w:p>
        </w:tc>
        <w:tc>
          <w:tcPr>
            <w:tcW w:type="dxa" w:w="913"/>
          </w:tcPr>
          <w:p>
            <w:pPr>
              <w:bidi w:val="1"/>
              <w:jc w:val="center"/>
            </w:pPr>
            <w:r/>
            <w:r>
              <w:rPr>
                <w:rFonts w:ascii="Cambria" w:hAnsi="Cambria" w:cs="Cambria"/>
                <w:b w:val="0"/>
                <w:sz w:val="22"/>
              </w:rPr>
              <w:t>۰٫۰۶</w:t>
            </w:r>
          </w:p>
        </w:tc>
        <w:tc>
          <w:tcPr>
            <w:tcW w:type="dxa" w:w="913"/>
          </w:tcPr>
          <w:p>
            <w:pPr>
              <w:bidi w:val="1"/>
              <w:jc w:val="center"/>
            </w:pPr>
            <w:r/>
            <w:r>
              <w:rPr>
                <w:rFonts w:ascii="Cambria" w:hAnsi="Cambria" w:cs="Cambria"/>
                <w:b w:val="0"/>
                <w:sz w:val="22"/>
              </w:rPr>
              <w:t>−۰٫۸۰</w:t>
            </w:r>
          </w:p>
        </w:tc>
        <w:tc>
          <w:tcPr>
            <w:tcW w:type="dxa" w:w="913"/>
          </w:tcPr>
          <w:p>
            <w:pPr>
              <w:bidi w:val="1"/>
              <w:jc w:val="center"/>
            </w:pPr>
            <w:r/>
            <w:r>
              <w:rPr>
                <w:rFonts w:ascii="Cambria" w:hAnsi="Cambria" w:cs="Cambria"/>
                <w:b w:val="0"/>
                <w:sz w:val="22"/>
              </w:rPr>
              <w:t>۲۰ تا ۸۰</w:t>
            </w:r>
          </w:p>
        </w:tc>
        <w:tc>
          <w:tcPr>
            <w:tcW w:type="dxa" w:w="913"/>
          </w:tcPr>
          <w:p>
            <w:pPr>
              <w:bidi w:val="1"/>
              <w:jc w:val="center"/>
            </w:pPr>
            <w:r/>
            <w:r>
              <w:rPr>
                <w:rFonts w:ascii="Cambria" w:hAnsi="Cambria" w:cs="Cambria"/>
                <w:b w:val="0"/>
                <w:sz w:val="22"/>
              </w:rPr>
              <w:t>۲۱ تا ۷۴</w:t>
            </w:r>
          </w:p>
        </w:tc>
      </w:tr>
      <w:tr>
        <w:tc>
          <w:tcPr>
            <w:tcW w:type="dxa" w:w="913"/>
          </w:tcPr>
          <w:p>
            <w:pPr>
              <w:bidi w:val="1"/>
              <w:jc w:val="center"/>
            </w:pPr>
            <w:r/>
            <w:r>
              <w:rPr>
                <w:rFonts w:ascii="Cambria" w:hAnsi="Cambria" w:cs="Cambria"/>
                <w:b w:val="0"/>
                <w:sz w:val="22"/>
              </w:rPr>
              <w:t>طرحواره‌های ناسازگار اولیه (نمرهٔ کل)</w:t>
            </w:r>
          </w:p>
        </w:tc>
        <w:tc>
          <w:tcPr>
            <w:tcW w:type="dxa" w:w="913"/>
          </w:tcPr>
          <w:p>
            <w:pPr>
              <w:bidi w:val="1"/>
              <w:jc w:val="center"/>
            </w:pPr>
            <w:r/>
            <w:r>
              <w:rPr>
                <w:rFonts w:ascii="Cambria" w:hAnsi="Cambria" w:cs="Cambria"/>
                <w:b w:val="0"/>
                <w:sz w:val="22"/>
              </w:rPr>
              <w:t>۲۱۸٫۱۱</w:t>
            </w:r>
          </w:p>
        </w:tc>
        <w:tc>
          <w:tcPr>
            <w:tcW w:type="dxa" w:w="913"/>
          </w:tcPr>
          <w:p>
            <w:pPr>
              <w:bidi w:val="1"/>
              <w:jc w:val="center"/>
            </w:pPr>
            <w:r/>
            <w:r>
              <w:rPr>
                <w:rFonts w:ascii="Cambria" w:hAnsi="Cambria" w:cs="Cambria"/>
                <w:b w:val="0"/>
                <w:sz w:val="22"/>
              </w:rPr>
              <w:t>۴۰٫۷۸</w:t>
            </w:r>
          </w:p>
        </w:tc>
        <w:tc>
          <w:tcPr>
            <w:tcW w:type="dxa" w:w="913"/>
          </w:tcPr>
          <w:p>
            <w:pPr>
              <w:bidi w:val="1"/>
              <w:jc w:val="center"/>
            </w:pPr>
            <w:r/>
            <w:r>
              <w:rPr>
                <w:rFonts w:ascii="Cambria" w:hAnsi="Cambria" w:cs="Cambria"/>
                <w:b w:val="0"/>
                <w:sz w:val="22"/>
              </w:rPr>
              <w:t>۱۲۹</w:t>
            </w:r>
          </w:p>
        </w:tc>
        <w:tc>
          <w:tcPr>
            <w:tcW w:type="dxa" w:w="913"/>
          </w:tcPr>
          <w:p>
            <w:pPr>
              <w:bidi w:val="1"/>
              <w:jc w:val="center"/>
            </w:pPr>
            <w:r/>
            <w:r>
              <w:rPr>
                <w:rFonts w:ascii="Cambria" w:hAnsi="Cambria" w:cs="Cambria"/>
                <w:b w:val="0"/>
                <w:sz w:val="22"/>
              </w:rPr>
              <w:t>۳۲۱</w:t>
            </w:r>
          </w:p>
        </w:tc>
        <w:tc>
          <w:tcPr>
            <w:tcW w:type="dxa" w:w="913"/>
          </w:tcPr>
          <w:p>
            <w:pPr>
              <w:bidi w:val="1"/>
              <w:jc w:val="center"/>
            </w:pPr>
            <w:r/>
            <w:r>
              <w:rPr>
                <w:rFonts w:ascii="Cambria" w:hAnsi="Cambria" w:cs="Cambria"/>
                <w:b w:val="0"/>
                <w:sz w:val="22"/>
              </w:rPr>
              <w:t>۰٫۴۶</w:t>
            </w:r>
          </w:p>
        </w:tc>
        <w:tc>
          <w:tcPr>
            <w:tcW w:type="dxa" w:w="913"/>
          </w:tcPr>
          <w:p>
            <w:pPr>
              <w:bidi w:val="1"/>
              <w:jc w:val="center"/>
            </w:pPr>
            <w:r/>
            <w:r>
              <w:rPr>
                <w:rFonts w:ascii="Cambria" w:hAnsi="Cambria" w:cs="Cambria"/>
                <w:b w:val="0"/>
                <w:sz w:val="22"/>
              </w:rPr>
              <w:t>−۰٫۳۶</w:t>
            </w:r>
          </w:p>
        </w:tc>
        <w:tc>
          <w:tcPr>
            <w:tcW w:type="dxa" w:w="913"/>
          </w:tcPr>
          <w:p>
            <w:pPr>
              <w:bidi w:val="1"/>
              <w:jc w:val="center"/>
            </w:pPr>
            <w:r/>
            <w:r>
              <w:rPr>
                <w:rFonts w:ascii="Cambria" w:hAnsi="Cambria" w:cs="Cambria"/>
                <w:b w:val="0"/>
                <w:sz w:val="22"/>
              </w:rPr>
              <w:t>۷۵ تا ۴۵۰</w:t>
            </w:r>
          </w:p>
        </w:tc>
        <w:tc>
          <w:tcPr>
            <w:tcW w:type="dxa" w:w="913"/>
          </w:tcPr>
          <w:p>
            <w:pPr>
              <w:bidi w:val="1"/>
              <w:jc w:val="center"/>
            </w:pPr>
            <w:r/>
            <w:r>
              <w:rPr>
                <w:rFonts w:ascii="Cambria" w:hAnsi="Cambria" w:cs="Cambria"/>
                <w:b w:val="0"/>
                <w:sz w:val="22"/>
              </w:rPr>
              <w:t>۱۲۹ تا ۳۲۱</w:t>
            </w:r>
          </w:p>
        </w:tc>
      </w:tr>
      <w:tr>
        <w:tc>
          <w:tcPr>
            <w:tcW w:type="dxa" w:w="913"/>
          </w:tcPr>
          <w:p>
            <w:pPr>
              <w:bidi w:val="1"/>
              <w:jc w:val="center"/>
            </w:pPr>
            <w:r/>
            <w:r>
              <w:rPr>
                <w:rFonts w:ascii="Cambria" w:hAnsi="Cambria" w:cs="Cambria"/>
                <w:b w:val="0"/>
                <w:sz w:val="22"/>
              </w:rPr>
              <w:t>تحمل ریسک مالی (۱۳ سؤالی)</w:t>
            </w:r>
          </w:p>
        </w:tc>
        <w:tc>
          <w:tcPr>
            <w:tcW w:type="dxa" w:w="913"/>
          </w:tcPr>
          <w:p>
            <w:pPr>
              <w:bidi w:val="1"/>
              <w:jc w:val="center"/>
            </w:pPr>
            <w:r/>
            <w:r>
              <w:rPr>
                <w:rFonts w:ascii="Cambria" w:hAnsi="Cambria" w:cs="Cambria"/>
                <w:b w:val="0"/>
                <w:sz w:val="22"/>
              </w:rPr>
              <w:t>۳۱٫۸۰</w:t>
            </w:r>
          </w:p>
        </w:tc>
        <w:tc>
          <w:tcPr>
            <w:tcW w:type="dxa" w:w="913"/>
          </w:tcPr>
          <w:p>
            <w:pPr>
              <w:bidi w:val="1"/>
              <w:jc w:val="center"/>
            </w:pPr>
            <w:r/>
            <w:r>
              <w:rPr>
                <w:rFonts w:ascii="Cambria" w:hAnsi="Cambria" w:cs="Cambria"/>
                <w:b w:val="0"/>
                <w:sz w:val="22"/>
              </w:rPr>
              <w:t>۷٫۶۳</w:t>
            </w:r>
          </w:p>
        </w:tc>
        <w:tc>
          <w:tcPr>
            <w:tcW w:type="dxa" w:w="913"/>
          </w:tcPr>
          <w:p>
            <w:pPr>
              <w:bidi w:val="1"/>
              <w:jc w:val="center"/>
            </w:pPr>
            <w:r/>
            <w:r>
              <w:rPr>
                <w:rFonts w:ascii="Cambria" w:hAnsi="Cambria" w:cs="Cambria"/>
                <w:b w:val="0"/>
                <w:sz w:val="22"/>
              </w:rPr>
              <w:t>۱۴</w:t>
            </w:r>
          </w:p>
        </w:tc>
        <w:tc>
          <w:tcPr>
            <w:tcW w:type="dxa" w:w="913"/>
          </w:tcPr>
          <w:p>
            <w:pPr>
              <w:bidi w:val="1"/>
              <w:jc w:val="center"/>
            </w:pPr>
            <w:r/>
            <w:r>
              <w:rPr>
                <w:rFonts w:ascii="Cambria" w:hAnsi="Cambria" w:cs="Cambria"/>
                <w:b w:val="0"/>
                <w:sz w:val="22"/>
              </w:rPr>
              <w:t>۴۸</w:t>
            </w:r>
          </w:p>
        </w:tc>
        <w:tc>
          <w:tcPr>
            <w:tcW w:type="dxa" w:w="913"/>
          </w:tcPr>
          <w:p>
            <w:pPr>
              <w:bidi w:val="1"/>
              <w:jc w:val="center"/>
            </w:pPr>
            <w:r/>
            <w:r>
              <w:rPr>
                <w:rFonts w:ascii="Cambria" w:hAnsi="Cambria" w:cs="Cambria"/>
                <w:b w:val="0"/>
                <w:sz w:val="22"/>
              </w:rPr>
              <w:t>−۰٫۰۹</w:t>
            </w:r>
          </w:p>
        </w:tc>
        <w:tc>
          <w:tcPr>
            <w:tcW w:type="dxa" w:w="913"/>
          </w:tcPr>
          <w:p>
            <w:pPr>
              <w:bidi w:val="1"/>
              <w:jc w:val="center"/>
            </w:pPr>
            <w:r/>
            <w:r>
              <w:rPr>
                <w:rFonts w:ascii="Cambria" w:hAnsi="Cambria" w:cs="Cambria"/>
                <w:b w:val="0"/>
                <w:sz w:val="22"/>
              </w:rPr>
              <w:t>−۰٫۵۴</w:t>
            </w:r>
          </w:p>
        </w:tc>
        <w:tc>
          <w:tcPr>
            <w:tcW w:type="dxa" w:w="913"/>
          </w:tcPr>
          <w:p>
            <w:pPr>
              <w:bidi w:val="1"/>
              <w:jc w:val="center"/>
            </w:pPr>
            <w:r/>
            <w:r>
              <w:rPr>
                <w:rFonts w:ascii="Cambria" w:hAnsi="Cambria" w:cs="Cambria"/>
                <w:b w:val="0"/>
                <w:sz w:val="22"/>
              </w:rPr>
              <w:t>۱۳ تا ۵۲</w:t>
            </w:r>
          </w:p>
        </w:tc>
        <w:tc>
          <w:tcPr>
            <w:tcW w:type="dxa" w:w="913"/>
          </w:tcPr>
          <w:p>
            <w:pPr>
              <w:bidi w:val="1"/>
              <w:jc w:val="center"/>
            </w:pPr>
            <w:r/>
            <w:r>
              <w:rPr>
                <w:rFonts w:ascii="Cambria" w:hAnsi="Cambria" w:cs="Cambria"/>
                <w:b w:val="0"/>
                <w:sz w:val="22"/>
              </w:rPr>
              <w:t>۱۴ تا ۴۸</w:t>
            </w:r>
          </w:p>
        </w:tc>
      </w:tr>
    </w:tbl>
    <w:p>
      <w:pPr>
        <w:bidi w:val="1"/>
        <w:spacing w:lineRule="exact" w:line="580" w:after="0"/>
        <w:jc w:val="both"/>
      </w:pPr>
      <w:r>
        <w:rPr>
          <w:rFonts w:ascii="B Nazanin" w:hAnsi="B Nazanin" w:cs="B Nazanin" w:hint="cs"/>
          <w:sz w:val="24"/>
          <w:szCs w:val="24"/>
          <w:rtl/>
          <w:lang w:bidi="fa-IR"/>
        </w:rPr>
        <w:t xml:space="preserve">چنان‌که جدول ۴-۴ نشان می‌دهد، هر سه دامنه مشاهده‌شده به‌طور کامل درون دامنه نظری ابزار مربوطه قرار گرفتند و هیچ نمره‌ای خارج از بازه مجاز دیده نشد. میانگین اضطراب صفتی ۴۵٫۳۶ (انحراف معیار ۱۱٫۴۲)، میانگین نمره کل طرحواره‌ها ۲۱۸٫۱۱ (انحراف معیار ۴۰٫۷۸) و میانگین تحمل ریسک مالی ۳۱٫۸۰ (انحراف معیار ۷٫۶۳) بود. قدرمطلق چولگی هر سه متغیر کمتر از ۰٫۵ و قدرمطلق کشیدگی آن‌ها کمتر از ۱ بود که از نبود انحراف شدید از تقارن در توزیع نمره‌ها حکایت دارد.</w:t>
      </w:r>
    </w:p>
    <w:p>
      <w:pPr>
        <w:pStyle w:val="Heading2"/>
        <w:bidi w:val="1"/>
        <w:jc w:val="right"/>
        <w:outlineLvl w:val="1"/>
      </w:pPr>
      <w:r>
        <w:rPr>
          <w:rFonts w:ascii="B Nazanin" w:hAnsi="B Nazanin" w:cs="B Nazanin" w:hint="cs"/>
          <w:b/>
          <w:bCs/>
          <w:sz w:val="28"/>
          <w:szCs w:val="28"/>
          <w:rtl/>
          <w:lang w:bidi="fa-IR"/>
        </w:rPr>
        <w:t xml:space="preserve">۴-۵. پایایی ابزارهای اندازه‌گیری</w:t>
      </w:r>
    </w:p>
    <w:p>
      <w:pPr>
        <w:bidi w:val="1"/>
        <w:spacing w:lineRule="exact" w:line="580" w:after="0"/>
        <w:jc w:val="both"/>
      </w:pPr>
      <w:r>
        <w:rPr>
          <w:rFonts w:ascii="B Nazanin" w:hAnsi="B Nazanin" w:cs="B Nazanin" w:hint="cs"/>
          <w:sz w:val="24"/>
          <w:szCs w:val="24"/>
          <w:rtl/>
          <w:lang w:bidi="fa-IR"/>
        </w:rPr>
        <w:t xml:space="preserve">پایایی هر سه ابزار با ضریب آلفای کرونباخ روی نمونه نهایی ۱۸۵ نفری برآورد شد. آلفای فرم اضطراب صفتی ۰٫۸۸، آلفای نمره کل فرم کوتاه یانگ ۰٫۹۲ و آلفای مقیاس ۱۳ سؤالی تحمل ریسک ۰٫۸۲ به دست آمد که همگی در سطح مطلوب قرار دارند. پایایی هر یک از ۱۵ خرده‌مقیاس طرحواره نیز جداگانه محاسبه شد و بین ۰٫۶۱ (شکست) تا ۰٫۷۸ (رهاشدگی/بی‌ثباتی) قرار گرفت که برای خرده‌مقیاس‌های ۵ گویه‌ای قابل قبول است. نمره حوزه‌های طرحواره محاسبه نشد، زیرا کلید رسمی حوزه‌بندی در این مرحله نهایی نبود. برای اطمینان از پایداری نتایج نسبت به شیوه نمره‌گذاری سؤال سیزدهم مقیاس گرابل، نسخه ۱۲ سؤالی (بدون سؤال سیزدهم) نیز بررسی شد: آلفای این نسخه ۰٫۸۱ و همبستگی آن با نسخه ۱۳ سؤالی ۰٫۹۹ بود. جدول ۴-۵ ضرایب پایایی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۴-۵.</w:t>
      </w:r>
      <w:r>
        <w:rPr>
          <w:rFonts w:ascii="B Nazanin" w:hAnsi="B Nazanin" w:cs="B Nazanin" w:hint="cs"/>
          <w:sz w:val="22"/>
          <w:szCs w:val="22"/>
          <w:rtl/>
          <w:lang w:bidi="fa-IR"/>
        </w:rPr>
        <w:t xml:space="preserve"> پایایی ابزارها و خرده‌مقیاس‌ها (آلفای کرونباخ)</w:t>
      </w:r>
    </w:p>
    <w:p>
      <w:pPr>
        <w:bidi/>
      </w:pPr>
      <w:r>
        <w:rPr>
          <w:vanish/>
          <w:rFonts w:ascii="B Nazanin" w:hAnsi="B Nazanin"/>
        </w:rPr>
        <w:fldChar w:fldCharType="begin"/>
      </w:r>
      <w:r>
        <w:rPr>
          <w:vanish/>
          <w:rFonts w:ascii="B Nazanin" w:hAnsi="B Nazanin"/>
        </w:rPr>
        <w:instrText>TC "جدول ۴-۵. پایایی ابزارها و خرده‌مقیاس‌ها (آلفای کرونباخ)"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rFonts w:ascii="Cambria" w:hAnsi="Cambria" w:cs="Cambria"/>
                <w:b/>
                <w:sz w:val="22"/>
              </w:rPr>
              <w:t>مقیاس</w:t>
            </w:r>
          </w:p>
        </w:tc>
        <w:tc>
          <w:tcPr>
            <w:tcW w:type="dxa" w:w="2740"/>
            <w:tcBorders>
              <w:bottom w:val="single" w:sz="12" w:space="0" w:color="000000"/>
            </w:tcBorders>
          </w:tcPr>
          <w:p>
            <w:pPr>
              <w:bidi w:val="1"/>
              <w:jc w:val="center"/>
            </w:pPr>
            <w:r/>
            <w:r>
              <w:rPr>
                <w:rFonts w:ascii="Cambria" w:hAnsi="Cambria" w:cs="Cambria"/>
                <w:b/>
                <w:sz w:val="22"/>
              </w:rPr>
              <w:t>تعداد گویه</w:t>
            </w:r>
          </w:p>
        </w:tc>
        <w:tc>
          <w:tcPr>
            <w:tcW w:type="dxa" w:w="2740"/>
            <w:tcBorders>
              <w:bottom w:val="single" w:sz="12" w:space="0" w:color="000000"/>
            </w:tcBorders>
          </w:tcPr>
          <w:p>
            <w:pPr>
              <w:bidi w:val="1"/>
              <w:jc w:val="center"/>
            </w:pPr>
            <w:r/>
            <w:r>
              <w:rPr>
                <w:rFonts w:ascii="Cambria" w:hAnsi="Cambria" w:cs="Cambria"/>
                <w:b/>
                <w:sz w:val="22"/>
              </w:rPr>
              <w:t>آلفا</w:t>
            </w:r>
          </w:p>
        </w:tc>
      </w:tr>
      <w:tr>
        <w:tc>
          <w:tcPr>
            <w:tcW w:type="dxa" w:w="2740"/>
          </w:tcPr>
          <w:p>
            <w:pPr>
              <w:bidi w:val="1"/>
              <w:jc w:val="center"/>
            </w:pPr>
            <w:r/>
            <w:r>
              <w:rPr>
                <w:rFonts w:ascii="Cambria" w:hAnsi="Cambria" w:cs="Cambria"/>
                <w:b w:val="0"/>
                <w:sz w:val="22"/>
              </w:rPr>
              <w:t>اضطراب صفتی اسپیلبرگر</w:t>
            </w:r>
          </w:p>
        </w:tc>
        <w:tc>
          <w:tcPr>
            <w:tcW w:type="dxa" w:w="2740"/>
          </w:tcPr>
          <w:p>
            <w:pPr>
              <w:bidi w:val="1"/>
              <w:jc w:val="center"/>
            </w:pPr>
            <w:r/>
            <w:r>
              <w:rPr>
                <w:rFonts w:ascii="Cambria" w:hAnsi="Cambria" w:cs="Cambria"/>
                <w:b w:val="0"/>
                <w:sz w:val="22"/>
              </w:rPr>
              <w:t>۲۰</w:t>
            </w:r>
          </w:p>
        </w:tc>
        <w:tc>
          <w:tcPr>
            <w:tcW w:type="dxa" w:w="2740"/>
          </w:tcPr>
          <w:p>
            <w:pPr>
              <w:bidi w:val="1"/>
              <w:jc w:val="center"/>
            </w:pPr>
            <w:r/>
            <w:r>
              <w:rPr>
                <w:rFonts w:ascii="Cambria" w:hAnsi="Cambria" w:cs="Cambria"/>
                <w:b w:val="0"/>
                <w:sz w:val="22"/>
              </w:rPr>
              <w:t>۰٫۸۸</w:t>
            </w:r>
          </w:p>
        </w:tc>
      </w:tr>
      <w:tr>
        <w:tc>
          <w:tcPr>
            <w:tcW w:type="dxa" w:w="2740"/>
          </w:tcPr>
          <w:p>
            <w:pPr>
              <w:bidi w:val="1"/>
              <w:jc w:val="center"/>
            </w:pPr>
            <w:r/>
            <w:r>
              <w:rPr>
                <w:rFonts w:ascii="Cambria" w:hAnsi="Cambria" w:cs="Cambria"/>
                <w:b w:val="0"/>
                <w:sz w:val="22"/>
              </w:rPr>
              <w:t>فرم کوتاه یانگ (نمرهٔ کل)</w:t>
            </w:r>
          </w:p>
        </w:tc>
        <w:tc>
          <w:tcPr>
            <w:tcW w:type="dxa" w:w="2740"/>
          </w:tcPr>
          <w:p>
            <w:pPr>
              <w:bidi w:val="1"/>
              <w:jc w:val="center"/>
            </w:pPr>
            <w:r/>
            <w:r>
              <w:rPr>
                <w:rFonts w:ascii="Cambria" w:hAnsi="Cambria" w:cs="Cambria"/>
                <w:b w:val="0"/>
                <w:sz w:val="22"/>
              </w:rPr>
              <w:t>۷۵</w:t>
            </w:r>
          </w:p>
        </w:tc>
        <w:tc>
          <w:tcPr>
            <w:tcW w:type="dxa" w:w="2740"/>
          </w:tcPr>
          <w:p>
            <w:pPr>
              <w:bidi w:val="1"/>
              <w:jc w:val="center"/>
            </w:pPr>
            <w:r/>
            <w:r>
              <w:rPr>
                <w:rFonts w:ascii="Cambria" w:hAnsi="Cambria" w:cs="Cambria"/>
                <w:b w:val="0"/>
                <w:sz w:val="22"/>
              </w:rPr>
              <w:t>۰٫۹۲</w:t>
            </w:r>
          </w:p>
        </w:tc>
      </w:tr>
      <w:tr>
        <w:tc>
          <w:tcPr>
            <w:tcW w:type="dxa" w:w="2740"/>
          </w:tcPr>
          <w:p>
            <w:pPr>
              <w:bidi w:val="1"/>
              <w:jc w:val="center"/>
            </w:pPr>
            <w:r/>
            <w:r>
              <w:rPr>
                <w:rFonts w:ascii="Cambria" w:hAnsi="Cambria" w:cs="Cambria"/>
                <w:b w:val="0"/>
                <w:sz w:val="22"/>
              </w:rPr>
              <w:t>محرومیت هیجانی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۰٫۶۷</w:t>
            </w:r>
          </w:p>
        </w:tc>
      </w:tr>
      <w:tr>
        <w:tc>
          <w:tcPr>
            <w:tcW w:type="dxa" w:w="2740"/>
          </w:tcPr>
          <w:p>
            <w:pPr>
              <w:bidi w:val="1"/>
              <w:jc w:val="center"/>
            </w:pPr>
            <w:r/>
            <w:r>
              <w:rPr>
                <w:rFonts w:ascii="Cambria" w:hAnsi="Cambria" w:cs="Cambria"/>
                <w:b w:val="0"/>
                <w:sz w:val="22"/>
              </w:rPr>
              <w:t>رهاشدگی/بی‌ثباتی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۰٫۷۸</w:t>
            </w:r>
          </w:p>
        </w:tc>
      </w:tr>
      <w:tr>
        <w:tc>
          <w:tcPr>
            <w:tcW w:type="dxa" w:w="2740"/>
          </w:tcPr>
          <w:p>
            <w:pPr>
              <w:bidi w:val="1"/>
              <w:jc w:val="center"/>
            </w:pPr>
            <w:r/>
            <w:r>
              <w:rPr>
                <w:rFonts w:ascii="Cambria" w:hAnsi="Cambria" w:cs="Cambria"/>
                <w:b w:val="0"/>
                <w:sz w:val="22"/>
              </w:rPr>
              <w:t>بی‌اعتمادی/بدرفتاری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۰٫۶۸</w:t>
            </w:r>
          </w:p>
        </w:tc>
      </w:tr>
      <w:tr>
        <w:tc>
          <w:tcPr>
            <w:tcW w:type="dxa" w:w="2740"/>
          </w:tcPr>
          <w:p>
            <w:pPr>
              <w:bidi w:val="1"/>
              <w:jc w:val="center"/>
            </w:pPr>
            <w:r/>
            <w:r>
              <w:rPr>
                <w:rFonts w:ascii="Cambria" w:hAnsi="Cambria" w:cs="Cambria"/>
                <w:b w:val="0"/>
                <w:sz w:val="22"/>
              </w:rPr>
              <w:t>انزوای اجتماعی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۰٫۶۷</w:t>
            </w:r>
          </w:p>
        </w:tc>
      </w:tr>
      <w:tr>
        <w:tc>
          <w:tcPr>
            <w:tcW w:type="dxa" w:w="2740"/>
          </w:tcPr>
          <w:p>
            <w:pPr>
              <w:bidi w:val="1"/>
              <w:jc w:val="center"/>
            </w:pPr>
            <w:r/>
            <w:r>
              <w:rPr>
                <w:rFonts w:ascii="Cambria" w:hAnsi="Cambria" w:cs="Cambria"/>
                <w:b w:val="0"/>
                <w:sz w:val="22"/>
              </w:rPr>
              <w:t>نقص/شرم</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۰٫۶۶</w:t>
            </w:r>
          </w:p>
        </w:tc>
      </w:tr>
      <w:tr>
        <w:tc>
          <w:tcPr>
            <w:tcW w:type="dxa" w:w="2740"/>
          </w:tcPr>
          <w:p>
            <w:pPr>
              <w:bidi w:val="1"/>
              <w:jc w:val="center"/>
            </w:pPr>
            <w:r/>
            <w:r>
              <w:rPr>
                <w:rFonts w:ascii="Cambria" w:hAnsi="Cambria" w:cs="Cambria"/>
                <w:b w:val="0"/>
                <w:sz w:val="22"/>
              </w:rPr>
              <w:t>شکست</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۰٫۶۱</w:t>
            </w:r>
          </w:p>
        </w:tc>
      </w:tr>
      <w:tr>
        <w:tc>
          <w:tcPr>
            <w:tcW w:type="dxa" w:w="2740"/>
          </w:tcPr>
          <w:p>
            <w:pPr>
              <w:bidi w:val="1"/>
              <w:jc w:val="center"/>
            </w:pPr>
            <w:r/>
            <w:r>
              <w:rPr>
                <w:rFonts w:ascii="Cambria" w:hAnsi="Cambria" w:cs="Cambria"/>
                <w:b w:val="0"/>
                <w:sz w:val="22"/>
              </w:rPr>
              <w:t>وابستگی/بی‌کفایتی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۰٫۷۵</w:t>
            </w:r>
          </w:p>
        </w:tc>
      </w:tr>
      <w:tr>
        <w:tc>
          <w:tcPr>
            <w:tcW w:type="dxa" w:w="2740"/>
          </w:tcPr>
          <w:p>
            <w:pPr>
              <w:bidi w:val="1"/>
              <w:jc w:val="center"/>
            </w:pPr>
            <w:r/>
            <w:r>
              <w:rPr>
                <w:rFonts w:ascii="Cambria" w:hAnsi="Cambria" w:cs="Cambria"/>
                <w:b w:val="0"/>
                <w:sz w:val="22"/>
              </w:rPr>
              <w:t>آسیب‌پذیری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۰٫۶۹</w:t>
            </w:r>
          </w:p>
        </w:tc>
      </w:tr>
      <w:tr>
        <w:tc>
          <w:tcPr>
            <w:tcW w:type="dxa" w:w="2740"/>
          </w:tcPr>
          <w:p>
            <w:pPr>
              <w:bidi w:val="1"/>
              <w:jc w:val="center"/>
            </w:pPr>
            <w:r/>
            <w:r>
              <w:rPr>
                <w:rFonts w:ascii="Cambria" w:hAnsi="Cambria" w:cs="Cambria"/>
                <w:b w:val="0"/>
                <w:sz w:val="22"/>
              </w:rPr>
              <w:t>درهم‌تنیدگی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۰٫۷۳</w:t>
            </w:r>
          </w:p>
        </w:tc>
      </w:tr>
      <w:tr>
        <w:tc>
          <w:tcPr>
            <w:tcW w:type="dxa" w:w="2740"/>
          </w:tcPr>
          <w:p>
            <w:pPr>
              <w:bidi w:val="1"/>
              <w:jc w:val="center"/>
            </w:pPr>
            <w:r/>
            <w:r>
              <w:rPr>
                <w:rFonts w:ascii="Cambria" w:hAnsi="Cambria" w:cs="Cambria"/>
                <w:b w:val="0"/>
                <w:sz w:val="22"/>
              </w:rPr>
              <w:t>اطاعت</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۰٫۷۲</w:t>
            </w:r>
          </w:p>
        </w:tc>
      </w:tr>
      <w:tr>
        <w:tc>
          <w:tcPr>
            <w:tcW w:type="dxa" w:w="2740"/>
          </w:tcPr>
          <w:p>
            <w:pPr>
              <w:bidi w:val="1"/>
              <w:jc w:val="center"/>
            </w:pPr>
            <w:r/>
            <w:r>
              <w:rPr>
                <w:rFonts w:ascii="Cambria" w:hAnsi="Cambria" w:cs="Cambria"/>
                <w:b w:val="0"/>
                <w:sz w:val="22"/>
              </w:rPr>
              <w:t>ایثار</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۰٫۶۷</w:t>
            </w:r>
          </w:p>
        </w:tc>
      </w:tr>
      <w:tr>
        <w:tc>
          <w:tcPr>
            <w:tcW w:type="dxa" w:w="2740"/>
          </w:tcPr>
          <w:p>
            <w:pPr>
              <w:bidi w:val="1"/>
              <w:jc w:val="center"/>
            </w:pPr>
            <w:r/>
            <w:r>
              <w:rPr>
                <w:rFonts w:ascii="Cambria" w:hAnsi="Cambria" w:cs="Cambria"/>
                <w:b w:val="0"/>
                <w:sz w:val="22"/>
              </w:rPr>
              <w:t>بازداری هیجانی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۰٫۶۳</w:t>
            </w:r>
          </w:p>
        </w:tc>
      </w:tr>
      <w:tr>
        <w:tc>
          <w:tcPr>
            <w:tcW w:type="dxa" w:w="2740"/>
          </w:tcPr>
          <w:p>
            <w:pPr>
              <w:bidi w:val="1"/>
              <w:jc w:val="center"/>
            </w:pPr>
            <w:r/>
            <w:r>
              <w:rPr>
                <w:rFonts w:ascii="Cambria" w:hAnsi="Cambria" w:cs="Cambria"/>
                <w:b w:val="0"/>
                <w:sz w:val="22"/>
              </w:rPr>
              <w:t>معیارهای سرسختانه</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۰٫۷۱</w:t>
            </w:r>
          </w:p>
        </w:tc>
      </w:tr>
      <w:tr>
        <w:tc>
          <w:tcPr>
            <w:tcW w:type="dxa" w:w="2740"/>
          </w:tcPr>
          <w:p>
            <w:pPr>
              <w:bidi w:val="1"/>
              <w:jc w:val="center"/>
            </w:pPr>
            <w:r/>
            <w:r>
              <w:rPr>
                <w:rFonts w:ascii="Cambria" w:hAnsi="Cambria" w:cs="Cambria"/>
                <w:b w:val="0"/>
                <w:sz w:val="22"/>
              </w:rPr>
              <w:t>استحقاق/بزرگ‌منشی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۰٫۷۰</w:t>
            </w:r>
          </w:p>
        </w:tc>
      </w:tr>
      <w:tr>
        <w:tc>
          <w:tcPr>
            <w:tcW w:type="dxa" w:w="2740"/>
          </w:tcPr>
          <w:p>
            <w:pPr>
              <w:bidi w:val="1"/>
              <w:jc w:val="center"/>
            </w:pPr>
            <w:r/>
            <w:r>
              <w:rPr>
                <w:rFonts w:ascii="Cambria" w:hAnsi="Cambria" w:cs="Cambria"/>
                <w:b w:val="0"/>
                <w:sz w:val="22"/>
              </w:rPr>
              <w:t>خویشتن‌داری ناکافی</w:t>
            </w:r>
          </w:p>
        </w:tc>
        <w:tc>
          <w:tcPr>
            <w:tcW w:type="dxa" w:w="2740"/>
          </w:tcPr>
          <w:p>
            <w:pPr>
              <w:bidi w:val="1"/>
              <w:jc w:val="center"/>
            </w:pPr>
            <w:r/>
            <w:r>
              <w:rPr>
                <w:rFonts w:ascii="Cambria" w:hAnsi="Cambria" w:cs="Cambria"/>
                <w:b w:val="0"/>
                <w:sz w:val="22"/>
              </w:rPr>
              <w:t>۵</w:t>
            </w:r>
          </w:p>
        </w:tc>
        <w:tc>
          <w:tcPr>
            <w:tcW w:type="dxa" w:w="2740"/>
          </w:tcPr>
          <w:p>
            <w:pPr>
              <w:bidi w:val="1"/>
              <w:jc w:val="center"/>
            </w:pPr>
            <w:r/>
            <w:r>
              <w:rPr>
                <w:rFonts w:ascii="Cambria" w:hAnsi="Cambria" w:cs="Cambria"/>
                <w:b w:val="0"/>
                <w:sz w:val="22"/>
              </w:rPr>
              <w:t>۰٫۷۷</w:t>
            </w:r>
          </w:p>
        </w:tc>
      </w:tr>
      <w:tr>
        <w:tc>
          <w:tcPr>
            <w:tcW w:type="dxa" w:w="2740"/>
          </w:tcPr>
          <w:p>
            <w:pPr>
              <w:bidi w:val="1"/>
              <w:jc w:val="center"/>
            </w:pPr>
            <w:r/>
            <w:r>
              <w:rPr>
                <w:rFonts w:ascii="Cambria" w:hAnsi="Cambria" w:cs="Cambria"/>
                <w:b w:val="0"/>
                <w:sz w:val="22"/>
              </w:rPr>
              <w:t>تحمل ریسک گرابل و لایتون (۱۳ سؤالی)</w:t>
            </w:r>
          </w:p>
        </w:tc>
        <w:tc>
          <w:tcPr>
            <w:tcW w:type="dxa" w:w="2740"/>
          </w:tcPr>
          <w:p>
            <w:pPr>
              <w:bidi w:val="1"/>
              <w:jc w:val="center"/>
            </w:pPr>
            <w:r/>
            <w:r>
              <w:rPr>
                <w:rFonts w:ascii="Cambria" w:hAnsi="Cambria" w:cs="Cambria"/>
                <w:b w:val="0"/>
                <w:sz w:val="22"/>
              </w:rPr>
              <w:t>۱۳</w:t>
            </w:r>
          </w:p>
        </w:tc>
        <w:tc>
          <w:tcPr>
            <w:tcW w:type="dxa" w:w="2740"/>
          </w:tcPr>
          <w:p>
            <w:pPr>
              <w:bidi w:val="1"/>
              <w:jc w:val="center"/>
            </w:pPr>
            <w:r/>
            <w:r>
              <w:rPr>
                <w:rFonts w:ascii="Cambria" w:hAnsi="Cambria" w:cs="Cambria"/>
                <w:b w:val="0"/>
                <w:sz w:val="22"/>
              </w:rPr>
              <w:t>۰٫۸۲</w:t>
            </w:r>
          </w:p>
        </w:tc>
      </w:tr>
      <w:tr>
        <w:tc>
          <w:tcPr>
            <w:tcW w:type="dxa" w:w="2740"/>
          </w:tcPr>
          <w:p>
            <w:pPr>
              <w:bidi w:val="1"/>
              <w:jc w:val="center"/>
            </w:pPr>
            <w:r/>
            <w:r>
              <w:rPr>
                <w:rFonts w:ascii="Cambria" w:hAnsi="Cambria" w:cs="Cambria"/>
                <w:b w:val="0"/>
                <w:sz w:val="22"/>
              </w:rPr>
              <w:t>تحمل ریسک (۱۲ سؤالی، بدون سؤال سیزدهم)</w:t>
            </w:r>
          </w:p>
        </w:tc>
        <w:tc>
          <w:tcPr>
            <w:tcW w:type="dxa" w:w="2740"/>
          </w:tcPr>
          <w:p>
            <w:pPr>
              <w:bidi w:val="1"/>
              <w:jc w:val="center"/>
            </w:pPr>
            <w:r/>
            <w:r>
              <w:rPr>
                <w:rFonts w:ascii="Cambria" w:hAnsi="Cambria" w:cs="Cambria"/>
                <w:b w:val="0"/>
                <w:sz w:val="22"/>
              </w:rPr>
              <w:t>۱۲</w:t>
            </w:r>
          </w:p>
        </w:tc>
        <w:tc>
          <w:tcPr>
            <w:tcW w:type="dxa" w:w="2740"/>
          </w:tcPr>
          <w:p>
            <w:pPr>
              <w:bidi w:val="1"/>
              <w:jc w:val="center"/>
            </w:pPr>
            <w:r/>
            <w:r>
              <w:rPr>
                <w:rFonts w:ascii="Cambria" w:hAnsi="Cambria" w:cs="Cambria"/>
                <w:b w:val="0"/>
                <w:sz w:val="22"/>
              </w:rPr>
              <w:t>۰٫۸۱</w:t>
            </w:r>
          </w:p>
        </w:tc>
      </w:tr>
    </w:tbl>
    <w:p>
      <w:pPr>
        <w:bidi w:val="1"/>
        <w:spacing w:lineRule="exact" w:line="580" w:after="0"/>
        <w:jc w:val="both"/>
      </w:pPr>
      <w:r>
        <w:rPr>
          <w:rFonts w:ascii="B Nazanin" w:hAnsi="B Nazanin" w:cs="B Nazanin" w:hint="cs"/>
          <w:sz w:val="24"/>
          <w:szCs w:val="24"/>
          <w:rtl/>
          <w:lang w:bidi="fa-IR"/>
        </w:rPr>
        <w:t xml:space="preserve">یادداشت: همبستگی نسخه ۱۳ و ۱۲ سؤالی تحمل ریسک برابر ۰٫۹۹ است.</w:t>
      </w:r>
    </w:p>
    <w:p>
      <w:pPr>
        <w:pStyle w:val="Heading2"/>
        <w:bidi w:val="1"/>
        <w:jc w:val="right"/>
        <w:outlineLvl w:val="1"/>
      </w:pPr>
      <w:r>
        <w:rPr>
          <w:rFonts w:ascii="B Nazanin" w:hAnsi="B Nazanin" w:cs="B Nazanin" w:hint="cs"/>
          <w:b/>
          <w:bCs/>
          <w:sz w:val="28"/>
          <w:szCs w:val="28"/>
          <w:rtl/>
          <w:lang w:bidi="fa-IR"/>
        </w:rPr>
        <w:t xml:space="preserve">۴-۶. ارزیابی پیش‌فرض‌های آماری</w:t>
      </w:r>
    </w:p>
    <w:p>
      <w:pPr>
        <w:bidi w:val="1"/>
        <w:spacing w:lineRule="exact" w:line="580" w:after="0"/>
        <w:jc w:val="both"/>
      </w:pPr>
      <w:r>
        <w:rPr>
          <w:rFonts w:ascii="B Nazanin" w:hAnsi="B Nazanin" w:cs="B Nazanin" w:hint="cs"/>
          <w:sz w:val="24"/>
          <w:szCs w:val="24"/>
          <w:rtl/>
          <w:lang w:bidi="fa-IR"/>
        </w:rPr>
        <w:t xml:space="preserve">پیش از آزمون فرضیه‌ها، چهار پیش‌فرض تحلیل‌های استنباطی ارزیابی شد. نخست، چولگی و کشیدگی هر سه متغیر (جدول ۴-۴) در بازه قابل قبول قرار داشت و انحراف شدیدی از تقارن دیده نشد. دوم، فاصله ماهالانوبیس هر پاسخ‌دهنده روی هر سه متغیر محاسبه شد؛ بیشینه مشاهده‌شده ۱۴٫۸۸ بود که از مقدار بحرانی خی‌دو با ۳ درجه آزادی در سطح ۰٫۰۰۱ (۱۶٫۲۷) کمتر است، پس هیچ مورد پرت چندمتغیره‌ای در داده‌ها وجود نداشت و همه ۱۸۵ پاسخ در تحلیل‌ها حفظ شدند. سوم، هم‌خطی میان اضطراب صفتی و طرحواره‌ها با عامل تورم واریانس بررسی شد: مقدار آن ۱٫۳۴ با تولرانس ۰٫۷۵ بود که بسیار پایین‌تر از آستانه هشدار قرار دارد. چهارم، استقلال پسماندها در مدل رگرسیون پیامد با آماره دوربین–واتسون برابر ۱٫۸۱ تأیید شد که به مقدار ایده‌آل ۲ نزدیک است. در مجموع، پیش‌فرض‌های لازم برای ادامه تحلیل‌ها برقرار بودند.</w:t>
      </w:r>
    </w:p>
    <w:p>
      <w:pPr>
        <w:pStyle w:val="Heading2"/>
        <w:bidi w:val="1"/>
        <w:jc w:val="right"/>
        <w:outlineLvl w:val="1"/>
      </w:pPr>
      <w:r>
        <w:rPr>
          <w:rFonts w:ascii="B Nazanin" w:hAnsi="B Nazanin" w:cs="B Nazanin" w:hint="cs"/>
          <w:b/>
          <w:bCs/>
          <w:sz w:val="28"/>
          <w:szCs w:val="28"/>
          <w:rtl/>
          <w:lang w:bidi="fa-IR"/>
        </w:rPr>
        <w:t xml:space="preserve">۴-۷. همبستگی پیرسون و آزمون فرضیه‌های فرعی</w:t>
      </w:r>
    </w:p>
    <w:p>
      <w:pPr>
        <w:bidi w:val="1"/>
        <w:spacing w:lineRule="exact" w:line="580" w:after="0"/>
        <w:jc w:val="both"/>
      </w:pPr>
      <w:r>
        <w:rPr>
          <w:rFonts w:ascii="B Nazanin" w:hAnsi="B Nazanin" w:cs="B Nazanin" w:hint="cs"/>
          <w:sz w:val="24"/>
          <w:szCs w:val="24"/>
          <w:rtl/>
          <w:lang w:bidi="fa-IR"/>
        </w:rPr>
        <w:t xml:space="preserve">رابطه‌های دوتایی متغیرها با ضریب همبستگی پیرسون آزمون شدند. جدول ۴-۶ ماتریس همبستگی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۴-۶.</w:t>
      </w:r>
      <w:r>
        <w:rPr>
          <w:rFonts w:ascii="B Nazanin" w:hAnsi="B Nazanin" w:cs="B Nazanin" w:hint="cs"/>
          <w:sz w:val="22"/>
          <w:szCs w:val="22"/>
          <w:rtl/>
          <w:lang w:bidi="fa-IR"/>
        </w:rPr>
        <w:t xml:space="preserve"> ماتریس همبستگی پیرسون متغیرهای پژوهش</w:t>
      </w:r>
    </w:p>
    <w:p>
      <w:pPr>
        <w:bidi/>
      </w:pPr>
      <w:r>
        <w:rPr>
          <w:vanish/>
          <w:rFonts w:ascii="B Nazanin" w:hAnsi="B Nazanin"/>
        </w:rPr>
        <w:fldChar w:fldCharType="begin"/>
      </w:r>
      <w:r>
        <w:rPr>
          <w:vanish/>
          <w:rFonts w:ascii="B Nazanin" w:hAnsi="B Nazanin"/>
        </w:rPr>
        <w:instrText>TC "جدول ۴-۶. ماتریس همبستگی پیرسون متغیرهای پژوهش"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2055"/>
        <w:gridCol w:w="2055"/>
        <w:gridCol w:w="2055"/>
        <w:gridCol w:w="2055"/>
      </w:tblGrid>
      <w:tr>
        <w:tc>
          <w:tcPr>
            <w:tcW w:type="dxa" w:w="2055"/>
            <w:tcBorders>
              <w:bottom w:val="single" w:sz="12" w:space="0" w:color="000000"/>
            </w:tcBorders>
          </w:tcPr>
          <w:p>
            <w:pPr>
              <w:jc w:val="center"/>
            </w:pPr>
            <w:r/>
            <w:r>
              <w:rPr>
                <w:b/>
                <w:sz w:val="22"/>
              </w:rPr>
            </w:r>
          </w:p>
        </w:tc>
        <w:tc>
          <w:tcPr>
            <w:tcW w:type="dxa" w:w="2055"/>
            <w:tcBorders>
              <w:bottom w:val="single" w:sz="12" w:space="0" w:color="000000"/>
            </w:tcBorders>
          </w:tcPr>
          <w:p>
            <w:pPr>
              <w:bidi w:val="1"/>
              <w:jc w:val="center"/>
            </w:pPr>
            <w:r/>
            <w:r>
              <w:rPr>
                <w:rFonts w:ascii="Cambria" w:hAnsi="Cambria" w:cs="Cambria"/>
                <w:b/>
                <w:sz w:val="22"/>
              </w:rPr>
              <w:t>۱</w:t>
            </w:r>
          </w:p>
        </w:tc>
        <w:tc>
          <w:tcPr>
            <w:tcW w:type="dxa" w:w="2055"/>
            <w:tcBorders>
              <w:bottom w:val="single" w:sz="12" w:space="0" w:color="000000"/>
            </w:tcBorders>
          </w:tcPr>
          <w:p>
            <w:pPr>
              <w:bidi w:val="1"/>
              <w:jc w:val="center"/>
            </w:pPr>
            <w:r/>
            <w:r>
              <w:rPr>
                <w:rFonts w:ascii="Cambria" w:hAnsi="Cambria" w:cs="Cambria"/>
                <w:b/>
                <w:sz w:val="22"/>
              </w:rPr>
              <w:t>۲</w:t>
            </w:r>
          </w:p>
        </w:tc>
        <w:tc>
          <w:tcPr>
            <w:tcW w:type="dxa" w:w="2055"/>
            <w:tcBorders>
              <w:bottom w:val="single" w:sz="12" w:space="0" w:color="000000"/>
            </w:tcBorders>
          </w:tcPr>
          <w:p>
            <w:pPr>
              <w:bidi w:val="1"/>
              <w:jc w:val="center"/>
            </w:pPr>
            <w:r/>
            <w:r>
              <w:rPr>
                <w:rFonts w:ascii="Cambria" w:hAnsi="Cambria" w:cs="Cambria"/>
                <w:b/>
                <w:sz w:val="22"/>
              </w:rPr>
              <w:t>۳</w:t>
            </w:r>
          </w:p>
        </w:tc>
      </w:tr>
      <w:tr>
        <w:tc>
          <w:tcPr>
            <w:tcW w:type="dxa" w:w="2055"/>
          </w:tcPr>
          <w:p>
            <w:pPr>
              <w:bidi w:val="1"/>
              <w:jc w:val="center"/>
            </w:pPr>
            <w:r/>
            <w:r>
              <w:rPr>
                <w:rFonts w:ascii="Cambria" w:hAnsi="Cambria" w:cs="Cambria"/>
                <w:b w:val="0"/>
                <w:sz w:val="22"/>
              </w:rPr>
              <w:t>۱. اضطراب صفتی</w:t>
            </w:r>
          </w:p>
        </w:tc>
        <w:tc>
          <w:tcPr>
            <w:tcW w:type="dxa" w:w="2055"/>
          </w:tcPr>
          <w:p>
            <w:pPr>
              <w:bidi w:val="1"/>
              <w:jc w:val="center"/>
            </w:pPr>
            <w:r/>
            <w:r>
              <w:rPr>
                <w:rFonts w:ascii="Cambria" w:hAnsi="Cambria" w:cs="Cambria"/>
                <w:b w:val="0"/>
                <w:sz w:val="22"/>
              </w:rPr>
              <w:t>۱</w:t>
            </w:r>
          </w:p>
        </w:tc>
        <w:tc>
          <w:tcPr>
            <w:tcW w:type="dxa" w:w="2055"/>
          </w:tcPr>
          <w:p>
            <w:pPr>
              <w:jc w:val="center"/>
            </w:pPr>
            <w:r/>
            <w:r>
              <w:rPr>
                <w:b w:val="0"/>
                <w:sz w:val="22"/>
              </w:rPr>
            </w:r>
          </w:p>
        </w:tc>
        <w:tc>
          <w:tcPr>
            <w:tcW w:type="dxa" w:w="2055"/>
          </w:tcPr>
          <w:p>
            <w:pPr>
              <w:jc w:val="center"/>
            </w:pPr>
            <w:r/>
            <w:r>
              <w:rPr>
                <w:b w:val="0"/>
                <w:sz w:val="22"/>
              </w:rPr>
            </w:r>
          </w:p>
        </w:tc>
      </w:tr>
      <w:tr>
        <w:tc>
          <w:tcPr>
            <w:tcW w:type="dxa" w:w="2055"/>
          </w:tcPr>
          <w:p>
            <w:pPr>
              <w:bidi w:val="1"/>
              <w:jc w:val="center"/>
            </w:pPr>
            <w:r/>
            <w:r>
              <w:rPr>
                <w:rFonts w:ascii="Cambria" w:hAnsi="Cambria" w:cs="Cambria"/>
                <w:b w:val="0"/>
                <w:sz w:val="22"/>
              </w:rPr>
              <w:t>۲. طرحواره‌های ناسازگار اولیه</w:t>
            </w:r>
          </w:p>
        </w:tc>
        <w:tc>
          <w:tcPr>
            <w:tcW w:type="dxa" w:w="2055"/>
          </w:tcPr>
          <w:p>
            <w:pPr>
              <w:bidi w:val="1"/>
              <w:jc w:val="center"/>
            </w:pPr>
            <w:r/>
            <w:r>
              <w:rPr>
                <w:rFonts w:ascii="Cambria" w:hAnsi="Cambria" w:cs="Cambria"/>
                <w:b w:val="0"/>
                <w:sz w:val="22"/>
              </w:rPr>
              <w:t>۰٫۵۰۱***</w:t>
            </w:r>
          </w:p>
        </w:tc>
        <w:tc>
          <w:tcPr>
            <w:tcW w:type="dxa" w:w="2055"/>
          </w:tcPr>
          <w:p>
            <w:pPr>
              <w:bidi w:val="1"/>
              <w:jc w:val="center"/>
            </w:pPr>
            <w:r/>
            <w:r>
              <w:rPr>
                <w:rFonts w:ascii="Cambria" w:hAnsi="Cambria" w:cs="Cambria"/>
                <w:b w:val="0"/>
                <w:sz w:val="22"/>
              </w:rPr>
              <w:t>۱</w:t>
            </w:r>
          </w:p>
        </w:tc>
        <w:tc>
          <w:tcPr>
            <w:tcW w:type="dxa" w:w="2055"/>
          </w:tcPr>
          <w:p>
            <w:pPr>
              <w:jc w:val="center"/>
            </w:pPr>
            <w:r/>
            <w:r>
              <w:rPr>
                <w:b w:val="0"/>
                <w:sz w:val="22"/>
              </w:rPr>
            </w:r>
          </w:p>
        </w:tc>
      </w:tr>
      <w:tr>
        <w:tc>
          <w:tcPr>
            <w:tcW w:type="dxa" w:w="2055"/>
          </w:tcPr>
          <w:p>
            <w:pPr>
              <w:bidi w:val="1"/>
              <w:jc w:val="center"/>
            </w:pPr>
            <w:r/>
            <w:r>
              <w:rPr>
                <w:rFonts w:ascii="Cambria" w:hAnsi="Cambria" w:cs="Cambria"/>
                <w:b w:val="0"/>
                <w:sz w:val="22"/>
              </w:rPr>
              <w:t>۳. تحمل ریسک مالی</w:t>
            </w:r>
          </w:p>
        </w:tc>
        <w:tc>
          <w:tcPr>
            <w:tcW w:type="dxa" w:w="2055"/>
          </w:tcPr>
          <w:p>
            <w:pPr>
              <w:bidi w:val="1"/>
              <w:jc w:val="center"/>
            </w:pPr>
            <w:r/>
            <w:r>
              <w:rPr>
                <w:rFonts w:ascii="Cambria" w:hAnsi="Cambria" w:cs="Cambria"/>
                <w:b w:val="0"/>
                <w:sz w:val="22"/>
              </w:rPr>
              <w:t>۰٫۳۲۷***</w:t>
            </w:r>
          </w:p>
        </w:tc>
        <w:tc>
          <w:tcPr>
            <w:tcW w:type="dxa" w:w="2055"/>
          </w:tcPr>
          <w:p>
            <w:pPr>
              <w:bidi w:val="1"/>
              <w:jc w:val="center"/>
            </w:pPr>
            <w:r/>
            <w:r>
              <w:rPr>
                <w:rFonts w:ascii="Cambria" w:hAnsi="Cambria" w:cs="Cambria"/>
                <w:b w:val="0"/>
                <w:sz w:val="22"/>
              </w:rPr>
              <w:t>۰٫۳۲۱***</w:t>
            </w:r>
          </w:p>
        </w:tc>
        <w:tc>
          <w:tcPr>
            <w:tcW w:type="dxa" w:w="2055"/>
          </w:tcPr>
          <w:p>
            <w:pPr>
              <w:bidi w:val="1"/>
              <w:jc w:val="center"/>
            </w:pPr>
            <w:r/>
            <w:r>
              <w:rPr>
                <w:rFonts w:ascii="Cambria" w:hAnsi="Cambria" w:cs="Cambria"/>
                <w:b w:val="0"/>
                <w:sz w:val="22"/>
              </w:rPr>
              <w:t>۱</w:t>
            </w:r>
          </w:p>
        </w:tc>
      </w:tr>
    </w:tbl>
    <w:p>
      <w:pPr>
        <w:bidi w:val="1"/>
        <w:spacing w:lineRule="exact" w:line="580" w:after="0"/>
        <w:jc w:val="both"/>
      </w:pPr>
      <w:r>
        <w:rPr>
          <w:rFonts w:ascii="B Nazanin" w:hAnsi="B Nazanin" w:cs="B Nazanin" w:hint="cs"/>
          <w:sz w:val="24"/>
          <w:szCs w:val="24"/>
          <w:rtl/>
          <w:lang w:bidi="fa-IR"/>
        </w:rPr>
        <w:t xml:space="preserve">یادداشت</w:t>
      </w:r>
      <w:r>
        <w:rPr>
          <w:rFonts w:ascii="Times New Roman" w:hAnsi="Times New Roman" w:cs="Times New Roman"/>
          <w:sz w:val="22"/>
          <w:szCs w:val="22"/>
          <w:lang w:val="en-US"/>
        </w:rPr>
        <w:t xml:space="preserve">: n = </w:t>
      </w:r>
      <w:r>
        <w:rPr>
          <w:rFonts w:ascii="B Nazanin" w:hAnsi="B Nazanin" w:cs="B Nazanin" w:hint="cs"/>
          <w:sz w:val="24"/>
          <w:szCs w:val="24"/>
          <w:rtl/>
          <w:lang w:bidi="fa-IR"/>
        </w:rPr>
        <w:t xml:space="preserve">۱۸۵</w:t>
      </w:r>
      <w:r>
        <w:rPr>
          <w:rFonts w:ascii="Times New Roman" w:hAnsi="Times New Roman" w:cs="Times New Roman"/>
          <w:sz w:val="22"/>
          <w:szCs w:val="22"/>
          <w:lang w:val="en-US"/>
        </w:rPr>
        <w:t xml:space="preserve">. † p &lt; </w:t>
      </w:r>
      <w:r>
        <w:rPr>
          <w:rFonts w:ascii="B Nazanin" w:hAnsi="B Nazanin" w:cs="B Nazanin" w:hint="cs"/>
          <w:sz w:val="24"/>
          <w:szCs w:val="24"/>
          <w:rtl/>
          <w:lang w:bidi="fa-IR"/>
        </w:rPr>
        <w:t xml:space="preserve">۰٫۱۰؛</w:t>
      </w:r>
      <w:r>
        <w:rPr>
          <w:rFonts w:ascii="Times New Roman" w:hAnsi="Times New Roman" w:cs="Times New Roman"/>
          <w:sz w:val="22"/>
          <w:szCs w:val="22"/>
          <w:lang w:val="en-US"/>
        </w:rPr>
        <w:t xml:space="preserve"> * p &lt; </w:t>
      </w:r>
      <w:r>
        <w:rPr>
          <w:rFonts w:ascii="B Nazanin" w:hAnsi="B Nazanin" w:cs="B Nazanin" w:hint="cs"/>
          <w:sz w:val="24"/>
          <w:szCs w:val="24"/>
          <w:rtl/>
          <w:lang w:bidi="fa-IR"/>
        </w:rPr>
        <w:t xml:space="preserve">۰٫۰۵؛ </w:t>
      </w:r>
      <w:r>
        <w:rPr>
          <w:rFonts w:ascii="Times New Roman" w:hAnsi="Times New Roman" w:cs="Times New Roman"/>
          <w:b/>
          <w:bCs/>
          <w:sz w:val="22"/>
          <w:szCs w:val="22"/>
          <w:lang w:val="en-US"/>
        </w:rPr>
        <w:t xml:space="preserve"> p &lt; </w:t>
      </w:r>
      <w:r>
        <w:rPr>
          <w:rFonts w:ascii="B Nazanin" w:hAnsi="B Nazanin" w:cs="B Nazanin" w:hint="cs"/>
          <w:b/>
          <w:bCs/>
          <w:sz w:val="24"/>
          <w:szCs w:val="24"/>
          <w:rtl/>
          <w:lang w:bidi="fa-IR"/>
        </w:rPr>
        <w:t xml:space="preserve">۰٫۰۱؛ </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w:t>
      </w:r>
    </w:p>
    <w:p>
      <w:pPr>
        <w:bidi w:val="1"/>
        <w:spacing w:lineRule="exact" w:line="580" w:after="0"/>
        <w:jc w:val="both"/>
      </w:pPr>
      <w:r>
        <w:rPr>
          <w:rFonts w:ascii="B Nazanin" w:hAnsi="B Nazanin" w:cs="B Nazanin" w:hint="cs"/>
          <w:sz w:val="24"/>
          <w:szCs w:val="24"/>
          <w:rtl/>
          <w:lang w:bidi="fa-IR"/>
        </w:rPr>
        <w:t xml:space="preserve">فرضیه دوم تأیید شد: میان اضطراب صفتی و رفتارهای مالی پرخطر رابطه مثبت معنادار وجود داشت</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فرضیه سوم نیز تأیید شد: میان اضطراب صفتی و طرحواره‌های ناسازگار اولیه رابطه مثبت معنادار دیده شد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متوسط رو به بزرگ. فرضیه چهارم هم تأیید شد: میان طرحواره‌های ناسازگار اولیه و رفتارهای مالی پرخطر رابطه مثبت معنادار به دست آمد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هر سه رابطه در جهت پیش‌بینی‌شده و در سطح اطمینان بالا معنادار بودند.</w:t>
      </w:r>
    </w:p>
    <w:p>
      <w:pPr>
        <w:pStyle w:val="Heading2"/>
        <w:bidi w:val="1"/>
        <w:jc w:val="right"/>
        <w:outlineLvl w:val="1"/>
      </w:pPr>
      <w:r>
        <w:rPr>
          <w:rFonts w:ascii="B Nazanin" w:hAnsi="B Nazanin" w:cs="B Nazanin" w:hint="cs"/>
          <w:b/>
          <w:bCs/>
          <w:sz w:val="28"/>
          <w:szCs w:val="28"/>
          <w:rtl/>
          <w:lang w:bidi="fa-IR"/>
        </w:rPr>
        <w:t xml:space="preserve">۴-۸. آزمون فرضیه اصلی: تحلیل میانجی‌گری</w:t>
      </w:r>
    </w:p>
    <w:p>
      <w:pPr>
        <w:bidi w:val="1"/>
        <w:spacing w:lineRule="exact" w:line="580" w:after="0"/>
        <w:jc w:val="both"/>
      </w:pPr>
      <w:r>
        <w:rPr>
          <w:rFonts w:ascii="B Nazanin" w:hAnsi="B Nazanin" w:cs="B Nazanin" w:hint="cs"/>
          <w:sz w:val="24"/>
          <w:szCs w:val="24"/>
          <w:rtl/>
          <w:lang w:bidi="fa-IR"/>
        </w:rPr>
        <w:t xml:space="preserve">فرضیه اصلی پژوهش (نقش میانجی طرحواره‌های ناسازگار اولیه در رابطه اضطراب صفتی با رفتارهای مالی پرخطر) با تحلیل میانجی‌گری بر اساس الگوی شماره ۴ و خودگردان‌سازی ۵۰۰۰ نمونه‌ای آزمون شد. جدول ۴-۷ نتایج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۴-۷.</w:t>
      </w:r>
      <w:r>
        <w:rPr>
          <w:rFonts w:ascii="B Nazanin" w:hAnsi="B Nazanin" w:cs="B Nazanin" w:hint="cs"/>
          <w:sz w:val="22"/>
          <w:szCs w:val="22"/>
          <w:rtl/>
          <w:lang w:bidi="fa-IR"/>
        </w:rPr>
        <w:t xml:space="preserve"> نتایج تحلیل میانجی‌گری (الگوی شماره ۴، خودگردان‌سازی ۵۰۰۰ نمونه‌ای)</w:t>
      </w:r>
    </w:p>
    <w:p>
      <w:pPr>
        <w:bidi/>
      </w:pPr>
      <w:r>
        <w:rPr>
          <w:vanish/>
          <w:rFonts w:ascii="B Nazanin" w:hAnsi="B Nazanin"/>
        </w:rPr>
        <w:fldChar w:fldCharType="begin"/>
      </w:r>
      <w:r>
        <w:rPr>
          <w:vanish/>
          <w:rFonts w:ascii="B Nazanin" w:hAnsi="B Nazanin"/>
        </w:rPr>
        <w:instrText>TC "جدول ۴-۷. نتایج تحلیل میانجی‌گری (الگوی شماره ۴، خودگردان‌سازی ۵۰۰۰ نمونه‌ای)"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1370"/>
        <w:gridCol w:w="1370"/>
        <w:gridCol w:w="1370"/>
        <w:gridCol w:w="1370"/>
        <w:gridCol w:w="1370"/>
        <w:gridCol w:w="1370"/>
      </w:tblGrid>
      <w:tr>
        <w:tc>
          <w:tcPr>
            <w:tcW w:type="dxa" w:w="1370"/>
            <w:tcBorders>
              <w:bottom w:val="single" w:sz="12" w:space="0" w:color="000000"/>
            </w:tcBorders>
          </w:tcPr>
          <w:p>
            <w:pPr>
              <w:bidi w:val="1"/>
              <w:jc w:val="center"/>
            </w:pPr>
            <w:r/>
            <w:r>
              <w:rPr>
                <w:rFonts w:ascii="Cambria" w:hAnsi="Cambria" w:cs="Cambria"/>
                <w:b/>
                <w:sz w:val="22"/>
              </w:rPr>
              <w:t>اثر</w:t>
            </w:r>
          </w:p>
        </w:tc>
        <w:tc>
          <w:tcPr>
            <w:tcW w:type="dxa" w:w="1370"/>
            <w:tcBorders>
              <w:bottom w:val="single" w:sz="12" w:space="0" w:color="000000"/>
            </w:tcBorders>
          </w:tcPr>
          <w:p>
            <w:pPr>
              <w:bidi w:val="1"/>
              <w:jc w:val="center"/>
            </w:pPr>
            <w:r/>
            <w:r>
              <w:rPr>
                <w:rFonts w:ascii="Cambria" w:hAnsi="Cambria" w:cs="Cambria"/>
                <w:b/>
                <w:sz w:val="22"/>
              </w:rPr>
              <w:t>ضریب</w:t>
            </w:r>
          </w:p>
        </w:tc>
        <w:tc>
          <w:tcPr>
            <w:tcW w:type="dxa" w:w="1370"/>
            <w:tcBorders>
              <w:bottom w:val="single" w:sz="12" w:space="0" w:color="000000"/>
            </w:tcBorders>
          </w:tcPr>
          <w:p>
            <w:pPr>
              <w:bidi w:val="1"/>
              <w:jc w:val="center"/>
            </w:pPr>
            <w:r/>
            <w:r>
              <w:rPr>
                <w:rFonts w:ascii="Cambria" w:hAnsi="Cambria" w:cs="Cambria"/>
                <w:b/>
                <w:sz w:val="22"/>
              </w:rPr>
              <w:t>خطای معیار</w:t>
            </w:r>
          </w:p>
        </w:tc>
        <w:tc>
          <w:tcPr>
            <w:tcW w:type="dxa" w:w="1370"/>
            <w:tcBorders>
              <w:bottom w:val="single" w:sz="12" w:space="0" w:color="000000"/>
            </w:tcBorders>
          </w:tcPr>
          <w:p>
            <w:pPr>
              <w:bidi w:val="1"/>
              <w:jc w:val="center"/>
            </w:pPr>
            <w:r/>
            <w:r>
              <w:rPr>
                <w:rFonts w:ascii="Cambria" w:hAnsi="Cambria" w:cs="Cambria"/>
                <w:b/>
                <w:sz w:val="22"/>
              </w:rPr>
              <w:t>آماره</w:t>
            </w:r>
          </w:p>
        </w:tc>
        <w:tc>
          <w:tcPr>
            <w:tcW w:type="dxa" w:w="1370"/>
            <w:tcBorders>
              <w:bottom w:val="single" w:sz="12" w:space="0" w:color="000000"/>
            </w:tcBorders>
          </w:tcPr>
          <w:p>
            <w:pPr>
              <w:jc w:val="center"/>
            </w:pPr>
            <w:r/>
            <w:r>
              <w:rPr>
                <w:rFonts w:ascii="Cambria" w:hAnsi="Cambria" w:cs="Cambria"/>
                <w:b/>
                <w:sz w:val="22"/>
              </w:rPr>
              <w:t>p</w:t>
            </w:r>
          </w:p>
        </w:tc>
        <w:tc>
          <w:tcPr>
            <w:tcW w:type="dxa" w:w="1370"/>
            <w:tcBorders>
              <w:bottom w:val="single" w:sz="12" w:space="0" w:color="000000"/>
            </w:tcBorders>
          </w:tcPr>
          <w:p>
            <w:pPr>
              <w:bidi w:val="1"/>
              <w:jc w:val="center"/>
            </w:pPr>
            <w:r/>
            <w:r>
              <w:rPr>
                <w:rFonts w:ascii="Cambria" w:hAnsi="Cambria" w:cs="Cambria"/>
                <w:b/>
                <w:sz w:val="22"/>
              </w:rPr>
              <w:t>فاصلهٔ اطمینان ۹۵٪</w:t>
            </w:r>
          </w:p>
        </w:tc>
      </w:tr>
      <w:tr>
        <w:tc>
          <w:tcPr>
            <w:tcW w:type="dxa" w:w="1370"/>
          </w:tcPr>
          <w:p>
            <w:pPr>
              <w:bidi w:val="1"/>
              <w:jc w:val="center"/>
            </w:pPr>
            <w:r/>
            <w:r>
              <w:rPr>
                <w:rFonts w:ascii="Cambria" w:hAnsi="Cambria" w:cs="Cambria"/>
                <w:b w:val="0"/>
                <w:sz w:val="22"/>
              </w:rPr>
              <w:t>مسیر a (اضطراب → طرحواره‌ها)</w:t>
            </w:r>
          </w:p>
        </w:tc>
        <w:tc>
          <w:tcPr>
            <w:tcW w:type="dxa" w:w="1370"/>
          </w:tcPr>
          <w:p>
            <w:pPr>
              <w:bidi w:val="1"/>
              <w:jc w:val="center"/>
            </w:pPr>
            <w:r/>
            <w:r>
              <w:rPr>
                <w:rFonts w:ascii="Cambria" w:hAnsi="Cambria" w:cs="Cambria"/>
                <w:b w:val="0"/>
                <w:sz w:val="22"/>
              </w:rPr>
              <w:t>۱٫۷۸۸</w:t>
            </w:r>
          </w:p>
        </w:tc>
        <w:tc>
          <w:tcPr>
            <w:tcW w:type="dxa" w:w="1370"/>
          </w:tcPr>
          <w:p>
            <w:pPr>
              <w:bidi w:val="1"/>
              <w:jc w:val="center"/>
            </w:pPr>
            <w:r/>
            <w:r>
              <w:rPr>
                <w:rFonts w:ascii="Cambria" w:hAnsi="Cambria" w:cs="Cambria"/>
                <w:b w:val="0"/>
                <w:sz w:val="22"/>
              </w:rPr>
              <w:t>۰٫۲۲۸</w:t>
            </w:r>
          </w:p>
        </w:tc>
        <w:tc>
          <w:tcPr>
            <w:tcW w:type="dxa" w:w="1370"/>
          </w:tcPr>
          <w:p>
            <w:pPr>
              <w:bidi w:val="1"/>
              <w:jc w:val="center"/>
            </w:pPr>
            <w:r/>
            <w:r>
              <w:rPr>
                <w:rFonts w:ascii="Cambria" w:hAnsi="Cambria" w:cs="Cambria"/>
                <w:b w:val="0"/>
                <w:sz w:val="22"/>
              </w:rPr>
              <w:t>۷٫۸۳۰</w:t>
            </w:r>
          </w:p>
        </w:tc>
        <w:tc>
          <w:tcPr>
            <w:tcW w:type="dxa" w:w="1370"/>
          </w:tcPr>
          <w:p>
            <w:pPr>
              <w:bidi w:val="1"/>
              <w:jc w:val="center"/>
            </w:pPr>
            <w:r/>
            <w:r>
              <w:rPr>
                <w:rFonts w:ascii="Cambria" w:hAnsi="Cambria" w:cs="Cambria"/>
                <w:b w:val="0"/>
                <w:sz w:val="22"/>
              </w:rPr>
              <w:t>p &lt; ۰٫۰۰۱</w:t>
            </w:r>
          </w:p>
        </w:tc>
        <w:tc>
          <w:tcPr>
            <w:tcW w:type="dxa" w:w="1370"/>
          </w:tcPr>
          <w:p>
            <w:pPr>
              <w:jc w:val="center"/>
            </w:pPr>
            <w:r/>
            <w:r>
              <w:rPr>
                <w:b w:val="0"/>
                <w:sz w:val="22"/>
              </w:rPr>
            </w:r>
          </w:p>
        </w:tc>
      </w:tr>
      <w:tr>
        <w:tc>
          <w:tcPr>
            <w:tcW w:type="dxa" w:w="1370"/>
          </w:tcPr>
          <w:p>
            <w:pPr>
              <w:bidi w:val="1"/>
              <w:jc w:val="center"/>
            </w:pPr>
            <w:r/>
            <w:r>
              <w:rPr>
                <w:rFonts w:ascii="Cambria" w:hAnsi="Cambria" w:cs="Cambria"/>
                <w:b w:val="0"/>
                <w:sz w:val="22"/>
              </w:rPr>
              <w:t>مسیر b (طرحواره‌ها → ریسک، با کنترل اضطراب)</w:t>
            </w:r>
          </w:p>
        </w:tc>
        <w:tc>
          <w:tcPr>
            <w:tcW w:type="dxa" w:w="1370"/>
          </w:tcPr>
          <w:p>
            <w:pPr>
              <w:bidi w:val="1"/>
              <w:jc w:val="center"/>
            </w:pPr>
            <w:r/>
            <w:r>
              <w:rPr>
                <w:rFonts w:ascii="Cambria" w:hAnsi="Cambria" w:cs="Cambria"/>
                <w:b w:val="0"/>
                <w:sz w:val="22"/>
              </w:rPr>
              <w:t>۰٫۰۳۹</w:t>
            </w:r>
          </w:p>
        </w:tc>
        <w:tc>
          <w:tcPr>
            <w:tcW w:type="dxa" w:w="1370"/>
          </w:tcPr>
          <w:p>
            <w:pPr>
              <w:bidi w:val="1"/>
              <w:jc w:val="center"/>
            </w:pPr>
            <w:r/>
            <w:r>
              <w:rPr>
                <w:rFonts w:ascii="Cambria" w:hAnsi="Cambria" w:cs="Cambria"/>
                <w:b w:val="0"/>
                <w:sz w:val="22"/>
              </w:rPr>
              <w:t>۰٫۰۱۵</w:t>
            </w:r>
          </w:p>
        </w:tc>
        <w:tc>
          <w:tcPr>
            <w:tcW w:type="dxa" w:w="1370"/>
          </w:tcPr>
          <w:p>
            <w:pPr>
              <w:bidi w:val="1"/>
              <w:jc w:val="center"/>
            </w:pPr>
            <w:r/>
            <w:r>
              <w:rPr>
                <w:rFonts w:ascii="Cambria" w:hAnsi="Cambria" w:cs="Cambria"/>
                <w:b w:val="0"/>
                <w:sz w:val="22"/>
              </w:rPr>
              <w:t>۲٫۶۳۶</w:t>
            </w:r>
          </w:p>
        </w:tc>
        <w:tc>
          <w:tcPr>
            <w:tcW w:type="dxa" w:w="1370"/>
          </w:tcPr>
          <w:p>
            <w:pPr>
              <w:bidi w:val="1"/>
              <w:jc w:val="center"/>
            </w:pPr>
            <w:r/>
            <w:r>
              <w:rPr>
                <w:rFonts w:ascii="Cambria" w:hAnsi="Cambria" w:cs="Cambria"/>
                <w:b w:val="0"/>
                <w:sz w:val="22"/>
              </w:rPr>
              <w:t>p = ۰٫۰۰۹</w:t>
            </w:r>
          </w:p>
        </w:tc>
        <w:tc>
          <w:tcPr>
            <w:tcW w:type="dxa" w:w="1370"/>
          </w:tcPr>
          <w:p>
            <w:pPr>
              <w:jc w:val="center"/>
            </w:pPr>
            <w:r/>
            <w:r>
              <w:rPr>
                <w:b w:val="0"/>
                <w:sz w:val="22"/>
              </w:rPr>
            </w:r>
          </w:p>
        </w:tc>
      </w:tr>
      <w:tr>
        <w:tc>
          <w:tcPr>
            <w:tcW w:type="dxa" w:w="1370"/>
          </w:tcPr>
          <w:p>
            <w:pPr>
              <w:bidi w:val="1"/>
              <w:jc w:val="center"/>
            </w:pPr>
            <w:r/>
            <w:r>
              <w:rPr>
                <w:rFonts w:ascii="Cambria" w:hAnsi="Cambria" w:cs="Cambria"/>
                <w:b w:val="0"/>
                <w:sz w:val="22"/>
              </w:rPr>
              <w:t>اثر کل c (اضطراب → ریسک)</w:t>
            </w:r>
          </w:p>
        </w:tc>
        <w:tc>
          <w:tcPr>
            <w:tcW w:type="dxa" w:w="1370"/>
          </w:tcPr>
          <w:p>
            <w:pPr>
              <w:bidi w:val="1"/>
              <w:jc w:val="center"/>
            </w:pPr>
            <w:r/>
            <w:r>
              <w:rPr>
                <w:rFonts w:ascii="Cambria" w:hAnsi="Cambria" w:cs="Cambria"/>
                <w:b w:val="0"/>
                <w:sz w:val="22"/>
              </w:rPr>
              <w:t>۰٫۲۱۹</w:t>
            </w:r>
          </w:p>
        </w:tc>
        <w:tc>
          <w:tcPr>
            <w:tcW w:type="dxa" w:w="1370"/>
          </w:tcPr>
          <w:p>
            <w:pPr>
              <w:bidi w:val="1"/>
              <w:jc w:val="center"/>
            </w:pPr>
            <w:r/>
            <w:r>
              <w:rPr>
                <w:rFonts w:ascii="Cambria" w:hAnsi="Cambria" w:cs="Cambria"/>
                <w:b w:val="0"/>
                <w:sz w:val="22"/>
              </w:rPr>
              <w:t>۰٫۰۴۷</w:t>
            </w:r>
          </w:p>
        </w:tc>
        <w:tc>
          <w:tcPr>
            <w:tcW w:type="dxa" w:w="1370"/>
          </w:tcPr>
          <w:p>
            <w:pPr>
              <w:bidi w:val="1"/>
              <w:jc w:val="center"/>
            </w:pPr>
            <w:r/>
            <w:r>
              <w:rPr>
                <w:rFonts w:ascii="Cambria" w:hAnsi="Cambria" w:cs="Cambria"/>
                <w:b w:val="0"/>
                <w:sz w:val="22"/>
              </w:rPr>
              <w:t>۴٫۶۸۴</w:t>
            </w:r>
          </w:p>
        </w:tc>
        <w:tc>
          <w:tcPr>
            <w:tcW w:type="dxa" w:w="1370"/>
          </w:tcPr>
          <w:p>
            <w:pPr>
              <w:bidi w:val="1"/>
              <w:jc w:val="center"/>
            </w:pPr>
            <w:r/>
            <w:r>
              <w:rPr>
                <w:rFonts w:ascii="Cambria" w:hAnsi="Cambria" w:cs="Cambria"/>
                <w:b w:val="0"/>
                <w:sz w:val="22"/>
              </w:rPr>
              <w:t>p &lt; ۰٫۰۰۱</w:t>
            </w:r>
          </w:p>
        </w:tc>
        <w:tc>
          <w:tcPr>
            <w:tcW w:type="dxa" w:w="1370"/>
          </w:tcPr>
          <w:p>
            <w:pPr>
              <w:jc w:val="center"/>
            </w:pPr>
            <w:r/>
            <w:r>
              <w:rPr>
                <w:b w:val="0"/>
                <w:sz w:val="22"/>
              </w:rPr>
            </w:r>
          </w:p>
        </w:tc>
      </w:tr>
      <w:tr>
        <w:tc>
          <w:tcPr>
            <w:tcW w:type="dxa" w:w="1370"/>
          </w:tcPr>
          <w:p>
            <w:pPr>
              <w:bidi w:val="1"/>
              <w:jc w:val="center"/>
            </w:pPr>
            <w:r/>
            <w:r>
              <w:rPr>
                <w:rFonts w:ascii="Cambria" w:hAnsi="Cambria" w:cs="Cambria"/>
                <w:b w:val="0"/>
                <w:sz w:val="22"/>
              </w:rPr>
              <w:t>اثر مستقیم c′ (با کنترل میانجی)</w:t>
            </w:r>
          </w:p>
        </w:tc>
        <w:tc>
          <w:tcPr>
            <w:tcW w:type="dxa" w:w="1370"/>
          </w:tcPr>
          <w:p>
            <w:pPr>
              <w:bidi w:val="1"/>
              <w:jc w:val="center"/>
            </w:pPr>
            <w:r/>
            <w:r>
              <w:rPr>
                <w:rFonts w:ascii="Cambria" w:hAnsi="Cambria" w:cs="Cambria"/>
                <w:b w:val="0"/>
                <w:sz w:val="22"/>
              </w:rPr>
              <w:t>۰٫۱۴۹</w:t>
            </w:r>
          </w:p>
        </w:tc>
        <w:tc>
          <w:tcPr>
            <w:tcW w:type="dxa" w:w="1370"/>
          </w:tcPr>
          <w:p>
            <w:pPr>
              <w:bidi w:val="1"/>
              <w:jc w:val="center"/>
            </w:pPr>
            <w:r/>
            <w:r>
              <w:rPr>
                <w:rFonts w:ascii="Cambria" w:hAnsi="Cambria" w:cs="Cambria"/>
                <w:b w:val="0"/>
                <w:sz w:val="22"/>
              </w:rPr>
              <w:t>۰٫۰۵۳</w:t>
            </w:r>
          </w:p>
        </w:tc>
        <w:tc>
          <w:tcPr>
            <w:tcW w:type="dxa" w:w="1370"/>
          </w:tcPr>
          <w:p>
            <w:pPr>
              <w:bidi w:val="1"/>
              <w:jc w:val="center"/>
            </w:pPr>
            <w:r/>
            <w:r>
              <w:rPr>
                <w:rFonts w:ascii="Cambria" w:hAnsi="Cambria" w:cs="Cambria"/>
                <w:b w:val="0"/>
                <w:sz w:val="22"/>
              </w:rPr>
              <w:t>۲٫۷۹۸</w:t>
            </w:r>
          </w:p>
        </w:tc>
        <w:tc>
          <w:tcPr>
            <w:tcW w:type="dxa" w:w="1370"/>
          </w:tcPr>
          <w:p>
            <w:pPr>
              <w:bidi w:val="1"/>
              <w:jc w:val="center"/>
            </w:pPr>
            <w:r/>
            <w:r>
              <w:rPr>
                <w:rFonts w:ascii="Cambria" w:hAnsi="Cambria" w:cs="Cambria"/>
                <w:b w:val="0"/>
                <w:sz w:val="22"/>
              </w:rPr>
              <w:t>p = ۰٫۰۰۶</w:t>
            </w:r>
          </w:p>
        </w:tc>
        <w:tc>
          <w:tcPr>
            <w:tcW w:type="dxa" w:w="1370"/>
          </w:tcPr>
          <w:p>
            <w:pPr>
              <w:jc w:val="center"/>
            </w:pPr>
            <w:r/>
            <w:r>
              <w:rPr>
                <w:b w:val="0"/>
                <w:sz w:val="22"/>
              </w:rPr>
            </w:r>
          </w:p>
        </w:tc>
      </w:tr>
      <w:tr>
        <w:tc>
          <w:tcPr>
            <w:tcW w:type="dxa" w:w="1370"/>
          </w:tcPr>
          <w:p>
            <w:pPr>
              <w:bidi w:val="1"/>
              <w:jc w:val="center"/>
            </w:pPr>
            <w:r/>
            <w:r>
              <w:rPr>
                <w:rFonts w:ascii="Cambria" w:hAnsi="Cambria" w:cs="Cambria"/>
                <w:b w:val="0"/>
                <w:sz w:val="22"/>
              </w:rPr>
              <w:t>اثر غیرمستقیم (a×b)</w:t>
            </w:r>
          </w:p>
        </w:tc>
        <w:tc>
          <w:tcPr>
            <w:tcW w:type="dxa" w:w="1370"/>
          </w:tcPr>
          <w:p>
            <w:pPr>
              <w:bidi w:val="1"/>
              <w:jc w:val="center"/>
            </w:pPr>
            <w:r/>
            <w:r>
              <w:rPr>
                <w:rFonts w:ascii="Cambria" w:hAnsi="Cambria" w:cs="Cambria"/>
                <w:b w:val="0"/>
                <w:sz w:val="22"/>
              </w:rPr>
              <w:t>۰٫۰۷۰</w:t>
            </w:r>
          </w:p>
        </w:tc>
        <w:tc>
          <w:tcPr>
            <w:tcW w:type="dxa" w:w="1370"/>
          </w:tcPr>
          <w:p>
            <w:pPr>
              <w:jc w:val="center"/>
            </w:pPr>
            <w:r/>
            <w:r>
              <w:rPr>
                <w:rFonts w:ascii="Cambria" w:hAnsi="Cambria" w:cs="Cambria"/>
                <w:b w:val="0"/>
                <w:sz w:val="22"/>
              </w:rPr>
              <w:t>—</w:t>
            </w:r>
          </w:p>
        </w:tc>
        <w:tc>
          <w:tcPr>
            <w:tcW w:type="dxa" w:w="1370"/>
          </w:tcPr>
          <w:p>
            <w:pPr>
              <w:jc w:val="center"/>
            </w:pPr>
            <w:r/>
            <w:r>
              <w:rPr>
                <w:rFonts w:ascii="Cambria" w:hAnsi="Cambria" w:cs="Cambria"/>
                <w:b w:val="0"/>
                <w:sz w:val="22"/>
              </w:rPr>
              <w:t>—</w:t>
            </w:r>
          </w:p>
        </w:tc>
        <w:tc>
          <w:tcPr>
            <w:tcW w:type="dxa" w:w="1370"/>
          </w:tcPr>
          <w:p>
            <w:pPr>
              <w:jc w:val="center"/>
            </w:pPr>
            <w:r/>
            <w:r>
              <w:rPr>
                <w:rFonts w:ascii="Cambria" w:hAnsi="Cambria" w:cs="Cambria"/>
                <w:b w:val="0"/>
                <w:sz w:val="22"/>
              </w:rPr>
              <w:t>—</w:t>
            </w:r>
          </w:p>
        </w:tc>
        <w:tc>
          <w:tcPr>
            <w:tcW w:type="dxa" w:w="1370"/>
          </w:tcPr>
          <w:p>
            <w:pPr>
              <w:bidi w:val="1"/>
              <w:jc w:val="center"/>
            </w:pPr>
            <w:r/>
            <w:r>
              <w:rPr>
                <w:rFonts w:ascii="Cambria" w:hAnsi="Cambria" w:cs="Cambria"/>
                <w:b w:val="0"/>
                <w:sz w:val="22"/>
              </w:rPr>
              <w:t>[۰٫۰۱۱، ۰٫۱۳۳]</w:t>
            </w:r>
          </w:p>
        </w:tc>
      </w:tr>
    </w:tbl>
    <w:p>
      <w:pPr>
        <w:bidi w:val="1"/>
        <w:spacing w:lineRule="exact" w:line="580" w:after="0"/>
        <w:jc w:val="both"/>
      </w:pPr>
      <w:r>
        <w:rPr>
          <w:rFonts w:ascii="B Nazanin" w:hAnsi="B Nazanin" w:cs="B Nazanin" w:hint="cs"/>
          <w:sz w:val="24"/>
          <w:szCs w:val="24"/>
          <w:rtl/>
          <w:lang w:bidi="fa-IR"/>
        </w:rPr>
        <w:t xml:space="preserve">یادداشت</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مدل میانجی = ۰٫۲۵۱؛</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مدل پیامد = ۰٫۱۴۰؛</w:t>
      </w:r>
      <w:r>
        <w:rPr>
          <w:rFonts w:ascii="Times New Roman" w:hAnsi="Times New Roman" w:cs="Times New Roman"/>
          <w:sz w:val="22"/>
          <w:szCs w:val="22"/>
          <w:lang w:val="en-US"/>
        </w:rPr>
        <w:t xml:space="preserve"> R² </w:t>
      </w:r>
      <w:r>
        <w:rPr>
          <w:rFonts w:ascii="B Nazanin" w:hAnsi="B Nazanin" w:cs="B Nazanin" w:hint="cs"/>
          <w:sz w:val="24"/>
          <w:szCs w:val="24"/>
          <w:rtl/>
          <w:lang w:bidi="fa-IR"/>
        </w:rPr>
        <w:t xml:space="preserve">اثر کل = ۰٫۱۰۷. فاصله اطمینان اثر غیرمستقیم از نوع صدکی است.</w:t>
      </w:r>
    </w:p>
    <w:p>
      <w:pPr>
        <w:bidi w:val="1"/>
        <w:spacing w:lineRule="exact" w:line="580" w:after="0"/>
        <w:jc w:val="both"/>
      </w:pPr>
      <w:r>
        <w:rPr>
          <w:rFonts w:ascii="B Nazanin" w:hAnsi="B Nazanin" w:cs="B Nazanin" w:hint="cs"/>
          <w:sz w:val="24"/>
          <w:szCs w:val="24"/>
          <w:rtl/>
          <w:lang w:bidi="fa-IR"/>
        </w:rPr>
        <w:t xml:space="preserve">مسیر</w:t>
      </w:r>
      <w:r>
        <w:rPr>
          <w:rFonts w:ascii="Times New Roman" w:hAnsi="Times New Roman" w:cs="Times New Roman"/>
          <w:sz w:val="22"/>
          <w:szCs w:val="22"/>
          <w:lang w:val="en-US"/>
        </w:rPr>
        <w:t xml:space="preserve"> a (</w:t>
      </w:r>
      <w:r>
        <w:rPr>
          <w:rFonts w:ascii="B Nazanin" w:hAnsi="B Nazanin" w:cs="B Nazanin" w:hint="cs"/>
          <w:sz w:val="24"/>
          <w:szCs w:val="24"/>
          <w:rtl/>
          <w:lang w:bidi="fa-IR"/>
        </w:rPr>
        <w:t xml:space="preserve">اثر اضطراب بر طرحواره‌ها) مثبت و معنادار بود</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۱٫۷۸۸؛</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و ۲۵٫۱ درصد واریانس طرحواره‌ها را تبیین کرد. مسیر</w:t>
      </w:r>
      <w:r>
        <w:rPr>
          <w:rFonts w:ascii="Times New Roman" w:hAnsi="Times New Roman" w:cs="Times New Roman"/>
          <w:sz w:val="22"/>
          <w:szCs w:val="22"/>
          <w:lang w:val="en-US"/>
        </w:rPr>
        <w:t xml:space="preserve"> b (</w:t>
      </w:r>
      <w:r>
        <w:rPr>
          <w:rFonts w:ascii="B Nazanin" w:hAnsi="B Nazanin" w:cs="B Nazanin" w:hint="cs"/>
          <w:sz w:val="24"/>
          <w:szCs w:val="24"/>
          <w:rtl/>
          <w:lang w:bidi="fa-IR"/>
        </w:rPr>
        <w:t xml:space="preserve">اثر طرحواره‌ها بر رفتار پرخطر با کنترل اضطراب) نیز مثبت و معنادار بود</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۰٫۰۳۹؛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۰٫۰۰۹). اثر کل اضطراب بر رفتار پرخطر مثبت و معنادار به دست آمد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۰٫۲۱۹؛</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و پس از ورود میانجی به مدل، اثر مستقیم همچنان مثبت و معنادار باقی ماند، هرچند کوچک‌تر شد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اثر غیرمستقیم برابر ۰٫۰۷۰ بود و فاصله اطمینان ۹۵ درصد صدکی آن (۰٫۰۱۱ تا ۰٫۱۳۳) صفر را در بر نداشت؛ فاصله اطمینان تصحیح‌شده سوگیری نیز همین نتیجه را تأیید کرد (۰٫۰۱۴ تا ۰٫۱۳۴). از آنجا که هم اثر غیرمستقیم معنادار بود و هم اثر مستقیم پس از کنترل میانجی معنادار ماند، فرضیه اصلی تأیید شد و الگوی به‌دست‌آمده از نوع میانجی‌گری جزئی است: حدود یک‌سوم اثر کل اضطراب بر رفتار پرخطر از مسیر طرحواره‌های ناسازگار اولیه می‌گذرد و دوسوم دیگر، مستقیم یا از مسیرهای دیگری است که در این مدل لحاظ نشده‌اند.</w:t>
      </w:r>
    </w:p>
    <w:p>
      <w:pPr>
        <w:bidi w:val="1"/>
        <w:spacing w:lineRule="exact" w:line="580" w:after="0"/>
        <w:jc w:val="both"/>
      </w:pPr>
      <w:r>
        <w:rPr>
          <w:rFonts w:ascii="B Nazanin" w:hAnsi="B Nazanin" w:cs="B Nazanin" w:hint="cs"/>
          <w:sz w:val="24"/>
          <w:szCs w:val="24"/>
          <w:rtl/>
          <w:lang w:bidi="fa-IR"/>
        </w:rPr>
        <w:t xml:space="preserve">برای اطمینان از پایداری این نتیجه، تحلیل میانجی‌گری با نمره ۱۲ سؤالی تحمل ریسک (بدون سؤال سیزدهم) نیز تکرار شد و نتایج کاملاً هم‌جهت بود: اثر مستقیم ۰٫۱۳۸</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و اثر غیرمستقیم ۰٫۰۶۶ با فاصله اطمینان ۰٫۰۱۲ تا ۰٫۱۲۲ که صفر را در بر نداشت. بنابراین مبنای گزارش، نسخه ۱۳ سؤالی باقی ماند. شکل ۴-۱ الگوی میانجی‌گری را با ضرایب برآوردشده نشان می‌دهد.</w:t>
      </w:r>
    </w:p>
    <w:p>
      <w:pPr>
        <w:jc w:val="center"/>
      </w:pPr>
      <w:r>
        <w:drawing>
          <ns3:inline>
            <ns3:extent cx="5040000" cy="2940000"/>
            <ns3:docPr id="1" name="Picture 1"/>
            <ns3:cNvGraphicFramePr>
              <ns4:graphicFrameLocks noChangeAspect="1"/>
            </ns3:cNvGraphicFramePr>
            <ns4:graphic>
              <ns4:graphicData uri="http://schemas.openxmlformats.org/drawingml/2006/picture">
                <ns5:pic>
                  <ns5:nvPicPr>
                    <ns5:cNvPr id="0" name="chapter4_real_pipeline_fig1.png"/>
                    <ns5:cNvPicPr/>
                  </ns5:nvPicPr>
                  <ns5:blipFill>
                    <ns4:blip r:embed="rId20"/>
                    <ns4:stretch>
                      <ns4:fillRect/>
                    </ns4:stretch>
                  </ns5:blipFill>
                  <ns5:spPr>
                    <ns4:xfrm>
                      <ns4:off x="0" y="0"/>
                      <ns4:ext cx="5040000" cy="2940000"/>
                    </ns4:xfrm>
                    <ns4:prstGeom prst="rect"/>
                  </ns5:spPr>
                </ns5:pic>
              </ns4:graphicData>
            </ns4:graphic>
          </ns3:inline>
        </w:drawing>
      </w:r>
    </w:p>
    <w:p>
      <w:pPr>
        <w:bidi w:val="1"/>
        <w:spacing w:lineRule="exact" w:line="580" w:before="60" w:after="120"/>
        <w:jc w:val="center"/>
      </w:pPr>
      <w:r>
        <w:rPr>
          <w:rFonts w:ascii="B Nazanin" w:hAnsi="B Nazanin" w:cs="B Nazanin" w:hint="cs"/>
          <w:b/>
          <w:bCs/>
          <w:sz w:val="22"/>
          <w:szCs w:val="22"/>
          <w:rtl/>
          <w:lang w:bidi="fa-IR"/>
        </w:rPr>
        <w:t xml:space="preserve">شکل ۴-۱.</w:t>
      </w:r>
      <w:r>
        <w:rPr>
          <w:rFonts w:ascii="B Nazanin" w:hAnsi="B Nazanin" w:cs="B Nazanin" w:hint="cs"/>
          <w:sz w:val="22"/>
          <w:szCs w:val="22"/>
          <w:rtl/>
          <w:lang w:bidi="fa-IR"/>
        </w:rPr>
        <w:t xml:space="preserve"> نمودار مسیر الگوی میانجی‌گری با ضرایب برآوردشده در نمونه نهایی</w:t>
      </w:r>
    </w:p>
    <w:p>
      <w:pPr>
        <w:bidi/>
      </w:pPr>
      <w:r>
        <w:rPr>
          <w:vanish/>
          <w:rFonts w:ascii="B Nazanin" w:hAnsi="B Nazanin"/>
        </w:rPr>
        <w:fldChar w:fldCharType="begin"/>
      </w:r>
      <w:r>
        <w:rPr>
          <w:vanish/>
          <w:rFonts w:ascii="B Nazanin" w:hAnsi="B Nazanin"/>
        </w:rPr>
        <w:instrText>TC "شکل ۴-۱. نمودار مسیر الگوی میانجی‌گری با ضرایب برآوردشده در نمونه نهایی" \f F \l 1</w:instrText>
      </w:r>
      <w:r>
        <w:rPr>
          <w:vanish/>
          <w:rFonts w:ascii="B Nazanin" w:hAnsi="B Nazanin"/>
        </w:rPr>
        <w:fldChar w:fldCharType="end"/>
      </w:r>
    </w:p>
    <w:p>
      <w:pPr>
        <w:pStyle w:val="Heading2"/>
        <w:bidi w:val="1"/>
        <w:jc w:val="right"/>
        <w:outlineLvl w:val="1"/>
      </w:pPr>
      <w:r>
        <w:rPr>
          <w:rFonts w:ascii="B Nazanin" w:hAnsi="B Nazanin" w:cs="B Nazanin" w:hint="cs"/>
          <w:b/>
          <w:bCs/>
          <w:sz w:val="28"/>
          <w:szCs w:val="28"/>
          <w:rtl/>
          <w:lang w:bidi="fa-IR"/>
        </w:rPr>
        <w:t xml:space="preserve">۴-۹. تحلیل مسیر با متغیرهای مشاهده‌شده</w:t>
      </w:r>
    </w:p>
    <w:p>
      <w:pPr>
        <w:bidi w:val="1"/>
        <w:spacing w:lineRule="exact" w:line="580" w:after="0"/>
        <w:jc w:val="both"/>
      </w:pPr>
      <w:r>
        <w:rPr>
          <w:rFonts w:ascii="B Nazanin" w:hAnsi="B Nazanin" w:cs="B Nazanin" w:hint="cs"/>
          <w:sz w:val="24"/>
          <w:szCs w:val="24"/>
          <w:rtl/>
          <w:lang w:bidi="fa-IR"/>
        </w:rPr>
        <w:t xml:space="preserve">به‌منظور بررسی همگرایی یافته‌ها، الگوی میانجی‌گری به‌صورت تحلیل مسیر با متغیرهای مشاهده‌شده و برآورد درست‌نمایی بیشینه نیز برازش داده شد. در مدل اشباع که هر سه مسیر را در بر می‌گیرد، ضرایب استانداردشده برابر</w:t>
      </w:r>
      <w:r>
        <w:rPr>
          <w:rFonts w:ascii="Times New Roman" w:hAnsi="Times New Roman" w:cs="Times New Roman"/>
          <w:sz w:val="22"/>
          <w:szCs w:val="22"/>
          <w:lang w:val="en-US"/>
        </w:rPr>
        <w:t xml:space="preserve"> a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b = </w:t>
      </w:r>
      <w:r>
        <w:rPr>
          <w:rFonts w:ascii="B Nazanin" w:hAnsi="B Nazanin" w:cs="B Nazanin" w:hint="cs"/>
          <w:sz w:val="24"/>
          <w:szCs w:val="24"/>
          <w:rtl/>
          <w:lang w:bidi="fa-IR"/>
        </w:rPr>
        <w:t xml:space="preserve">۰٫۲۰۹ و</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۰٫۲۲۲ به دست آمد که با نتایج تحلیل میانجی‌گری سازگار است. از آنجا که مدل اشباع درجه آزادی صفر دارد، شاخص برازشی برای آن قابل آزمون نیست و نمی‌توان برازش مدل را شاهدی بر درستی الگو دانست؛ از این رو، مدل مقید میانجی‌گری کامل (با اثر مستقیم صفر و ۱ درجه آزادی) نیز به‌عنوان تحلیل تکمیلی برازش شد. جدول ۴-۸ شاخص‌های این مدل مقید را نشان می‌دهد.</w:t>
      </w:r>
    </w:p>
    <w:p>
      <w:pPr>
        <w:bidi w:val="1"/>
        <w:spacing w:lineRule="exact" w:line="580" w:before="180" w:after="40"/>
        <w:jc w:val="center"/>
      </w:pPr>
      <w:r>
        <w:rPr>
          <w:rFonts w:ascii="B Nazanin" w:hAnsi="B Nazanin" w:cs="B Nazanin" w:hint="cs"/>
          <w:b/>
          <w:bCs/>
          <w:sz w:val="22"/>
          <w:szCs w:val="22"/>
          <w:rtl/>
          <w:lang w:bidi="fa-IR"/>
        </w:rPr>
        <w:t xml:space="preserve">جدول ۴-۸.</w:t>
      </w:r>
      <w:r>
        <w:rPr>
          <w:rFonts w:ascii="B Nazanin" w:hAnsi="B Nazanin" w:cs="B Nazanin" w:hint="cs"/>
          <w:sz w:val="22"/>
          <w:szCs w:val="22"/>
          <w:rtl/>
          <w:lang w:bidi="fa-IR"/>
        </w:rPr>
        <w:t xml:space="preserve"> شاخص‌های مدل مقید میانجی‌گری کامل (مکمل،</w:t>
      </w:r>
      <w:r>
        <w:rPr>
          <w:rFonts w:ascii="Times New Roman" w:hAnsi="Times New Roman" w:cs="Times New Roman"/>
          <w:sz w:val="20"/>
          <w:szCs w:val="20"/>
          <w:lang w:val="en-US"/>
        </w:rPr>
        <w:t xml:space="preserve"> df=</w:t>
      </w:r>
      <w:r>
        <w:rPr>
          <w:rFonts w:ascii="B Nazanin" w:hAnsi="B Nazanin" w:cs="B Nazanin" w:hint="cs"/>
          <w:sz w:val="22"/>
          <w:szCs w:val="22"/>
          <w:rtl/>
          <w:lang w:bidi="fa-IR"/>
        </w:rPr>
        <w:t xml:space="preserve">۱)</w:t>
      </w:r>
    </w:p>
    <w:p>
      <w:pPr>
        <w:bidi/>
      </w:pPr>
      <w:r>
        <w:rPr>
          <w:vanish/>
          <w:rFonts w:ascii="B Nazanin" w:hAnsi="B Nazanin"/>
        </w:rPr>
        <w:fldChar w:fldCharType="begin"/>
      </w:r>
      <w:r>
        <w:rPr>
          <w:vanish/>
          <w:rFonts w:ascii="B Nazanin" w:hAnsi="B Nazanin"/>
        </w:rPr>
        <w:instrText>TC "جدول ۴-۸. شاخص‌های مدل مقید میانجی‌گری کامل (مکمل، df=۱)"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4110"/>
        <w:gridCol w:w="4110"/>
      </w:tblGrid>
      <w:tr>
        <w:tc>
          <w:tcPr>
            <w:tcW w:type="dxa" w:w="4110"/>
            <w:tcBorders>
              <w:bottom w:val="single" w:sz="12" w:space="0" w:color="000000"/>
            </w:tcBorders>
          </w:tcPr>
          <w:p>
            <w:pPr>
              <w:bidi w:val="1"/>
              <w:jc w:val="center"/>
            </w:pPr>
            <w:r/>
            <w:r>
              <w:rPr>
                <w:rFonts w:ascii="Cambria" w:hAnsi="Cambria" w:cs="Cambria"/>
                <w:b/>
                <w:sz w:val="22"/>
              </w:rPr>
              <w:t>شاخص</w:t>
            </w:r>
          </w:p>
        </w:tc>
        <w:tc>
          <w:tcPr>
            <w:tcW w:type="dxa" w:w="4110"/>
            <w:tcBorders>
              <w:bottom w:val="single" w:sz="12" w:space="0" w:color="000000"/>
            </w:tcBorders>
          </w:tcPr>
          <w:p>
            <w:pPr>
              <w:bidi w:val="1"/>
              <w:jc w:val="center"/>
            </w:pPr>
            <w:r/>
            <w:r>
              <w:rPr>
                <w:rFonts w:ascii="Cambria" w:hAnsi="Cambria" w:cs="Cambria"/>
                <w:b/>
                <w:sz w:val="22"/>
              </w:rPr>
              <w:t>مقدار</w:t>
            </w:r>
          </w:p>
        </w:tc>
      </w:tr>
      <w:tr>
        <w:tc>
          <w:tcPr>
            <w:tcW w:type="dxa" w:w="4110"/>
          </w:tcPr>
          <w:p>
            <w:pPr>
              <w:bidi w:val="1"/>
              <w:jc w:val="center"/>
            </w:pPr>
            <w:r/>
            <w:r>
              <w:rPr>
                <w:rFonts w:ascii="Cambria" w:hAnsi="Cambria" w:cs="Cambria"/>
                <w:b w:val="0"/>
                <w:sz w:val="22"/>
              </w:rPr>
              <w:t>خی‌دو</w:t>
            </w:r>
          </w:p>
        </w:tc>
        <w:tc>
          <w:tcPr>
            <w:tcW w:type="dxa" w:w="4110"/>
          </w:tcPr>
          <w:p>
            <w:pPr>
              <w:bidi w:val="1"/>
              <w:jc w:val="center"/>
            </w:pPr>
            <w:r/>
            <w:r>
              <w:rPr>
                <w:rFonts w:ascii="Cambria" w:hAnsi="Cambria" w:cs="Cambria"/>
                <w:b w:val="0"/>
                <w:sz w:val="22"/>
              </w:rPr>
              <w:t>۷٫۷۵</w:t>
            </w:r>
          </w:p>
        </w:tc>
      </w:tr>
      <w:tr>
        <w:tc>
          <w:tcPr>
            <w:tcW w:type="dxa" w:w="4110"/>
          </w:tcPr>
          <w:p>
            <w:pPr>
              <w:bidi w:val="1"/>
              <w:jc w:val="center"/>
            </w:pPr>
            <w:r/>
            <w:r>
              <w:rPr>
                <w:rFonts w:ascii="Cambria" w:hAnsi="Cambria" w:cs="Cambria"/>
                <w:b w:val="0"/>
                <w:sz w:val="22"/>
              </w:rPr>
              <w:t>درجهٔ آزادی</w:t>
            </w:r>
          </w:p>
        </w:tc>
        <w:tc>
          <w:tcPr>
            <w:tcW w:type="dxa" w:w="4110"/>
          </w:tcPr>
          <w:p>
            <w:pPr>
              <w:bidi w:val="1"/>
              <w:jc w:val="center"/>
            </w:pPr>
            <w:r/>
            <w:r>
              <w:rPr>
                <w:rFonts w:ascii="Cambria" w:hAnsi="Cambria" w:cs="Cambria"/>
                <w:b w:val="0"/>
                <w:sz w:val="22"/>
              </w:rPr>
              <w:t>۱</w:t>
            </w:r>
          </w:p>
        </w:tc>
      </w:tr>
      <w:tr>
        <w:tc>
          <w:tcPr>
            <w:tcW w:type="dxa" w:w="4110"/>
          </w:tcPr>
          <w:p>
            <w:pPr>
              <w:jc w:val="center"/>
            </w:pPr>
            <w:r/>
            <w:r>
              <w:rPr>
                <w:rFonts w:ascii="Cambria" w:hAnsi="Cambria" w:cs="Cambria"/>
                <w:b w:val="0"/>
                <w:sz w:val="22"/>
              </w:rPr>
              <w:t>p</w:t>
            </w:r>
          </w:p>
        </w:tc>
        <w:tc>
          <w:tcPr>
            <w:tcW w:type="dxa" w:w="4110"/>
          </w:tcPr>
          <w:p>
            <w:pPr>
              <w:bidi w:val="1"/>
              <w:jc w:val="center"/>
            </w:pPr>
            <w:r/>
            <w:r>
              <w:rPr>
                <w:rFonts w:ascii="Cambria" w:hAnsi="Cambria" w:cs="Cambria"/>
                <w:b w:val="0"/>
                <w:sz w:val="22"/>
              </w:rPr>
              <w:t>p = ۰٫۰۰۵</w:t>
            </w:r>
          </w:p>
        </w:tc>
      </w:tr>
      <w:tr>
        <w:tc>
          <w:tcPr>
            <w:tcW w:type="dxa" w:w="4110"/>
          </w:tcPr>
          <w:p>
            <w:pPr>
              <w:jc w:val="center"/>
            </w:pPr>
            <w:r/>
            <w:r>
              <w:rPr>
                <w:rFonts w:ascii="Cambria" w:hAnsi="Cambria" w:cs="Cambria"/>
                <w:b w:val="0"/>
                <w:sz w:val="22"/>
              </w:rPr>
              <w:t>CFI</w:t>
            </w:r>
          </w:p>
        </w:tc>
        <w:tc>
          <w:tcPr>
            <w:tcW w:type="dxa" w:w="4110"/>
          </w:tcPr>
          <w:p>
            <w:pPr>
              <w:bidi w:val="1"/>
              <w:jc w:val="center"/>
            </w:pPr>
            <w:r/>
            <w:r>
              <w:rPr>
                <w:rFonts w:ascii="Cambria" w:hAnsi="Cambria" w:cs="Cambria"/>
                <w:b w:val="0"/>
                <w:sz w:val="22"/>
              </w:rPr>
              <w:t>۰٫۹۱۳</w:t>
            </w:r>
          </w:p>
        </w:tc>
      </w:tr>
      <w:tr>
        <w:tc>
          <w:tcPr>
            <w:tcW w:type="dxa" w:w="4110"/>
          </w:tcPr>
          <w:p>
            <w:pPr>
              <w:jc w:val="center"/>
            </w:pPr>
            <w:r/>
            <w:r>
              <w:rPr>
                <w:rFonts w:ascii="Cambria" w:hAnsi="Cambria" w:cs="Cambria"/>
                <w:b w:val="0"/>
                <w:sz w:val="22"/>
              </w:rPr>
              <w:t>TLI</w:t>
            </w:r>
          </w:p>
        </w:tc>
        <w:tc>
          <w:tcPr>
            <w:tcW w:type="dxa" w:w="4110"/>
          </w:tcPr>
          <w:p>
            <w:pPr>
              <w:bidi w:val="1"/>
              <w:jc w:val="center"/>
            </w:pPr>
            <w:r/>
            <w:r>
              <w:rPr>
                <w:rFonts w:ascii="Cambria" w:hAnsi="Cambria" w:cs="Cambria"/>
                <w:b w:val="0"/>
                <w:sz w:val="22"/>
              </w:rPr>
              <w:t>۰٫۷۴۰</w:t>
            </w:r>
          </w:p>
        </w:tc>
      </w:tr>
      <w:tr>
        <w:tc>
          <w:tcPr>
            <w:tcW w:type="dxa" w:w="4110"/>
          </w:tcPr>
          <w:p>
            <w:pPr>
              <w:jc w:val="center"/>
            </w:pPr>
            <w:r/>
            <w:r>
              <w:rPr>
                <w:rFonts w:ascii="Cambria" w:hAnsi="Cambria" w:cs="Cambria"/>
                <w:b w:val="0"/>
                <w:sz w:val="22"/>
              </w:rPr>
              <w:t>RMSEA</w:t>
            </w:r>
          </w:p>
        </w:tc>
        <w:tc>
          <w:tcPr>
            <w:tcW w:type="dxa" w:w="4110"/>
          </w:tcPr>
          <w:p>
            <w:pPr>
              <w:bidi w:val="1"/>
              <w:jc w:val="center"/>
            </w:pPr>
            <w:r/>
            <w:r>
              <w:rPr>
                <w:rFonts w:ascii="Cambria" w:hAnsi="Cambria" w:cs="Cambria"/>
                <w:b w:val="0"/>
                <w:sz w:val="22"/>
              </w:rPr>
              <w:t>۰٫۱۹۲</w:t>
            </w:r>
          </w:p>
        </w:tc>
      </w:tr>
      <w:tr>
        <w:tc>
          <w:tcPr>
            <w:tcW w:type="dxa" w:w="4110"/>
          </w:tcPr>
          <w:p>
            <w:pPr>
              <w:jc w:val="center"/>
            </w:pPr>
            <w:r/>
            <w:r>
              <w:rPr>
                <w:rFonts w:ascii="Cambria" w:hAnsi="Cambria" w:cs="Cambria"/>
                <w:b w:val="0"/>
                <w:sz w:val="22"/>
              </w:rPr>
              <w:t>SRMR</w:t>
            </w:r>
          </w:p>
        </w:tc>
        <w:tc>
          <w:tcPr>
            <w:tcW w:type="dxa" w:w="4110"/>
          </w:tcPr>
          <w:p>
            <w:pPr>
              <w:bidi w:val="1"/>
              <w:jc w:val="center"/>
            </w:pPr>
            <w:r/>
            <w:r>
              <w:rPr>
                <w:rFonts w:ascii="Cambria" w:hAnsi="Cambria" w:cs="Cambria"/>
                <w:b w:val="0"/>
                <w:sz w:val="22"/>
              </w:rPr>
              <w:t>۰٫۰۶۸</w:t>
            </w:r>
          </w:p>
        </w:tc>
      </w:tr>
    </w:tbl>
    <w:p>
      <w:pPr>
        <w:bidi w:val="1"/>
        <w:spacing w:lineRule="exact" w:line="580" w:after="0"/>
        <w:jc w:val="both"/>
      </w:pPr>
      <w:r>
        <w:rPr>
          <w:rFonts w:ascii="B Nazanin" w:hAnsi="B Nazanin" w:cs="B Nazanin" w:hint="cs"/>
          <w:sz w:val="24"/>
          <w:szCs w:val="24"/>
          <w:rtl/>
          <w:lang w:bidi="fa-IR"/>
        </w:rPr>
        <w:t xml:space="preserve">یادداشت: مدل مقید است و تفسیر آن تکمیلی است؛ آزمون فرضیه اول بر مبنای فاصله اطمینان خودگردان‌سازی انجام شده است.</w:t>
      </w:r>
    </w:p>
    <w:p>
      <w:pPr>
        <w:bidi w:val="1"/>
        <w:spacing w:lineRule="exact" w:line="580" w:after="0"/>
        <w:jc w:val="both"/>
      </w:pPr>
      <w:r>
        <w:rPr>
          <w:rFonts w:ascii="B Nazanin" w:hAnsi="B Nazanin" w:cs="B Nazanin" w:hint="cs"/>
          <w:sz w:val="24"/>
          <w:szCs w:val="24"/>
          <w:rtl/>
          <w:lang w:bidi="fa-IR"/>
        </w:rPr>
        <w:t xml:space="preserve">خی‌دوی مدل مقید معنادار شد (خی‌دو = ۷٫۷۵ با ۱ درجه آزادی؛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یعنی قید «صفر بودن اثر مستقیم» با داده‌ها سازگار نیست و مدل میانجی‌گری کامل رد می‌شود. این یافته با نتیجه بخش ۴-۸ همسوست، جایی که اثر مستقیم پس از کنترل میانجی همچنان معنادار بود. سایر شاخص‌ها</w:t>
      </w:r>
      <w:r>
        <w:rPr>
          <w:rFonts w:ascii="Times New Roman" w:hAnsi="Times New Roman" w:cs="Times New Roman"/>
          <w:sz w:val="22"/>
          <w:szCs w:val="22"/>
          <w:lang w:val="en-US"/>
        </w:rPr>
        <w:t xml:space="preserve"> (CFI = </w:t>
      </w:r>
      <w:r>
        <w:rPr>
          <w:rFonts w:ascii="B Nazanin" w:hAnsi="B Nazanin" w:cs="B Nazanin" w:hint="cs"/>
          <w:sz w:val="24"/>
          <w:szCs w:val="24"/>
          <w:rtl/>
          <w:lang w:bidi="fa-IR"/>
        </w:rPr>
        <w:t xml:space="preserve">۰٫۹۱۳؛</w:t>
      </w:r>
      <w:r>
        <w:rPr>
          <w:rFonts w:ascii="Times New Roman" w:hAnsi="Times New Roman" w:cs="Times New Roman"/>
          <w:sz w:val="22"/>
          <w:szCs w:val="22"/>
          <w:lang w:val="en-US"/>
        </w:rPr>
        <w:t xml:space="preserve"> TLI = </w:t>
      </w:r>
      <w:r>
        <w:rPr>
          <w:rFonts w:ascii="B Nazanin" w:hAnsi="B Nazanin" w:cs="B Nazanin" w:hint="cs"/>
          <w:sz w:val="24"/>
          <w:szCs w:val="24"/>
          <w:rtl/>
          <w:lang w:bidi="fa-IR"/>
        </w:rPr>
        <w:t xml:space="preserve">۰٫۷۴۰؛</w:t>
      </w:r>
      <w:r>
        <w:rPr>
          <w:rFonts w:ascii="Times New Roman" w:hAnsi="Times New Roman" w:cs="Times New Roman"/>
          <w:sz w:val="22"/>
          <w:szCs w:val="22"/>
          <w:lang w:val="en-US"/>
        </w:rPr>
        <w:t xml:space="preserve"> RMSEA = </w:t>
      </w:r>
      <w:r>
        <w:rPr>
          <w:rFonts w:ascii="B Nazanin" w:hAnsi="B Nazanin" w:cs="B Nazanin" w:hint="cs"/>
          <w:sz w:val="24"/>
          <w:szCs w:val="24"/>
          <w:rtl/>
          <w:lang w:bidi="fa-IR"/>
        </w:rPr>
        <w:t xml:space="preserve">۰٫۱۹۲؛</w:t>
      </w:r>
      <w:r>
        <w:rPr>
          <w:rFonts w:ascii="Times New Roman" w:hAnsi="Times New Roman" w:cs="Times New Roman"/>
          <w:sz w:val="22"/>
          <w:szCs w:val="22"/>
          <w:lang w:val="en-US"/>
        </w:rPr>
        <w:t xml:space="preserve"> SRMR = </w:t>
      </w:r>
      <w:r>
        <w:rPr>
          <w:rFonts w:ascii="B Nazanin" w:hAnsi="B Nazanin" w:cs="B Nazanin" w:hint="cs"/>
          <w:sz w:val="24"/>
          <w:szCs w:val="24"/>
          <w:rtl/>
          <w:lang w:bidi="fa-IR"/>
        </w:rPr>
        <w:t xml:space="preserve">۰٫۰۶۸) نیز نشان می‌دهند که حذف اثر مستقیم، برازش را تضعیف می‌کند. تأکید می‌شود که این تحلیل صرفاً تکمیلی است و مبنای داوری درباره فرضیه اصلی، فاصله اطمینان خودگردان‌سازی در بخش ۴-۸ است.</w:t>
      </w:r>
    </w:p>
    <w:p>
      <w:pPr>
        <w:pStyle w:val="Heading2"/>
        <w:bidi w:val="1"/>
        <w:jc w:val="right"/>
        <w:outlineLvl w:val="1"/>
      </w:pPr>
      <w:r>
        <w:rPr>
          <w:rFonts w:ascii="B Nazanin" w:hAnsi="B Nazanin" w:cs="B Nazanin" w:hint="cs"/>
          <w:b/>
          <w:bCs/>
          <w:sz w:val="28"/>
          <w:szCs w:val="28"/>
          <w:rtl/>
          <w:lang w:bidi="fa-IR"/>
        </w:rPr>
        <w:t xml:space="preserve">۴-۱۰. جمع‌بندی یافته‌ها</w:t>
      </w:r>
    </w:p>
    <w:p>
      <w:pPr>
        <w:bidi w:val="1"/>
        <w:spacing w:lineRule="exact" w:line="580" w:after="0"/>
        <w:jc w:val="both"/>
      </w:pPr>
      <w:r>
        <w:rPr>
          <w:rFonts w:ascii="B Nazanin" w:hAnsi="B Nazanin" w:cs="B Nazanin" w:hint="cs"/>
          <w:sz w:val="24"/>
          <w:szCs w:val="24"/>
          <w:rtl/>
          <w:lang w:bidi="fa-IR"/>
        </w:rPr>
        <w:t xml:space="preserve">جدول ۴-۹ نتایج آزمون هر چهار فرضیه را خلاصه می‌کند.</w:t>
      </w:r>
    </w:p>
    <w:p>
      <w:pPr>
        <w:bidi w:val="1"/>
        <w:spacing w:lineRule="exact" w:line="580" w:before="180" w:after="40"/>
        <w:jc w:val="center"/>
      </w:pPr>
      <w:r>
        <w:rPr>
          <w:rFonts w:ascii="B Nazanin" w:hAnsi="B Nazanin" w:cs="B Nazanin" w:hint="cs"/>
          <w:b/>
          <w:bCs/>
          <w:sz w:val="22"/>
          <w:szCs w:val="22"/>
          <w:rtl/>
          <w:lang w:bidi="fa-IR"/>
        </w:rPr>
        <w:t xml:space="preserve">جدول ۴-۹.</w:t>
      </w:r>
      <w:r>
        <w:rPr>
          <w:rFonts w:ascii="B Nazanin" w:hAnsi="B Nazanin" w:cs="B Nazanin" w:hint="cs"/>
          <w:sz w:val="22"/>
          <w:szCs w:val="22"/>
          <w:rtl/>
          <w:lang w:bidi="fa-IR"/>
        </w:rPr>
        <w:t xml:space="preserve"> خلاصه نتایج آزمون فرضیه‌ها</w:t>
      </w:r>
    </w:p>
    <w:p>
      <w:pPr>
        <w:bidi/>
      </w:pPr>
      <w:r>
        <w:rPr>
          <w:vanish/>
          <w:rFonts w:ascii="B Nazanin" w:hAnsi="B Nazanin"/>
        </w:rPr>
        <w:fldChar w:fldCharType="begin"/>
      </w:r>
      <w:r>
        <w:rPr>
          <w:vanish/>
          <w:rFonts w:ascii="B Nazanin" w:hAnsi="B Nazanin"/>
        </w:rPr>
        <w:instrText>TC "جدول ۴-۹. خلاصه نتایج آزمون فرضیه‌ها" \f T \l 1</w:instrText>
      </w:r>
      <w:r>
        <w:rPr>
          <w:vanish/>
          <w:rFonts w:ascii="B Nazanin" w:hAnsi="B Nazanin"/>
        </w:rPr>
        <w:fldChar w:fldCharType="end"/>
      </w:r>
    </w:p>
    <w:tbl>
      <w:tblPr>
        <w:tblW w:type="auto" w:w="0"/>
        <w:tblLook w:firstColumn="1" w:firstRow="1" w:lastColumn="0" w:lastRow="0" w:noHBand="0" w:noVBand="1" w:val="04A0"/>
        <w:tblBorders>
          <w:top w:val="single" w:sz="12" w:space="0" w:color="000000"/>
          <w:bottom w:val="single" w:sz="12" w:space="0" w:color="000000"/>
        </w:tblBorders>
        <w:bidiVisual/>
      </w:tblPr>
      <w:tblGrid>
        <w:gridCol w:w="2740"/>
        <w:gridCol w:w="2740"/>
        <w:gridCol w:w="2740"/>
      </w:tblGrid>
      <w:tr>
        <w:tc>
          <w:tcPr>
            <w:tcW w:type="dxa" w:w="2740"/>
            <w:tcBorders>
              <w:bottom w:val="single" w:sz="12" w:space="0" w:color="000000"/>
            </w:tcBorders>
          </w:tcPr>
          <w:p>
            <w:pPr>
              <w:bidi w:val="1"/>
              <w:jc w:val="center"/>
            </w:pPr>
            <w:r/>
            <w:r>
              <w:rPr>
                <w:rFonts w:ascii="Cambria" w:hAnsi="Cambria" w:cs="Cambria"/>
                <w:b/>
                <w:sz w:val="22"/>
              </w:rPr>
              <w:t>فرضیه</w:t>
            </w:r>
          </w:p>
        </w:tc>
        <w:tc>
          <w:tcPr>
            <w:tcW w:type="dxa" w:w="2740"/>
            <w:tcBorders>
              <w:bottom w:val="single" w:sz="12" w:space="0" w:color="000000"/>
            </w:tcBorders>
          </w:tcPr>
          <w:p>
            <w:pPr>
              <w:bidi w:val="1"/>
              <w:jc w:val="center"/>
            </w:pPr>
            <w:r/>
            <w:r>
              <w:rPr>
                <w:rFonts w:ascii="Cambria" w:hAnsi="Cambria" w:cs="Cambria"/>
                <w:b/>
                <w:sz w:val="22"/>
              </w:rPr>
              <w:t>آزمون</w:t>
            </w:r>
          </w:p>
        </w:tc>
        <w:tc>
          <w:tcPr>
            <w:tcW w:type="dxa" w:w="2740"/>
            <w:tcBorders>
              <w:bottom w:val="single" w:sz="12" w:space="0" w:color="000000"/>
            </w:tcBorders>
          </w:tcPr>
          <w:p>
            <w:pPr>
              <w:bidi w:val="1"/>
              <w:jc w:val="center"/>
            </w:pPr>
            <w:r/>
            <w:r>
              <w:rPr>
                <w:rFonts w:ascii="Cambria" w:hAnsi="Cambria" w:cs="Cambria"/>
                <w:b/>
                <w:sz w:val="22"/>
              </w:rPr>
              <w:t>نتیجه</w:t>
            </w:r>
          </w:p>
        </w:tc>
      </w:tr>
      <w:tr>
        <w:tc>
          <w:tcPr>
            <w:tcW w:type="dxa" w:w="2740"/>
          </w:tcPr>
          <w:p>
            <w:pPr>
              <w:bidi w:val="1"/>
              <w:jc w:val="center"/>
            </w:pPr>
            <w:r/>
            <w:r>
              <w:rPr>
                <w:rFonts w:ascii="Cambria" w:hAnsi="Cambria" w:cs="Cambria"/>
                <w:b w:val="0"/>
                <w:sz w:val="22"/>
              </w:rPr>
              <w:t>فرضیهٔ اول (اصلی): میانجی‌گری طرحواره‌ها</w:t>
            </w:r>
          </w:p>
        </w:tc>
        <w:tc>
          <w:tcPr>
            <w:tcW w:type="dxa" w:w="2740"/>
          </w:tcPr>
          <w:p>
            <w:pPr>
              <w:bidi w:val="1"/>
              <w:jc w:val="center"/>
            </w:pPr>
            <w:r/>
            <w:r>
              <w:rPr>
                <w:rFonts w:ascii="Cambria" w:hAnsi="Cambria" w:cs="Cambria"/>
                <w:b w:val="0"/>
                <w:sz w:val="22"/>
              </w:rPr>
              <w:t>تحلیل میانجی‌گری</w:t>
            </w:r>
          </w:p>
        </w:tc>
        <w:tc>
          <w:tcPr>
            <w:tcW w:type="dxa" w:w="2740"/>
          </w:tcPr>
          <w:p>
            <w:pPr>
              <w:bidi w:val="1"/>
              <w:jc w:val="center"/>
            </w:pPr>
            <w:r/>
            <w:r>
              <w:rPr>
                <w:rFonts w:ascii="Cambria" w:hAnsi="Cambria" w:cs="Cambria"/>
                <w:b w:val="0"/>
                <w:sz w:val="22"/>
              </w:rPr>
              <w:t>تأیید شد (میانجی‌گری جزئی)</w:t>
            </w:r>
          </w:p>
        </w:tc>
      </w:tr>
      <w:tr>
        <w:tc>
          <w:tcPr>
            <w:tcW w:type="dxa" w:w="2740"/>
          </w:tcPr>
          <w:p>
            <w:pPr>
              <w:bidi w:val="1"/>
              <w:jc w:val="center"/>
            </w:pPr>
            <w:r/>
            <w:r>
              <w:rPr>
                <w:rFonts w:ascii="Cambria" w:hAnsi="Cambria" w:cs="Cambria"/>
                <w:b w:val="0"/>
                <w:sz w:val="22"/>
              </w:rPr>
              <w:t>فرضیهٔ دوم: رابطهٔ اضطراب با رفتار پرخطر</w:t>
            </w:r>
          </w:p>
        </w:tc>
        <w:tc>
          <w:tcPr>
            <w:tcW w:type="dxa" w:w="2740"/>
          </w:tcPr>
          <w:p>
            <w:pPr>
              <w:bidi w:val="1"/>
              <w:jc w:val="center"/>
            </w:pPr>
            <w:r/>
            <w:r>
              <w:rPr>
                <w:rFonts w:ascii="Cambria" w:hAnsi="Cambria" w:cs="Cambria"/>
                <w:b w:val="0"/>
                <w:sz w:val="22"/>
              </w:rPr>
              <w:t>همبستگی پیرسون</w:t>
            </w:r>
          </w:p>
        </w:tc>
        <w:tc>
          <w:tcPr>
            <w:tcW w:type="dxa" w:w="2740"/>
          </w:tcPr>
          <w:p>
            <w:pPr>
              <w:bidi w:val="1"/>
              <w:jc w:val="center"/>
            </w:pPr>
            <w:r/>
            <w:r>
              <w:rPr>
                <w:rFonts w:ascii="Cambria" w:hAnsi="Cambria" w:cs="Cambria"/>
                <w:b w:val="0"/>
                <w:sz w:val="22"/>
              </w:rPr>
              <w:t>تأیید شد</w:t>
            </w:r>
          </w:p>
        </w:tc>
      </w:tr>
      <w:tr>
        <w:tc>
          <w:tcPr>
            <w:tcW w:type="dxa" w:w="2740"/>
          </w:tcPr>
          <w:p>
            <w:pPr>
              <w:bidi w:val="1"/>
              <w:jc w:val="center"/>
            </w:pPr>
            <w:r/>
            <w:r>
              <w:rPr>
                <w:rFonts w:ascii="Cambria" w:hAnsi="Cambria" w:cs="Cambria"/>
                <w:b w:val="0"/>
                <w:sz w:val="22"/>
              </w:rPr>
              <w:t>فرضیهٔ سوم: رابطهٔ اضطراب با طرحواره‌ها</w:t>
            </w:r>
          </w:p>
        </w:tc>
        <w:tc>
          <w:tcPr>
            <w:tcW w:type="dxa" w:w="2740"/>
          </w:tcPr>
          <w:p>
            <w:pPr>
              <w:bidi w:val="1"/>
              <w:jc w:val="center"/>
            </w:pPr>
            <w:r/>
            <w:r>
              <w:rPr>
                <w:rFonts w:ascii="Cambria" w:hAnsi="Cambria" w:cs="Cambria"/>
                <w:b w:val="0"/>
                <w:sz w:val="22"/>
              </w:rPr>
              <w:t>همبستگی پیرسون</w:t>
            </w:r>
          </w:p>
        </w:tc>
        <w:tc>
          <w:tcPr>
            <w:tcW w:type="dxa" w:w="2740"/>
          </w:tcPr>
          <w:p>
            <w:pPr>
              <w:bidi w:val="1"/>
              <w:jc w:val="center"/>
            </w:pPr>
            <w:r/>
            <w:r>
              <w:rPr>
                <w:rFonts w:ascii="Cambria" w:hAnsi="Cambria" w:cs="Cambria"/>
                <w:b w:val="0"/>
                <w:sz w:val="22"/>
              </w:rPr>
              <w:t>تأیید شد</w:t>
            </w:r>
          </w:p>
        </w:tc>
      </w:tr>
      <w:tr>
        <w:tc>
          <w:tcPr>
            <w:tcW w:type="dxa" w:w="2740"/>
          </w:tcPr>
          <w:p>
            <w:pPr>
              <w:bidi w:val="1"/>
              <w:jc w:val="center"/>
            </w:pPr>
            <w:r/>
            <w:r>
              <w:rPr>
                <w:rFonts w:ascii="Cambria" w:hAnsi="Cambria" w:cs="Cambria"/>
                <w:b w:val="0"/>
                <w:sz w:val="22"/>
              </w:rPr>
              <w:t>فرضیهٔ چهارم: رابطهٔ طرحواره‌ها با رفتار پرخطر</w:t>
            </w:r>
          </w:p>
        </w:tc>
        <w:tc>
          <w:tcPr>
            <w:tcW w:type="dxa" w:w="2740"/>
          </w:tcPr>
          <w:p>
            <w:pPr>
              <w:bidi w:val="1"/>
              <w:jc w:val="center"/>
            </w:pPr>
            <w:r/>
            <w:r>
              <w:rPr>
                <w:rFonts w:ascii="Cambria" w:hAnsi="Cambria" w:cs="Cambria"/>
                <w:b w:val="0"/>
                <w:sz w:val="22"/>
              </w:rPr>
              <w:t>همبستگی پیرسون</w:t>
            </w:r>
          </w:p>
        </w:tc>
        <w:tc>
          <w:tcPr>
            <w:tcW w:type="dxa" w:w="2740"/>
          </w:tcPr>
          <w:p>
            <w:pPr>
              <w:bidi w:val="1"/>
              <w:jc w:val="center"/>
            </w:pPr>
            <w:r/>
            <w:r>
              <w:rPr>
                <w:rFonts w:ascii="Cambria" w:hAnsi="Cambria" w:cs="Cambria"/>
                <w:b w:val="0"/>
                <w:sz w:val="22"/>
              </w:rPr>
              <w:t>تأیید شد</w:t>
            </w:r>
          </w:p>
        </w:tc>
      </w:tr>
    </w:tbl>
    <w:p>
      <w:pPr>
        <w:bidi w:val="1"/>
        <w:spacing w:lineRule="exact" w:line="580" w:after="0"/>
        <w:jc w:val="both"/>
      </w:pPr>
      <w:r>
        <w:rPr>
          <w:rFonts w:ascii="B Nazanin" w:hAnsi="B Nazanin" w:cs="B Nazanin" w:hint="cs"/>
          <w:sz w:val="24"/>
          <w:szCs w:val="24"/>
          <w:rtl/>
          <w:lang w:bidi="fa-IR"/>
        </w:rPr>
        <w:t xml:space="preserve">در مجموع، هر چهار فرضیه پژوهش تأیید شدند. یافته‌ها نشان می‌دهند که اضطراب صفتی هم به‌طور مستقیم و هم به‌طور غیرمستقیم (از مسیر طرحواره‌های ناسازگار اولیه) با رفتارهای مالی پرخطر پیوند دارد و بخش معناداری از این پیوند از مسیر میانجی می‌گذرد. در تفسیر این یافته‌ها دو احتیاط لازم است: نخست، طرح پژوهش مقطعی است و هیچ‌یک از این روابط، رابطه علّی را اثبات نمی‌کنند؛ دوم، حجم نمونه نهایی (۱۸۵ نفر) از حداقل ۲۰۰ نفرِ مورد نیاز برای مدل‌سازی معادلات ساختاری کمتر است، از این رو نتایج بخش ۴-۹ جنبه تکمیلی و مقدماتی دارند و تعمیم آن‌ها نیازمند نمونه بزرگ‌تر است.</w:t>
      </w:r>
    </w:p>
    <w:sectPr w:rsidR="00FC693F" w:rsidRPr="0006063C" w:rsidSect="00034616">
      <w:footerReference w:type="default" r:id="rId9"/>
      <w:footnotePr>
        <w:numFmt w:val="hindi"/>
        <w:numRestart w:val="eachPage"/>
      </w:footnotePr>
      <w:pgSz w:w="11906" w:h="16838"/>
      <w:pgMar w:top="1701" w:right="2268" w:bottom="1417" w:left="1417" w:header="720" w:footer="567" w:gutter="0"/>
      <w:cols w:space="720"/>
      <w:bidi/>
      <w:docGrid w:linePitch="360"/>
    </w:sectPr>
    <w:p>
      <w:pPr>
        <w:sectPr>
          <w:footerReference w:type="default" r:id="rId18"/>
          <w:pgNumType w:fmt="hindi"/>
          <w:titlePg/>
        </w:sectPr>
      </w:pPr>
    </w:p>
    <w:p>
      <w:pPr>
        <w:bidi w:val="1"/>
        <w:spacing w:lineRule="exact" w:line="580" w:before="120" w:after="240"/>
        <w:jc w:val="center"/>
        <w:outlineLvl w:val="0"/>
      </w:pPr>
      <w:r>
        <w:rPr>
          <w:rFonts w:ascii="B Nazanin" w:hAnsi="B Nazanin" w:cs="B Nazanin" w:hint="cs"/>
          <w:b/>
          <w:bCs/>
          <w:sz w:val="56"/>
          <w:szCs w:val="56"/>
          <w:rtl/>
          <w:lang w:bidi="fa-IR"/>
        </w:rPr>
        <w:t xml:space="preserve">فصل پنجم: بحث و نتیجه‌گیری</w:t>
      </w:r>
    </w:p>
    <w:p>
      <w:pPr>
        <w:bidi/>
        <w:jc w:val="center"/>
        <w:spacing w:line="580" w:lineRule="exact"/>
      </w:pPr>
      <w:r>
        <w:rPr>
          <w:rFonts w:ascii="B Nazanin" w:hAnsi="B Nazanin" w:cs="B Nazanin"/>
          <w:i/>
          <w:iCs/>
          <w:sz w:val="22"/>
          <w:szCs w:val="22"/>
        </w:rPr>
        <w:t>این فصل نمونه آموزشی مبتنی بر داده شبیه‌سازی‌شده است و صرفاً برای نمایش روش تحلیل آماری تهیه شده است. متن نهایی فصل پس از تحلیل داده‌های واقعی پژوهش بازنویسی خواهد شد.</w:t>
      </w:r>
    </w:p>
    <w:p>
      <w:pPr>
        <w:pStyle w:val="Heading2"/>
        <w:bidi w:val="1"/>
        <w:jc w:val="right"/>
        <w:outlineLvl w:val="1"/>
      </w:pPr>
      <w:r>
        <w:rPr>
          <w:rFonts w:ascii="B Nazanin" w:hAnsi="B Nazanin" w:cs="B Nazanin" w:hint="cs"/>
          <w:b/>
          <w:bCs/>
          <w:sz w:val="28"/>
          <w:szCs w:val="28"/>
          <w:rtl/>
          <w:lang w:bidi="fa-IR"/>
        </w:rPr>
        <w:t xml:space="preserve">۵-۱. مقدمه</w:t>
      </w:r>
    </w:p>
    <w:p>
      <w:pPr>
        <w:bidi w:val="1"/>
        <w:spacing w:lineRule="exact" w:line="580" w:after="0"/>
        <w:jc w:val="both"/>
      </w:pPr>
      <w:r>
        <w:rPr>
          <w:rFonts w:ascii="B Nazanin" w:hAnsi="B Nazanin" w:cs="B Nazanin" w:hint="cs"/>
          <w:sz w:val="24"/>
          <w:szCs w:val="24"/>
          <w:rtl/>
          <w:lang w:bidi="fa-IR"/>
        </w:rPr>
        <w:t xml:space="preserve">فصل پنجم به بحث درباره یافته‌های پژوهش، تبیین آن‌ها در پرتو مبانی نظری و پیشینه پژوهشی، و استخراج نتیجه‌گیری‌ها، کاربردها، محدودیت‌ها و پیشنهادها اختصاص دارد. در فصل چهارم، چهار فرضیه پژوهش — یک فرضیه اصلی درباره نقش میانجی طرحواره‌های ناسازگار اولیه در رابطه اضطراب صفتی با رفتارهای مالی پرخطر و سه فرضیه فرعی درباره روابط دوتایی این سه متغیر — آزمون شدند و هر چهار فرضیه تأیید گردیدند. کار فصل حاضر آن است که این یافته‌ها را از سطح گزارش آماری به سطح تفسیر نظری ارتقا دهد: هر یافته در کنار شواهد هم‌سو و ناهمسوی پیشینه نهاده می‌شود، سازوکار احتمالی آن با اتکا به نظریه‌های مرور شده در فصل دوم تبیین می‌گردد و پیامدهای نظری و کاربردی آن استخراج می‌شود.</w:t>
      </w:r>
    </w:p>
    <w:p>
      <w:pPr>
        <w:bidi w:val="1"/>
        <w:spacing w:lineRule="exact" w:line="580" w:after="0"/>
        <w:jc w:val="both"/>
      </w:pPr>
      <w:r>
        <w:rPr>
          <w:rFonts w:ascii="B Nazanin" w:hAnsi="B Nazanin" w:cs="B Nazanin" w:hint="cs"/>
          <w:sz w:val="24"/>
          <w:szCs w:val="24"/>
          <w:rtl/>
          <w:lang w:bidi="fa-IR"/>
        </w:rPr>
        <w:t xml:space="preserve">چارچوب هدایت‌کننده این بحث، همان مدل مفهومی پژوهش است: زنجیره‌ای که در آن اضطراب صفتی به‌مثابه ویژگی زمینه‌ای، طرحواره‌های ناسازگار اولیه به‌مثابه سازوکار شناختی-هیجانی، و رفتارهای مالی پرخطر به‌مثابه پیامد رفتاری در نظر گرفته می‌شوند و پیوند آن‌ها بر منطق مدل آسیب‌پذیری-استرس استوار است (زاکرمن، ۱۹۹۹). در این چارچوب، اضطراب صفتی (اسپیلبرگر، ۱۹۸۳) زمینه هیجانی پایداری فراهم می‌کند که در آن الگوهای شناختی ناسازگار شکل می‌گیرند و تداوم می‌یابند (بک، ۱۹۷۶؛ یانگ و همکاران، ۲۰۰۳) و این الگوها خود تصمیم‌گیری در موقعیت‌های نامطمئن را تحت تأثیر قرار می‌دهند (کانمن و تورسکی، ۱۹۷۹). از آنجا که طرح پژوهش مقطعی و همبستگی است، زبان این فصل آگاهانه غیرعلی است و یافته‌ها به‌مثابه روابط سازگار با مدل نظری خوانده می‌شوند، نه شاهد قطعی روابط علت و معلولی.</w:t>
      </w:r>
    </w:p>
    <w:p>
      <w:pPr>
        <w:bidi w:val="1"/>
        <w:spacing w:lineRule="exact" w:line="580" w:after="0"/>
        <w:jc w:val="both"/>
      </w:pPr>
      <w:r>
        <w:rPr>
          <w:rFonts w:ascii="B Nazanin" w:hAnsi="B Nazanin" w:cs="B Nazanin" w:hint="cs"/>
          <w:sz w:val="24"/>
          <w:szCs w:val="24"/>
          <w:rtl/>
          <w:lang w:bidi="fa-IR"/>
        </w:rPr>
        <w:t xml:space="preserve">نقشه راه فصل چنین است: بخش ۵-۲ تصویر فشرده‌ای از مسئله، روش و یافته‌های پژوهش به دست می‌دهد؛ بخش ۵-۳ یافته هر فرضیه را جداگانه بحث و تبیین می‌کند. بخش ۵-۴ نتیجه‌گیری کلی، بخش ۵-۵ کاربردهای عملی، بخش ۵-۶ محدودیت‌ها و بخش ۵-۷ پیشنهادهای پژوهشی را ارائه می‌دهند. بخش ۵-۸ نیز با جمع‌بندی نهایی فصل را می‌بندد.</w:t>
      </w:r>
    </w:p>
    <w:p>
      <w:pPr>
        <w:pStyle w:val="Heading2"/>
        <w:bidi w:val="1"/>
        <w:jc w:val="right"/>
        <w:outlineLvl w:val="1"/>
      </w:pPr>
      <w:r>
        <w:rPr>
          <w:rFonts w:ascii="B Nazanin" w:hAnsi="B Nazanin" w:cs="B Nazanin" w:hint="cs"/>
          <w:b/>
          <w:bCs/>
          <w:sz w:val="28"/>
          <w:szCs w:val="28"/>
          <w:rtl/>
          <w:lang w:bidi="fa-IR"/>
        </w:rPr>
        <w:t xml:space="preserve">۵-۲. خلاصه یافته‌ها</w:t>
      </w:r>
    </w:p>
    <w:p>
      <w:pPr>
        <w:bidi w:val="1"/>
        <w:spacing w:lineRule="exact" w:line="580" w:after="0"/>
        <w:jc w:val="both"/>
      </w:pPr>
      <w:r>
        <w:rPr>
          <w:rFonts w:ascii="B Nazanin" w:hAnsi="B Nazanin" w:cs="B Nazanin" w:hint="cs"/>
          <w:sz w:val="24"/>
          <w:szCs w:val="24"/>
          <w:rtl/>
          <w:lang w:bidi="fa-IR"/>
        </w:rPr>
        <w:t xml:space="preserve">مسئله پژوهش، تبیین سازوکار پیوند میان اضطراب صفتی و رفتارهای مالی پرخطر در معامله‌گران بازارهای مالی بود و نقش میانجی طرحواره‌های ناسازگار اولیه در این رابطه آزمون شد. داده‌ها از ۱۸۵ معامله‌گر معتبر (از ۲۴۳ پاسخ خام، پس از حذف ۵۸ پاسخ در شش مرحله غربالگری) گردآوری شد. میانگین سنی نمونه ۳۶٫۳ سال بود، دوسوم آن را مردان تشکیل می‌دادند و بازار اصلی فعالیت ۴۲٫۷ درصد بورس بود. ابزارهای پژوهش عبارت بودند از فرم اضطراب صفتی اسپیلبرگر (۲۰ گویه با ۸ گویه معکوس، دامنه ۲۰ تا ۸۰)، فرم کوتاه طرحواره یانگ (۷۵ گویه در ۱۵ طرحواره ۵ گویه‌ای بدون گویه معکوس، دامنه ۷۵ تا ۴۵۰) و مقیاس ۱۳ سؤالی تحمل ریسک گرابل و لایتون (دامنه ۱۳ تا ۵۲) که نمره بالاتر در آن نشان‌دهنده تحمل ریسک بیشتر و تمایل بالاتر به رفتار پرخطر است.</w:t>
      </w:r>
    </w:p>
    <w:p>
      <w:pPr>
        <w:bidi w:val="1"/>
        <w:spacing w:lineRule="exact" w:line="580" w:after="0"/>
        <w:jc w:val="both"/>
      </w:pPr>
      <w:r>
        <w:rPr>
          <w:rFonts w:ascii="B Nazanin" w:hAnsi="B Nazanin" w:cs="B Nazanin" w:hint="cs"/>
          <w:sz w:val="24"/>
          <w:szCs w:val="24"/>
          <w:rtl/>
          <w:lang w:bidi="fa-IR"/>
        </w:rPr>
        <w:t xml:space="preserve">میانگین اضطراب صفتی ۴۵٫۳۶ (انحراف معیار ۱۱٫۴۲)، میانگین طرحواره‌ها ۲۱۸٫۱۱ (انحراف معیار ۴۰٫۷۸) و میانگین رفتارهای مالی پرخطر ۳۱٫۸۰ (انحراف معیار ۷٫۶۳) بود و هر سه دامنه مشاهده‌شده درون دامنه نظری ابزار مربوطه قرار گرفت. پایایی هر سه ابزار مطلوب بود (آلفای ۰٫۸۸، ۰٫۹۲ و ۰٫۸۲) و پایایی ۱۵ خرده‌مقیاس طرحواره بین ۰٫۶۱ تا ۰٫۷۸ قرار گرفت. پیش‌فرض‌های تحلیل نیز برقرار بودند: هیچ مورد پرت چندمتغیره‌ای دیده نشد (بیشینه ماهالانوبیس ۱۴٫۸۸ در برابر مقدار بحرانی ۱۶٫۲۷)، هم‌خطی نگران‌کننده نبود (عامل تورم واریانس ۱٫۳۴) و پسماندها مستقل بودند (دوربین–واتسون ۱٫۸۱).</w:t>
      </w:r>
    </w:p>
    <w:p>
      <w:pPr>
        <w:bidi w:val="1"/>
        <w:spacing w:lineRule="exact" w:line="580" w:after="0"/>
        <w:jc w:val="both"/>
      </w:pPr>
      <w:r>
        <w:rPr>
          <w:rFonts w:ascii="B Nazanin" w:hAnsi="B Nazanin" w:cs="B Nazanin" w:hint="cs"/>
          <w:sz w:val="24"/>
          <w:szCs w:val="24"/>
          <w:rtl/>
          <w:lang w:bidi="fa-IR"/>
        </w:rPr>
        <w:t xml:space="preserve">هر سه فرضیه فرعی تأیید شدند: رابطه اضطراب صفتی با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رابطه اضطراب صفتی با طرحواره‌های ناسازگار اولیه</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متوسط رو به بزرگ؛ و رابطه طرحواره‌ها با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w:t>
      </w:r>
      <w:r>
        <w:rPr>
          <w:rFonts w:ascii="Times New Roman" w:hAnsi="Times New Roman" w:cs="Times New Roman"/>
          <w:sz w:val="22"/>
          <w:szCs w:val="22"/>
          <w:lang w:val="en-US"/>
        </w:rPr>
        <w:t xml:space="preserve"> p &lt; </w:t>
      </w:r>
      <w:r>
        <w:rPr>
          <w:rFonts w:ascii="B Nazanin" w:hAnsi="B Nazanin" w:cs="B Nazanin" w:hint="cs"/>
          <w:sz w:val="24"/>
          <w:szCs w:val="24"/>
          <w:rtl/>
          <w:lang w:bidi="fa-IR"/>
        </w:rPr>
        <w:t xml:space="preserve">۰٫۰۰۱) با اندازه‌اثر کوچک تا متوسط. فرضیه اصلی نیز تأیید شد: اثر غیرمستقیم اضطراب بر رفتار پرخطر از مسیر طرحواره‌ها برابر ۰٫۰۷۰ بود و فاصله اطمینان ۹۵ درصد آن (۰٫۰۱۱ تا ۰٫۱۳۳) صفر را در بر نداشت؛ چون اثر مستقیم نیز پس از کنترل میانجی معنادار ماند</w:t>
      </w:r>
      <w:r>
        <w:rPr>
          <w:rFonts w:ascii="Times New Roman" w:hAnsi="Times New Roman" w:cs="Times New Roman"/>
          <w:sz w:val="22"/>
          <w:szCs w:val="22"/>
          <w:lang w:val="en-US"/>
        </w:rPr>
        <w:t xml:space="preserve"> (c′ = </w:t>
      </w:r>
      <w:r>
        <w:rPr>
          <w:rFonts w:ascii="B Nazanin" w:hAnsi="B Nazanin" w:cs="B Nazanin" w:hint="cs"/>
          <w:sz w:val="24"/>
          <w:szCs w:val="24"/>
          <w:rtl/>
          <w:lang w:bidi="fa-IR"/>
        </w:rPr>
        <w:t xml:space="preserve">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الگوی به‌دست‌آمده از نوع میانجی‌گری جزئی است و حدود یک‌سوم اثر کل از مسیر میانجی می‌گذرد. تحلیل مسیر تکمیلی با متغیرهای مشاهده‌شده نیز همسو بود: مدل اشباع ضرایب استانداردشده ۰٫۵۰۱، ۰٫۲۰۹ و ۰٫۲۲۲ را نشان داد و مدل مقید میانجی‌گری کامل رد شد (خی‌دو = ۷٫۷۵ با ۱ درجه آزادی؛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w:t>
      </w:r>
    </w:p>
    <w:p>
      <w:pPr>
        <w:pStyle w:val="Heading2"/>
        <w:bidi w:val="1"/>
        <w:jc w:val="right"/>
        <w:outlineLvl w:val="1"/>
      </w:pPr>
      <w:r>
        <w:rPr>
          <w:rFonts w:ascii="B Nazanin" w:hAnsi="B Nazanin" w:cs="B Nazanin" w:hint="cs"/>
          <w:b/>
          <w:bCs/>
          <w:sz w:val="28"/>
          <w:szCs w:val="28"/>
          <w:rtl/>
          <w:lang w:bidi="fa-IR"/>
        </w:rPr>
        <w:t xml:space="preserve">۵-۳. بحث درباره یافته‌ها</w:t>
      </w:r>
    </w:p>
    <w:p>
      <w:pPr>
        <w:pStyle w:val="Heading3"/>
        <w:bidi w:val="1"/>
        <w:jc w:val="right"/>
        <w:outlineLvl w:val="1"/>
      </w:pPr>
      <w:r>
        <w:rPr>
          <w:rFonts w:ascii="B Nazanin" w:hAnsi="B Nazanin" w:cs="B Nazanin" w:hint="cs"/>
          <w:b/>
          <w:bCs/>
          <w:sz w:val="26"/>
          <w:szCs w:val="26"/>
          <w:rtl/>
          <w:lang w:bidi="fa-IR"/>
        </w:rPr>
        <w:t xml:space="preserve">۵-۳-۱. فرضیه اصلی: میانجی‌گری جزئی طرحواره‌های ناسازگار اولیه</w:t>
      </w:r>
    </w:p>
    <w:p>
      <w:pPr>
        <w:bidi w:val="1"/>
        <w:spacing w:lineRule="exact" w:line="580" w:after="0"/>
        <w:jc w:val="both"/>
      </w:pPr>
      <w:r>
        <w:rPr>
          <w:rFonts w:ascii="B Nazanin" w:hAnsi="B Nazanin" w:cs="B Nazanin" w:hint="cs"/>
          <w:sz w:val="24"/>
          <w:szCs w:val="24"/>
          <w:rtl/>
          <w:lang w:bidi="fa-IR"/>
        </w:rPr>
        <w:t xml:space="preserve">مهم‌ترین یافته پژوهش، تأیید نقش میانجی طرحواره‌های ناسازگار اولیه در رابطه اضطراب صفتی با رفتارهای مالی پرخطر است. اثر غیرمستقیم معنادار (۰٫۰۷۰ با فاصله اطمینان ۰٫۰۱۱ تا ۰٫۱۳۳) در کنار معنادار ماندن اثر مستقیم (۰٫۱۴۹؛</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۰٫۰۰۶) نشان می‌دهد که طرحواره‌ها بخشی از سازوکار این پیوند را حمل می‌کنند، اما همه آن را توضیح نمی‌دهند. این الگوی میانجی‌گری جزئی دقیقاً همان چیزی است که مدل آسیب‌پذیری-استرس پیش‌بینی می‌کند: ویژگی زمینه‌ای اضطراب از مسیر الگوهای شناختی ناسازگار به پیامد رفتاری می‌رسد، بی‌آنکه این مسیر یگانه باشد (زاکرمن، ۱۹۹۹؛ بک، ۱۹۷۶).</w:t>
      </w:r>
    </w:p>
    <w:p>
      <w:pPr>
        <w:bidi w:val="1"/>
        <w:spacing w:lineRule="exact" w:line="580" w:after="0"/>
        <w:jc w:val="both"/>
      </w:pPr>
      <w:r>
        <w:rPr>
          <w:rFonts w:ascii="B Nazanin" w:hAnsi="B Nazanin" w:cs="B Nazanin" w:hint="cs"/>
          <w:sz w:val="24"/>
          <w:szCs w:val="24"/>
          <w:rtl/>
          <w:lang w:bidi="fa-IR"/>
        </w:rPr>
        <w:t xml:space="preserve">سازوکار این میانجی‌گری را می‌توان در دو گام خواند. در گام نخست، اضطراب صفتی بالا با فعال‌سازی و تداوم طرحواره‌ها پیوند می‌خورد؛ یافته‌ای که با دیدگاه بک و کلارک (۱۹۹۷) درباره سوگیری پردازش اطلاعات در اضطراب و نظریه کنترل توجه آیزنک و همکاران (۲۰۰۷) سازگار است و در پژوهش‌های هالورسن و همکاران (۲۰۰۹) و ریم و همکاران (۲۰۱۵) درباره پیوند روان‌رنجوری با طرحواره‌های ناسازگار نیز دیده شده است. در گام دوم، طرحواره‌های فعال، تصمیم‌گیری در موقعیت‌های مالی نامطمئن را به سمت رفتارهای پرخطر سوق می‌دهند؛ همسو با شواهد شوری و همکاران (۲۰۱۲) و مرور نظام‌مند ویرا و همکاران (۲۰۲۳) درباره پیوند طرحواره‌ها با رفتارهای اعتیادی و پرخطر. سابقه پژوهشی میانجی‌گری نیز از این الگو پشتیبانی می‌کند: سافیتری و همکاران (۲۰۲۵) نشان دادند که اثر عوامل روانی-اجتماعی بر تصمیم سرمایه‌گذاری از مسیر تحمل ریسک می‌گذرد و اولولو و همکاران (۲۰۲۴) با مداخله آموزشی-شناختی، نگرش به ریسک مالی را بهبود دادند که بر شکل‌پذیری این مسیر دلالت دارد.</w:t>
      </w:r>
    </w:p>
    <w:p>
      <w:pPr>
        <w:bidi w:val="1"/>
        <w:spacing w:lineRule="exact" w:line="580" w:after="0"/>
        <w:jc w:val="both"/>
      </w:pPr>
      <w:r>
        <w:rPr>
          <w:rFonts w:ascii="B Nazanin" w:hAnsi="B Nazanin" w:cs="B Nazanin" w:hint="cs"/>
          <w:sz w:val="24"/>
          <w:szCs w:val="24"/>
          <w:rtl/>
          <w:lang w:bidi="fa-IR"/>
        </w:rPr>
        <w:t xml:space="preserve">جزئی بودن میانجی‌گری نیز به‌اندازه خود آن معنادار است: حدود یک‌سوم اثر کل از مسیر طرحواره‌ها می‌گذرد و دوسوم دیگر مستقیم یا از مسیرهای دیگر است. این سهم باقیمانده می‌تواند بازتاب سازوکارهای هیجانی مستقیم (مانند واکنش‌پذیری هیجانی معامله‌گران که لو و رپین (۲۰۰۲) گزارش کردند)، سوگیری‌های رفتاری مستقل از طرحواره (مانند رفتار توده‌وار در شرایط استرس بازار؛ هوانگ و سالمون، ۲۰۰۴) یا تفاوت‌های فردی دیگر باشد. رد مدل مقید میانجی‌گری کامل در تحلیل تکمیلی</w:t>
      </w:r>
      <w:r>
        <w:rPr>
          <w:rFonts w:ascii="Times New Roman" w:hAnsi="Times New Roman" w:cs="Times New Roman"/>
          <w:sz w:val="22"/>
          <w:szCs w:val="22"/>
          <w:lang w:val="en-US"/>
        </w:rPr>
        <w:t xml:space="preserve"> (p = </w:t>
      </w:r>
      <w:r>
        <w:rPr>
          <w:rFonts w:ascii="B Nazanin" w:hAnsi="B Nazanin" w:cs="B Nazanin" w:hint="cs"/>
          <w:sz w:val="24"/>
          <w:szCs w:val="24"/>
          <w:rtl/>
          <w:lang w:bidi="fa-IR"/>
        </w:rPr>
        <w:t xml:space="preserve">۰٫۰۰۵) نیز مؤید همین نکته است: حذف اثر مستقیم، برازش مدل را به‌طور معنادار تضعیف می‌کند.</w:t>
      </w:r>
    </w:p>
    <w:p>
      <w:pPr>
        <w:pStyle w:val="Heading3"/>
        <w:bidi w:val="1"/>
        <w:jc w:val="right"/>
        <w:outlineLvl w:val="1"/>
      </w:pPr>
      <w:r>
        <w:rPr>
          <w:rFonts w:ascii="B Nazanin" w:hAnsi="B Nazanin" w:cs="B Nazanin" w:hint="cs"/>
          <w:b/>
          <w:bCs/>
          <w:sz w:val="26"/>
          <w:szCs w:val="26"/>
          <w:rtl/>
          <w:lang w:bidi="fa-IR"/>
        </w:rPr>
        <w:t xml:space="preserve">۵-۳-۲. فرضیه دوم: رابطه اضطراب صفتی با رفتارهای مالی پرخطر</w:t>
      </w:r>
    </w:p>
    <w:p>
      <w:pPr>
        <w:bidi w:val="1"/>
        <w:spacing w:lineRule="exact" w:line="580" w:after="0"/>
        <w:jc w:val="both"/>
      </w:pPr>
      <w:r>
        <w:rPr>
          <w:rFonts w:ascii="B Nazanin" w:hAnsi="B Nazanin" w:cs="B Nazanin" w:hint="cs"/>
          <w:sz w:val="24"/>
          <w:szCs w:val="24"/>
          <w:rtl/>
          <w:lang w:bidi="fa-IR"/>
        </w:rPr>
        <w:t xml:space="preserve">رابطه مثبت معنادار میان اضطراب صفتی و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۰٫۳۲۷) با اندازه‌اثر کوچک تا متوسط، فرضیه دوم را تأیید کرد. این یافته با شواهدی همسوست که اضطراب را با تصمیم‌گیری مختل در موقعیت‌های مالی پیوند می‌دهند: هارتلی و فلپس (۲۰۱۲) نقش اضطراب در تصمیم‌گیری را مستند کردند، لو و همکاران (۲۰۰۵) نشان دادند که واکنش‌پذیری هیجانی شدید با عملکرد ضعیف‌تر معامله‌گران روزانه همراه است، گامبتی و جوسبرتی (۲۰۱۲) اثر اضطراب بر تصمیم‌های سرمایه‌گذاری را گزارش کردند و فنتون-اوکریوی و همکاران (۲۰۱۱) تأثیر هیجان‌ها بر تصمیم و عملکرد معامله‌گران را نشان دادند. در پیشینه داخلی نیز ستایش و همکاران (۱۳۹۹) پیوند ویژگی‌های شخصیتی با رفتار معاملاتی سرمایه‌گذاران حقیقی و فلاح و خدایی (۱۳۹۸) پیوند سبک‌های تصمیم‌گیری با عملکرد سرمایه‌گذاری را گزارش کرده‌اند.</w:t>
      </w:r>
    </w:p>
    <w:p>
      <w:pPr>
        <w:bidi w:val="1"/>
        <w:spacing w:lineRule="exact" w:line="580" w:after="0"/>
        <w:jc w:val="both"/>
      </w:pPr>
      <w:r>
        <w:rPr>
          <w:rFonts w:ascii="B Nazanin" w:hAnsi="B Nazanin" w:cs="B Nazanin" w:hint="cs"/>
          <w:sz w:val="24"/>
          <w:szCs w:val="24"/>
          <w:rtl/>
          <w:lang w:bidi="fa-IR"/>
        </w:rPr>
        <w:t xml:space="preserve">با این حال، اندازه‌اثر کوچک تا متوسط و وجود شواهد ناهمسو، تفسیر محتاطانه را ایجاب می‌کند. ماهاتو و همکاران (۲۰۲۵) اثر منفی اضطراب صفتی بر تصمیم‌های سرمایه‌گذاری نسل جوان را گزارش کردند، منر و اشمیت (۲۰۰۶) نشان دادند که اضطراب در برخی شرایط به اجتناب از ریسک می‌انجامد و لاوریولا و لوین (۲۰۰۱) نیز بر مشروط بودن پیوند صفات شخصیتی با تصمیم پرخطر تأکید کردند. این ناهمسویی ظاهری را می‌توان با تفاوت در تعریف پیامد توضیح داد: اضطراب ممکن است همزمان «نگرش به ریسک» را منفی کند و «رفتار پرخطر» (مانند معاملات هیجانی یا جبران‌جویانه) را افزایش دهد. به بیان دیگر، مضطرب بودن با احتیاط در نگرش سازگار است، اما در عملِ معامله‌گریِ پُراسترس می‌تواند به رفتارهای تکانشی و پرخطر بینجامد؛ تفکیکی که پژوهش‌های آتی باید با سنجش جداگانه نگرش و رفتار آن را بیازمایند.</w:t>
      </w:r>
    </w:p>
    <w:p>
      <w:pPr>
        <w:pStyle w:val="Heading3"/>
        <w:bidi w:val="1"/>
        <w:jc w:val="right"/>
        <w:outlineLvl w:val="1"/>
      </w:pPr>
      <w:r>
        <w:rPr>
          <w:rFonts w:ascii="B Nazanin" w:hAnsi="B Nazanin" w:cs="B Nazanin" w:hint="cs"/>
          <w:b/>
          <w:bCs/>
          <w:sz w:val="26"/>
          <w:szCs w:val="26"/>
          <w:rtl/>
          <w:lang w:bidi="fa-IR"/>
        </w:rPr>
        <w:t xml:space="preserve">۵-۳-۳. فرضیه سوم: رابطه اضطراب صفتی با طرحواره‌های ناسازگار اولیه</w:t>
      </w:r>
    </w:p>
    <w:p>
      <w:pPr>
        <w:bidi w:val="1"/>
        <w:spacing w:lineRule="exact" w:line="580" w:after="0"/>
        <w:jc w:val="both"/>
      </w:pPr>
      <w:r>
        <w:rPr>
          <w:rFonts w:ascii="B Nazanin" w:hAnsi="B Nazanin" w:cs="B Nazanin" w:hint="cs"/>
          <w:sz w:val="24"/>
          <w:szCs w:val="24"/>
          <w:rtl/>
          <w:lang w:bidi="fa-IR"/>
        </w:rPr>
        <w:t xml:space="preserve">قوی‌ترین رابطه دوتایی پژوهش، پیوند اضطراب صفتی با طرحواره‌های ناسازگار اولیه بود</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۰٫۵۰۱) با اندازه‌اثر متوسط رو به بزرگ که ۲۵٫۱ درصد واریانس طرحواره‌ها را تبیین می‌کند. این یافته، ستون فقرات مدل مفهومی پژوهش است و با مبانی نظری کاملاً سازگار است: در مدل شناختی اضطراب، سوگیری توجه و تفسیر، مواد خام تداوم طرحواره‌ها را فراهم می‌کنند (بک و کلارک، ۱۹۹۷) و نقص کنترل توجه در اضطراب، رهایی از چرخه نشخوار طرحواره‌محور را دشوار می‌سازد (آیزنک و همکاران، ۲۰۰۷). مرور میته (۲۰۰۷) نیز بر نقش پردازش شناختی در پیوند اضطراب با تصمیم‌گیری تأکید دارد.</w:t>
      </w:r>
    </w:p>
    <w:p>
      <w:pPr>
        <w:bidi w:val="1"/>
        <w:spacing w:lineRule="exact" w:line="580" w:after="0"/>
        <w:jc w:val="both"/>
      </w:pPr>
      <w:r>
        <w:rPr>
          <w:rFonts w:ascii="B Nazanin" w:hAnsi="B Nazanin" w:cs="B Nazanin" w:hint="cs"/>
          <w:sz w:val="24"/>
          <w:szCs w:val="24"/>
          <w:rtl/>
          <w:lang w:bidi="fa-IR"/>
        </w:rPr>
        <w:t xml:space="preserve">شواهد تجربی نیز هم‌جهت‌اند: هالورسن و همکاران (۲۰۰۹) و ریم و همکاران (۲۰۱۵) پیوند معنادار روان‌رنجوری با طرحواره‌های ناسازگار را نشان دادند و آرنتز و یاکوب (۲۰۱۲) تداوم طرحواره‌ها در بستر برانگیختگی هیجانی را از مفروضات بنیادین طرحواره‌درمانی می‌دانند. در پیشینه داخلی، نوری و هاشمیان (۱۳۹۶) رابطه طرحواره‌های ناسازگار با اضطراب اجتماعی و امیدی و همکاران (۱۳۹۲) پیوند این طرحواره‌ها با گرایش به رفتارهای مسئله‌ساز را گزارش کرده‌اند. بزرگی نسبی این اثر در مقایسه با دو فرضیه دیگر (۰٫۵۰۱ در برابر ۰٫۳۲۷ و ۰٫۳۲۱) نشان می‌دهد که پیوند اضطراب با ساختارهای شناختی، نیرومندتر از پیوند مستقیم آن با رفتار مالی است؛ دقیقاً همان الگویی که ضرورت آزمون میانجی‌گری را موجه می‌ساخت.</w:t>
      </w:r>
    </w:p>
    <w:p>
      <w:pPr>
        <w:pStyle w:val="Heading3"/>
        <w:bidi w:val="1"/>
        <w:jc w:val="right"/>
        <w:outlineLvl w:val="1"/>
      </w:pPr>
      <w:r>
        <w:rPr>
          <w:rFonts w:ascii="B Nazanin" w:hAnsi="B Nazanin" w:cs="B Nazanin" w:hint="cs"/>
          <w:b/>
          <w:bCs/>
          <w:sz w:val="26"/>
          <w:szCs w:val="26"/>
          <w:rtl/>
          <w:lang w:bidi="fa-IR"/>
        </w:rPr>
        <w:t xml:space="preserve">۵-۳-۴. فرضیه چهارم: رابطه طرحواره‌های ناسازگار اولیه با رفتارهای مالی پرخطر</w:t>
      </w:r>
    </w:p>
    <w:p>
      <w:pPr>
        <w:bidi w:val="1"/>
        <w:spacing w:lineRule="exact" w:line="580" w:after="0"/>
        <w:jc w:val="both"/>
      </w:pPr>
      <w:r>
        <w:rPr>
          <w:rFonts w:ascii="B Nazanin" w:hAnsi="B Nazanin" w:cs="B Nazanin" w:hint="cs"/>
          <w:sz w:val="24"/>
          <w:szCs w:val="24"/>
          <w:rtl/>
          <w:lang w:bidi="fa-IR"/>
        </w:rPr>
        <w:t xml:space="preserve">رابطه مثبت معنادار میان طرحواره‌ها و رفتارهای مالی پرخطر</w:t>
      </w:r>
      <w:r>
        <w:rPr>
          <w:rFonts w:ascii="Times New Roman" w:hAnsi="Times New Roman" w:cs="Times New Roman"/>
          <w:sz w:val="22"/>
          <w:szCs w:val="22"/>
          <w:lang w:val="en-US"/>
        </w:rPr>
        <w:t xml:space="preserve"> (r = </w:t>
      </w:r>
      <w:r>
        <w:rPr>
          <w:rFonts w:ascii="B Nazanin" w:hAnsi="B Nazanin" w:cs="B Nazanin" w:hint="cs"/>
          <w:sz w:val="24"/>
          <w:szCs w:val="24"/>
          <w:rtl/>
          <w:lang w:bidi="fa-IR"/>
        </w:rPr>
        <w:t xml:space="preserve">۰٫۳۲۱) با اندازه‌اثر کوچک تا متوسط، فرضیه چهارم را تأیید کرد. این یافته را می‌توان در چارچوب نظریه چشم‌انداز خواند: طرحواره‌هایی مانند آسیب‌پذیری، استحقاق یا خویشتن‌داری ناکافی می‌توانند چارچوب مرجع تصمیم‌گیرنده را جابه‌جا کنند و او را در ناحیه زیان به ریسک‌پذیری بیشتر یا در پی جبران، به معاملات پرخطر سوق دهند (کانمن و تورسکی، ۱۹۷۹). ادبیات مالی-رفتاری نیز سرشار از سازوکارهایی است که با فعال‌سازی طرحواره‌ها هم‌خوان‌اند: تمایل به فروش زودهنگام برندگان و نگه‌داشتن بازندگان (شفرین و استاتمن، ۱۹۸۵)، معامله بیش‌ازحد زیان‌بار (باربر و اودین، ۲۰۰۰) و رفتار توده‌وار در استرس بازار (هوانگ و سالمون، ۲۰۰۴) همگی الگوهایی‌اند که ریشه شناختی-هیجانی دارند (بیکر و نافسینگر، ۲۰۱۰؛ تیلر، ۲۰۱۶).</w:t>
      </w:r>
    </w:p>
    <w:p>
      <w:pPr>
        <w:bidi w:val="1"/>
        <w:spacing w:lineRule="exact" w:line="580" w:after="0"/>
        <w:jc w:val="both"/>
      </w:pPr>
      <w:r>
        <w:rPr>
          <w:rFonts w:ascii="B Nazanin" w:hAnsi="B Nazanin" w:cs="B Nazanin" w:hint="cs"/>
          <w:sz w:val="24"/>
          <w:szCs w:val="24"/>
          <w:rtl/>
          <w:lang w:bidi="fa-IR"/>
        </w:rPr>
        <w:t xml:space="preserve">در سطح رفتاری-اعتیادی نیز شواهد همسوست: شوری و همکاران (۲۰۱۲) پیوند طرحواره‌ها با قمار مسئله‌ساز و ویرا و همکاران (۲۰۲۳) پیوند آن‌ها با اعتیادهای رفتاری را مستند کردند که با توجه به شباهت معامله‌گری پُرریسک با رفتارهای اعتیادی، قابل تعمیم به بستر پژوهش حاضر است. در پیشینه داخلی، بهدیو و همکاران (۱۳۹۸) اثر ریسک‌پذیری و ویژگی‌های فردی بر رفتار توده‌وار سرمایه‌گذاران و فروغی و تهرانی (۱۳۹۷) نقش تعدیل‌گر سواد مالی در رابطه سوگیری‌های رفتاری با عملکرد را نشان دادند که بر اهمیت بستر شناختی تصمیم مالی تأکید دارد. همچنین پدیده ترس از جاماندن و جنبه‌های تاریک معامله‌گری اجتماعی (آور و شوماخر، ۲۰۲۳) نمونه معاصری از همین مسیر طرحواره-به-رفتار است. در مجموع، یافته فرضیه چهارم نشان می‌دهد که طرحواره‌های ناسازگار، صرفاً یک متغیر بالینی نیستند، بلکه در بستر بازارهای مالی نیز با رفتار عینی معامله‌گر پیوند می‌خورند.</w:t>
      </w:r>
    </w:p>
    <w:p>
      <w:pPr>
        <w:pStyle w:val="Heading3"/>
        <w:bidi w:val="1"/>
        <w:jc w:val="right"/>
        <w:outlineLvl w:val="1"/>
      </w:pPr>
      <w:r>
        <w:rPr>
          <w:rFonts w:ascii="B Nazanin" w:hAnsi="B Nazanin" w:cs="B Nazanin" w:hint="cs"/>
          <w:b/>
          <w:bCs/>
          <w:sz w:val="26"/>
          <w:szCs w:val="26"/>
          <w:rtl/>
          <w:lang w:bidi="fa-IR"/>
        </w:rPr>
        <w:t xml:space="preserve">۵-۳-۵. جمع‌بندی نظری بحث</w:t>
      </w:r>
    </w:p>
    <w:p>
      <w:pPr>
        <w:bidi w:val="1"/>
        <w:spacing w:lineRule="exact" w:line="580" w:after="0"/>
        <w:jc w:val="both"/>
      </w:pPr>
      <w:r>
        <w:rPr>
          <w:rFonts w:ascii="B Nazanin" w:hAnsi="B Nazanin" w:cs="B Nazanin" w:hint="cs"/>
          <w:sz w:val="24"/>
          <w:szCs w:val="24"/>
          <w:rtl/>
          <w:lang w:bidi="fa-IR"/>
        </w:rPr>
        <w:t xml:space="preserve">در کنار هم، یافته‌های چهار فرضیه زنجیره نظری پژوهش را پشتیبانی می‌کنند: اضطراب صفتی نیرومندترین پیوند را با طرحواره‌ها دارد (۰٫۵۰۱)، طرحواره‌ها با رفتار پرخطر پیوند معنادار دارند (۰٫۳۲۱) و بخشی از اثر اضطراب بر رفتار (۰٫۳۲۷) از مسیر طرحواره‌ها می‌گذرد (اثر غیرمستقیم ۰٫۰۷۰). این الگو با منطق مدل آسیب‌پذیری-استرس سازگار است که در آن ویژگی زمینه‌ای از مسیر سازوکار شناختی به پیامد می‌رسد (زاکرمن، ۱۹۹۹). در عین حال، میانجی‌گری جزئی و اندازه‌اثرهای کوچک تا متوسط در سطح رفتار، یادآوری می‌کند که رفتار مالی پرخطر پدیده‌ای چندعاملی است و مدل حاضر تنها برشی از شبکه علّی آن را روشن می‌کند.</w:t>
      </w:r>
    </w:p>
    <w:p>
      <w:pPr>
        <w:pStyle w:val="Heading2"/>
        <w:bidi w:val="1"/>
        <w:jc w:val="right"/>
        <w:outlineLvl w:val="1"/>
      </w:pPr>
      <w:r>
        <w:rPr>
          <w:rFonts w:ascii="B Nazanin" w:hAnsi="B Nazanin" w:cs="B Nazanin" w:hint="cs"/>
          <w:b/>
          <w:bCs/>
          <w:sz w:val="28"/>
          <w:szCs w:val="28"/>
          <w:rtl/>
          <w:lang w:bidi="fa-IR"/>
        </w:rPr>
        <w:t xml:space="preserve">۵-۴. همسویی و ناهمسویی یافته‌ها با پیشینه پژوهش</w:t>
      </w:r>
    </w:p>
    <w:p>
      <w:pPr>
        <w:bidi w:val="1"/>
        <w:spacing w:lineRule="exact" w:line="580" w:after="0"/>
        <w:jc w:val="both"/>
      </w:pPr>
      <w:r>
        <w:rPr>
          <w:rFonts w:ascii="B Nazanin" w:hAnsi="B Nazanin" w:cs="B Nazanin" w:hint="cs"/>
          <w:sz w:val="24"/>
          <w:szCs w:val="24"/>
          <w:rtl/>
          <w:lang w:bidi="fa-IR"/>
        </w:rPr>
        <w:t xml:space="preserve">الگوی کلی یافته‌ها با پیشینه نظری و تجربی همسوست. در سطح نظری، زنجیره اضطراب-طرحواره-رفتار با مدل شناختی اضطراب (بک و کلارک، ۱۹۹۷)، نظریه کنترل توجه (آیزنک و همکاران، ۲۰۰۷)، مدل طرحواره (یانگ و همکاران، ۲۰۰۳) و منطق آسیب‌پذیری-استرس (زاکرمن، ۱۹۹۹) سازگار است و قوی‌ترین حلقه آن (رابطه ۰٫۵۰۱ اضطراب با طرحواره‌ها) دقیقاً همان پیوندی است که این نظریه‌ها کانونی می‌دانند. در سطح تجربی خارجی، یافته میانجی‌گری با سابقه اثر غیرمستقیم عوامل روانی از مسیر تحمل ریسک (سافیتری و همکاران، ۲۰۲۵) و شکل‌پذیری نگرش به ریسک در مداخله‌های شناختی (اولولو و همکاران، ۲۰۲۴) هم‌جهت است و پیوند طرحواره‌ها با رفتارهای پرخطر نیز با شواهد شوری و همکاران (۲۰۱۲) و مرور ویرا و همکاران (۲۰۲۳) همسوست. در پیشینه داخلی نیز هر چهار یافته، همتای همسو دارند: پیوند شخصیت با رفتار معاملاتی (ستایش و همکاران، ۱۳۹۹)، اثر ویژگی‌های فردی بر رفتار توده‌وار (بهدیو و همکاران، ۱۳۹۸)، پیوند سبک تصمیم‌گیری با عملکرد (فلاح و خدایی، ۱۳۹۸)، نقش سواد مالی (فروغی و تهرانی، ۱۳۹۷) و پیوند طرحواره‌ها با اضطراب و رفتار مسئله‌ساز (نوری و هاشمیان، ۱۳۹۶؛ امیدی و همکاران، ۱۳۹۲).</w:t>
      </w:r>
    </w:p>
    <w:p>
      <w:pPr>
        <w:bidi w:val="1"/>
        <w:spacing w:lineRule="exact" w:line="580" w:after="0"/>
        <w:jc w:val="both"/>
      </w:pPr>
      <w:r>
        <w:rPr>
          <w:rFonts w:ascii="B Nazanin" w:hAnsi="B Nazanin" w:cs="B Nazanin" w:hint="cs"/>
          <w:sz w:val="24"/>
          <w:szCs w:val="24"/>
          <w:rtl/>
          <w:lang w:bidi="fa-IR"/>
        </w:rPr>
        <w:t xml:space="preserve">ناهمسویی اصلی، در فرضیه دوم و در اندازه‌اثرهای سطح رفتار دیده می‌شود. اثر منفی اضطراب صفتی بر تصمیم سرمایه‌گذاری (ماهاتو و همکاران، ۲۰۲۵)، اجتناب از ریسک در افراد مضطرب (منر و اشمیت، ۲۰۰۶) و مشروط بودن پیوند صفات با تصمیم پرخطر (لاوریولا و لوین، ۲۰۰۱) با رابطه مثبت ۰٫۳۲۷ این پژوهش در تنش‌اند. این تنش، چنان‌که در بخش ۵-۳-۲ بحث شد، با تفکیک «نگرش به ریسک» از «رفتار پرخطر» قابل رفع است: اضطراب می‌تواند همزمان نگرش را محتاط و رفتار معاملاتی را تکانشی کند. همچنین کوچک تا متوسط بودن اثرها در سطح رفتار (۰٫۳۲۷ و ۰٫۳۲۱ در برابر ۰٫۵۰۱ در سطح شناخت) خود یک یافته مرزی است: مدل‌های شناختی-هیجانی، رفتار مالی را تبیین می‌کنند اما به‌تنهایی آن را تعیین نمی‌کنند. در سطح سنجش نیز یافته‌ها با خوانش عملیاتی مقیاس گرابل و لایتون (۱۹۹۹) سازگارند: نمره بالاتر به معنای تحمل ریسک بیشتر و تمایل بالاتر به رفتار پرخطر است و همبستگی‌های مثبت معنادار و الگوی میانجی‌گری به‌دست‌آمده با همین خوانش هم‌جهت‌اند.</w:t>
      </w:r>
    </w:p>
    <w:p>
      <w:pPr>
        <w:pStyle w:val="Heading2"/>
        <w:bidi w:val="1"/>
        <w:jc w:val="right"/>
        <w:outlineLvl w:val="1"/>
      </w:pPr>
      <w:r>
        <w:rPr>
          <w:rFonts w:ascii="B Nazanin" w:hAnsi="B Nazanin" w:cs="B Nazanin" w:hint="cs"/>
          <w:b/>
          <w:bCs/>
          <w:sz w:val="28"/>
          <w:szCs w:val="28"/>
          <w:rtl/>
          <w:lang w:bidi="fa-IR"/>
        </w:rPr>
        <w:t xml:space="preserve">۵-۵. دلالت‌های کاربردی</w:t>
      </w:r>
    </w:p>
    <w:p>
      <w:pPr>
        <w:bidi w:val="1"/>
        <w:spacing w:lineRule="exact" w:line="580" w:after="0"/>
        <w:jc w:val="both"/>
      </w:pPr>
      <w:r>
        <w:rPr>
          <w:rFonts w:ascii="B Nazanin" w:hAnsi="B Nazanin" w:cs="B Nazanin" w:hint="cs"/>
          <w:sz w:val="24"/>
          <w:szCs w:val="24"/>
          <w:rtl/>
          <w:lang w:bidi="fa-IR"/>
        </w:rPr>
        <w:t xml:space="preserve">نخست، یافته‌ها بر ارزش خودارزیابی روان‌شناختی برای معامله‌گران دلالت دارند: آگاهی از سطح اضطراب صفتی و الگوهای طرحواره‌ای می‌تواند به معامله‌گر کمک کند تا موقعیت‌های آسیب‌پذیری خود (مانند معاملات جبران‌جویانه پس از زیان یا تصمیم‌گیری در اوج برانگیختگی) را بشناسد و راهبردهای وقفه و بازبینی را به کار بندد. دوم، اثربخشی مداخله‌های شناختی-رفتاری بر نگرش به ریسک مالی (اولولو و همکاران، ۲۰۲۴) و مبانی طرحواره‌درمانی (آرنتز و یاکوب، ۲۰۱۲) نشان می‌دهند که مسیر میانجی شناسایی‌شده در این پژوهش، هدفی شدنی برای مداخله است؛ کارگاه‌های تنظیم هیجان و بازسازی شناختی ویژه معامله‌گران می‌توانند همین مسیر را هدف بگیرند. این پیشنهاد با یافته‌های فنتون-اوکریوی و همکاران (۲۰۱۲) درباره پیوند تنظیم هیجان با تخصص معامله‌گری همسوست. سوم، نقش تعدیل‌گر سواد مالی در رابطه سوگیری‌های رفتاری با عملکرد (فروغی و تهرانی، ۱۳۹۷) یادآوری می‌کند که آموزش‌های مالی-رفتاریِ توأم با آموزش روان‌شناختی، از آموزش صرفاً فنی اثربخش‌تر است. چهارم، کارگزاری‌ها و نهادهای ناظر می‌توانند با سازوکارهایی مانند هشدار خودکار در الگوهای معاملاتی پرریسک یا دوره‌های انتظار پیش از معاملات بزرگ، لایه‌ای محافظتی برای معامله‌گران آسیب‌پذیر فراهم کنند.</w:t>
      </w:r>
    </w:p>
    <w:p>
      <w:pPr>
        <w:pStyle w:val="Heading2"/>
        <w:bidi w:val="1"/>
        <w:jc w:val="right"/>
        <w:outlineLvl w:val="1"/>
      </w:pPr>
      <w:r>
        <w:rPr>
          <w:rFonts w:ascii="B Nazanin" w:hAnsi="B Nazanin" w:cs="B Nazanin" w:hint="cs"/>
          <w:b/>
          <w:bCs/>
          <w:sz w:val="28"/>
          <w:szCs w:val="28"/>
          <w:rtl/>
          <w:lang w:bidi="fa-IR"/>
        </w:rPr>
        <w:t xml:space="preserve">۵-۶. محدودیت‌های پژوهش</w:t>
      </w:r>
    </w:p>
    <w:p>
      <w:pPr>
        <w:bidi w:val="1"/>
        <w:spacing w:lineRule="exact" w:line="580" w:after="0"/>
        <w:jc w:val="both"/>
      </w:pPr>
      <w:r>
        <w:rPr>
          <w:rFonts w:ascii="B Nazanin" w:hAnsi="B Nazanin" w:cs="B Nazanin" w:hint="cs"/>
          <w:sz w:val="24"/>
          <w:szCs w:val="24"/>
          <w:rtl/>
          <w:lang w:bidi="fa-IR"/>
        </w:rPr>
        <w:t xml:space="preserve">نخستین و مهم‌ترین محدودیت، مقطعی بودن طرح پژوهش است: همه متغیرها در یک مقطع زمانی سنجیده شدند و هیچ‌یک از روابط به‌دست‌آمده، رابطه علّی را اثبات نمی‌کنند. این احتیاط درباره تحلیل میانجی‌گری جدی‌تر است، زیرا استنباط میانجی‌گری بر پیش‌فرض‌های علّی و ترتیبی استوار است که با داده مقطعی به‌طور کامل قابل احراز نیستند (هایز، ۲۰۱۸). دوم، همه داده‌ها خودگزارشی و از طریق پرسشنامه آنلاین گردآوری شدند که آن‌ها را در معرض سوگیری مطلوب‌نمایی اجتماعی و خطای حافظه قرار می‌دهد. سوم، نمونه‌گیری در دسترس و آنلاین بود و نمونه نهایی (۱۸۵ نفر) از حداقل ۲۰۰ نفرِ مورد نیاز برای مدل‌سازی معادلات ساختاری کمتر است (کلاین، ۲۰۱۶)؛ از این رو نتایج تحلیل مسیر جنبه تکمیلی و مقدماتی دارند. چهارم، پیامد پژوهش تنها با یک ابزار (مقیاس تحمل ریسک گرابل و لایتون) سنجیده شد؛ هرچند روایی این مقیاس برای رفتار مالی در مرورهای روان‌سنجی پشتیبانی شده است (گرابل، ۲۰۱۷)، سنجش چندروشی پیامد (مانند داده‌های واقعی معاملات در کنار خودگزارشی) اعتبار یافته‌ها را تقویت می‌کرد. پنجم، نقش میانجی در سطح نمره کل طرحواره‌ها آزمون شد و سهم طرحواره‌های خاص (مانند آسیب‌پذیری یا خویشتن‌داری ناکافی) به‌طور جداگانه بررسی نشد.</w:t>
      </w:r>
    </w:p>
    <w:p>
      <w:pPr>
        <w:pStyle w:val="Heading2"/>
        <w:bidi w:val="1"/>
        <w:jc w:val="right"/>
        <w:outlineLvl w:val="1"/>
      </w:pPr>
      <w:r>
        <w:rPr>
          <w:rFonts w:ascii="B Nazanin" w:hAnsi="B Nazanin" w:cs="B Nazanin" w:hint="cs"/>
          <w:b/>
          <w:bCs/>
          <w:sz w:val="28"/>
          <w:szCs w:val="28"/>
          <w:rtl/>
          <w:lang w:bidi="fa-IR"/>
        </w:rPr>
        <w:t xml:space="preserve">۵-۷. پیشنهادها برای پژوهش‌های آینده</w:t>
      </w:r>
    </w:p>
    <w:p>
      <w:pPr>
        <w:bidi w:val="1"/>
        <w:spacing w:lineRule="exact" w:line="580" w:after="0"/>
        <w:jc w:val="both"/>
      </w:pPr>
      <w:r>
        <w:rPr>
          <w:rFonts w:ascii="B Nazanin" w:hAnsi="B Nazanin" w:cs="B Nazanin" w:hint="cs"/>
          <w:sz w:val="24"/>
          <w:szCs w:val="24"/>
          <w:rtl/>
          <w:lang w:bidi="fa-IR"/>
        </w:rPr>
        <w:t xml:space="preserve">پژوهش‌های آینده می‌توانند نخست با طرح‌های طولی یا تجربی، جهت علّی زنجیره اضطراب-طرحواره-رفتار را بیازمایند. دوم، با نمونه‌های بزرگ‌تر (دست‌کم ۲۰۰ نفر) و نمونه‌گیری تصادفی‌تر، پایداری الگوی میانجی‌گری و برازش مدل مسیر را محک بزنند. سوم، نگرش به ریسک و رفتار پرخطر را با ابزارهای جداگانه بسنجند تا تناقض ظاهری میان احتیاط نگرشی و خطرپذیری رفتاری در افراد مضطرب روشن شود. چهارم، پس از نهایی شدن کلید رسمی حوزه‌بندی، مسیرهای اختصاصی هر حوزه یا هر طرحواره را جداگانه آزمون کنند تا مشخص شود کدام الگوهای شناختی، قوی‌ترین حامل اثر اضطراب بر رفتار مالی‌اند. پنجم، اثربخشی مداخله‌های مبتنی بر طرحواره‌درمانی یا آموزش شناختی-رفتاری را بر رفتار واقعی معامله‌گران در کارآزمایی‌های بالینی بیازمایند. ششم، نقش متغیرهای تعدیل‌گر و کنترل مانند سابقه معامله‌گری، حجم سرمایه، سواد مالی و نوع بازار را در الگوی میانجی‌گری وارد کنند.</w:t>
      </w:r>
    </w:p>
    <w:p>
      <w:pPr>
        <w:pStyle w:val="Heading2"/>
        <w:bidi w:val="1"/>
        <w:jc w:val="right"/>
        <w:outlineLvl w:val="1"/>
      </w:pPr>
      <w:r>
        <w:rPr>
          <w:rFonts w:ascii="B Nazanin" w:hAnsi="B Nazanin" w:cs="B Nazanin" w:hint="cs"/>
          <w:b/>
          <w:bCs/>
          <w:sz w:val="28"/>
          <w:szCs w:val="28"/>
          <w:rtl/>
          <w:lang w:bidi="fa-IR"/>
        </w:rPr>
        <w:t xml:space="preserve">۵-۸. جمع‌بندی نهایی</w:t>
      </w:r>
    </w:p>
    <w:p>
      <w:pPr>
        <w:bidi w:val="1"/>
        <w:spacing w:lineRule="exact" w:line="580" w:after="0"/>
        <w:jc w:val="both"/>
      </w:pPr>
      <w:r>
        <w:rPr>
          <w:rFonts w:ascii="B Nazanin" w:hAnsi="B Nazanin" w:cs="B Nazanin" w:hint="cs"/>
          <w:sz w:val="24"/>
          <w:szCs w:val="24"/>
          <w:rtl/>
          <w:lang w:bidi="fa-IR"/>
        </w:rPr>
        <w:t xml:space="preserve">این پژوهش با آزمون الگوی میانجی‌گری طرحواره‌های ناسازگار اولیه در رابطه اضطراب صفتی با رفتارهای مالی پرخطر، گامی در جهت شناخت سازوکارهای روان‌شناختی تصمیم مالی برداشت. یافته‌ها نشان دادند که اضطراب صفتی از دو مسیر به رفتار پرخطر می‌رسد: مسیر مستقیم و مسیر غیرمستقیمِ گذرنده از طرحواره‌ها که حدود یک‌سوم اثر کل را حمل می‌کند. این الگوی میانجی‌گری جزئی، هم بر اهمیت سازوکارهای شناختی در مالی-رفتاری دلالت دارد و هم یادآوری می‌کند که رفتار معامله‌گر، محصول تعامل پیچیده هیجان، شناخت و بستر بازار است. امید است یافته‌های این پژوهش، مبنایی برای پژوهش‌های علّی‌تر، مداخله‌های مؤثرتر و معامله‌گری آگاهانه‌تر فراهم کند.</w:t>
      </w:r>
    </w:p>
    <w:p>
      <w:r>
        <w:br w:type="page"/>
      </w:r>
    </w:p>
    <w:p>
      <w:pPr>
        <w:bidi/>
        <w:jc w:val="center"/>
        <w:outlineLvl w:val="0"/>
        <w:spacing w:line="580" w:lineRule="exact"/>
      </w:pPr>
      <w:r>
        <w:rPr>
          <w:rFonts w:ascii="B Nazanin" w:hAnsi="B Nazanin" w:cs="B Nazanin"/>
          <w:b/>
          <w:bCs/>
          <w:sz w:val="24"/>
          <w:szCs w:val="24"/>
        </w:rPr>
        <w:t>منابع</w:t>
      </w:r>
    </w:p>
    <w:p>
      <w:pPr>
        <w:bidi/>
        <w:spacing w:line="580" w:lineRule="exact"/>
      </w:pPr>
      <w:r>
        <w:rPr>
          <w:rFonts w:ascii="B Nazanin" w:hAnsi="B Nazanin" w:cs="B Nazanin"/>
          <w:b/>
          <w:bCs/>
          <w:sz w:val="24"/>
          <w:szCs w:val="24"/>
        </w:rPr>
        <w:t>منابع فارسی</w:t>
      </w:r>
    </w:p>
    <w:p>
      <w:pPr>
        <w:bidi/>
        <w:jc w:val="right"/>
        <w:spacing w:line="580" w:lineRule="exact"/>
      </w:pPr>
      <w:r>
        <w:rPr>
          <w:rFonts w:ascii="B Nazanin" w:hAnsi="B Nazanin" w:cs="B Nazanin"/>
          <w:sz w:val="24"/>
          <w:szCs w:val="24"/>
        </w:rPr>
        <w:t>امیدی، ع.، کدیور، پ.، و فرزاد، و. (۱۳۹۲). رابطه بین طرحواره‌های ناسازگار اولیه، سبک‌های فرزندپروری و سبک‌های هویت با گرایش به اعتیاد. اعتیادپژوهی، ۷(۲۷)، ۹-۲۶.</w:t>
      </w:r>
    </w:p>
    <w:p>
      <w:pPr>
        <w:bidi/>
        <w:jc w:val="right"/>
        <w:spacing w:line="580" w:lineRule="exact"/>
      </w:pPr>
      <w:r>
        <w:rPr>
          <w:rFonts w:ascii="B Nazanin" w:hAnsi="B Nazanin" w:cs="B Nazanin"/>
          <w:sz w:val="24"/>
          <w:szCs w:val="24"/>
        </w:rPr>
        <w:t>امیدی، ع.، کدیور، پ.، و فرزاد، و. (۱۳۹۲). رابطه بین طرحواره‌های ناسازگار اولیه، سبک‌های فرزندپروری و سبک‌های هویت با گرایش به اعتیاد. اعتیاد پژوهی، ۷(۲۷)، ۹-۲۶.</w:t>
      </w:r>
    </w:p>
    <w:p>
      <w:pPr>
        <w:bidi/>
        <w:jc w:val="right"/>
        <w:spacing w:line="580" w:lineRule="exact"/>
      </w:pPr>
      <w:r>
        <w:rPr>
          <w:rFonts w:ascii="B Nazanin" w:hAnsi="B Nazanin" w:cs="B Nazanin"/>
          <w:sz w:val="24"/>
          <w:szCs w:val="24"/>
        </w:rPr>
        <w:t>بشارت، محمدعلی؛ رستمی، رضا؛ پورنقاش، سید عباس؛ و گراوند، فریبرز. (۱۳۹۵). بررسی ساختار عاملی و ویژگی‌های روان‌سنجی پرسشنامه اضطراب حالت-صفت اسپیلبرگر در نمونه‌ای از دانشجویان. فصلنامه اندازه‌گیری تربیتی، ۷(۲۵)، ۷۷-۹۸.</w:t>
      </w:r>
    </w:p>
    <w:p>
      <w:pPr>
        <w:bidi/>
        <w:jc w:val="right"/>
        <w:spacing w:line="580" w:lineRule="exact"/>
      </w:pPr>
      <w:r>
        <w:rPr>
          <w:rFonts w:ascii="B Nazanin" w:hAnsi="B Nazanin" w:cs="B Nazanin"/>
          <w:sz w:val="24"/>
          <w:szCs w:val="24"/>
        </w:rPr>
        <w:t>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 های حسابداری مالی و حسابرسی، ۱۱(۴۲)، ۱-۲۶.</w:t>
      </w:r>
    </w:p>
    <w:p>
      <w:pPr>
        <w:bidi/>
        <w:jc w:val="right"/>
        <w:spacing w:line="580" w:lineRule="exact"/>
      </w:pPr>
      <w:r>
        <w:rPr>
          <w:rFonts w:ascii="B Nazanin" w:hAnsi="B Nazanin" w:cs="B Nazanin"/>
          <w:sz w:val="24"/>
          <w:szCs w:val="24"/>
        </w:rPr>
        <w:t>بهدیو، ع.، نمازی، م.، و خواجوی، ش. (۱۳۹۸). ارائه مدلی برای بررسی تأثیرات ترکیبی ریسک‌پذیری، ویژگی‌های فردی و فرهنگی بر بروز رفتار توده‌وار سرمایه‌گذاران در بورس اوراق بهادار تهران. پژوهش‌های حسابداری مالی و حسابرسی، ۱۱(۴۲)، ۱-۲۶.</w:t>
      </w:r>
    </w:p>
    <w:p>
      <w:pPr>
        <w:bidi/>
        <w:jc w:val="right"/>
        <w:spacing w:line="580" w:lineRule="exact"/>
      </w:pPr>
      <w:r>
        <w:rPr>
          <w:rFonts w:ascii="B Nazanin" w:hAnsi="B Nazanin" w:cs="B Nazanin"/>
          <w:sz w:val="24"/>
          <w:szCs w:val="24"/>
        </w:rPr>
        <w:t>ستایش، م. ح.، کاظم‌پور، م.، و دلالی اصفهانی، ر. (۱۳۹۹). بررسی نقش منابع اطلاعاتی بر رابطه میان ویژگی‌های شخصیتی و رفتار معاملاتی سرمایه‌گذاران حقیقی در بورس اوراق بهادار تهران. مطالعات مدیریت مالی، ۸(۱۶)، ۲۹-۶۱.</w:t>
      </w:r>
    </w:p>
    <w:p>
      <w:pPr>
        <w:bidi/>
        <w:jc w:val="right"/>
        <w:spacing w:line="580" w:lineRule="exact"/>
      </w:pPr>
      <w:r>
        <w:rPr>
          <w:rFonts w:ascii="B Nazanin" w:hAnsi="B Nazanin" w:cs="B Nazanin"/>
          <w:sz w:val="24"/>
          <w:szCs w:val="24"/>
        </w:rPr>
        <w:t>طالبی، محمد؛ یحیی‌زاده‌فر، محمود؛ و سعیدی، پرویز. (۱۳۹۸). اعتباریابی مقیاس تحمل ریسک مالی گرابل و لایتون در بورس اوراق بهادار تهران. فصلنامه علمی-پژوهشی دانش سرمایه‌گذاری، ۸(۳۱)، ۱۵۱-۱۶۸.</w:t>
      </w:r>
    </w:p>
    <w:p>
      <w:pPr>
        <w:bidi/>
        <w:jc w:val="right"/>
        <w:spacing w:line="580" w:lineRule="exact"/>
      </w:pPr>
      <w:r>
        <w:rPr>
          <w:rFonts w:ascii="B Nazanin" w:hAnsi="B Nazanin" w:cs="B Nazanin"/>
          <w:sz w:val="24"/>
          <w:szCs w:val="24"/>
        </w:rPr>
        <w:t>فروغی، د.، و تهرانی، ر. (۱۳۹۷). نقش سواد مالی در تعدیل رابطه بین سوگیری های رفتاری و عملکرد سرمایه گذاری در بورس اوراق بهادار تهران. تحقیقات مالی، ۲۰(۲)، ۱۸۹-۲۰۸.</w:t>
      </w:r>
    </w:p>
    <w:p>
      <w:pPr>
        <w:bidi/>
        <w:jc w:val="right"/>
        <w:spacing w:line="580" w:lineRule="exact"/>
      </w:pPr>
      <w:r>
        <w:rPr>
          <w:rFonts w:ascii="B Nazanin" w:hAnsi="B Nazanin" w:cs="B Nazanin"/>
          <w:sz w:val="24"/>
          <w:szCs w:val="24"/>
        </w:rPr>
        <w:t>فروغی، د.، و تهرانی، ر. (۱۳۹۷). نقش سواد مالی در تعدیل رابطه بین سوگیری های رفتاری و عملکرد سرمایه گذاری در بورس اوراق بهادار تهران. تحقیقات مالی، ۲۰) ۲(، ۱۸۹-۲۰۸.</w:t>
      </w:r>
    </w:p>
    <w:p>
      <w:pPr>
        <w:bidi/>
        <w:jc w:val="right"/>
        <w:spacing w:line="580" w:lineRule="exact"/>
      </w:pPr>
      <w:r>
        <w:rPr>
          <w:rFonts w:ascii="B Nazanin" w:hAnsi="B Nazanin" w:cs="B Nazanin"/>
          <w:sz w:val="24"/>
          <w:szCs w:val="24"/>
        </w:rPr>
        <w:t>فلاح، م.، و خدایی، ا. (۱۳۹۸). رابطه هوش هیجانی و سبک های تصمیم گیری با عملکرد سرمایه گذاری در بورس اوراق بهادار تهران. فصلنامه علمی پژوهشی دانش مالی تحلیل اوراق بهادار، ۱۲) ۴۲(، ۱-۱۶.</w:t>
      </w:r>
    </w:p>
    <w:p>
      <w:pPr>
        <w:bidi/>
        <w:jc w:val="right"/>
        <w:spacing w:line="580" w:lineRule="exact"/>
      </w:pPr>
      <w:r>
        <w:rPr>
          <w:rFonts w:ascii="B Nazanin" w:hAnsi="B Nazanin" w:cs="B Nazanin"/>
          <w:sz w:val="24"/>
          <w:szCs w:val="24"/>
        </w:rPr>
        <w:t>فلاح، م.، و خدایی، ا. (۱۳۹۸). رابطه هوش هیجانی و سبک های تصمیم گیری با عملکرد سرمایه گذاری در بورس اوراق بهادار تهران. فصلنامه علمی-پژوهشی دانش مالی تحلیل اوراق بهادار، ۱۲(۴۲)، ۱-۱۶.</w:t>
      </w:r>
    </w:p>
    <w:p>
      <w:pPr>
        <w:bidi/>
        <w:jc w:val="right"/>
        <w:spacing w:line="580" w:lineRule="exact"/>
      </w:pPr>
      <w:r>
        <w:rPr>
          <w:rFonts w:ascii="B Nazanin" w:hAnsi="B Nazanin" w:cs="B Nazanin"/>
          <w:sz w:val="24"/>
          <w:szCs w:val="24"/>
        </w:rPr>
        <w:t>نوری، ر.، و هاشمیان، ک. (۱۳۹۶). رابطه بین طرحواره های ناسازگار اولیه و اضطراب اجتماعی در دانشجویان. مطالعات روانشناختی، ۱۳(۲)، ۱۴۱-۱۵۸.</w:t>
      </w:r>
    </w:p>
    <w:p>
      <w:pPr>
        <w:bidi/>
        <w:jc w:val="right"/>
        <w:spacing w:line="580" w:lineRule="exact"/>
      </w:pPr>
      <w:r>
        <w:rPr>
          <w:rFonts w:ascii="B Nazanin" w:hAnsi="B Nazanin" w:cs="B Nazanin"/>
          <w:sz w:val="24"/>
          <w:szCs w:val="24"/>
        </w:rPr>
        <w:t>یوسفی، ناصر. (۱۳۹۶). ویژگی‌های روان‌سنجی نسخه فارسی پرسشنامه طرحواره یانگ (فرم کوتاه) در نمونه غیربالینی. مجله روانشناسی بالینی، ۹(۲)، ۹۱-۱۰۲.</w:t>
      </w:r>
    </w:p>
    <w:p>
      <w:pPr>
        <w:bidi/>
        <w:spacing w:line="580" w:lineRule="exact"/>
      </w:pPr>
      <w:r>
        <w:rPr>
          <w:rFonts w:ascii="B Nazanin" w:hAnsi="B Nazanin" w:cs="B Nazanin"/>
          <w:b/>
          <w:bCs/>
          <w:sz w:val="24"/>
          <w:szCs w:val="24"/>
        </w:rPr>
        <w:t>منابع لاتین</w:t>
      </w:r>
    </w:p>
    <w:p>
      <w:pPr>
        <w:bidi/>
        <w:jc w:val="left"/>
        <w:spacing w:line="580" w:lineRule="exact"/>
      </w:pPr>
      <w:r>
        <w:rPr>
          <w:rFonts w:ascii="Times New Roman" w:hAnsi="Times New Roman" w:cs="Times New Roman"/>
          <w:sz w:val="22"/>
          <w:szCs w:val="22"/>
        </w:rPr>
        <w:t>American Psychiatric Association. (2013). Diagnostic and statistical manual of mental disorders</w:t>
      </w:r>
    </w:p>
    <w:p>
      <w:pPr>
        <w:bidi/>
        <w:jc w:val="left"/>
        <w:spacing w:line="580" w:lineRule="exact"/>
      </w:pPr>
      <w:r>
        <w:rPr>
          <w:rFonts w:ascii="Times New Roman" w:hAnsi="Times New Roman" w:cs="Times New Roman"/>
          <w:sz w:val="22"/>
          <w:szCs w:val="22"/>
        </w:rPr>
        <w:t>An, H., Li, M., &amp; Wu, W. (2021). The impact of financial anxiety on individual investor's risky asset holdings: Evidence from China. Emerging Markets Finance and Trade, 57(11), 3217-3232.</w:t>
      </w:r>
    </w:p>
    <w:p>
      <w:pPr>
        <w:bidi/>
        <w:jc w:val="left"/>
        <w:spacing w:line="580" w:lineRule="exact"/>
      </w:pPr>
      <w:r>
        <w:rPr>
          <w:rFonts w:ascii="Times New Roman" w:hAnsi="Times New Roman" w:cs="Times New Roman"/>
          <w:sz w:val="22"/>
          <w:szCs w:val="22"/>
        </w:rPr>
        <w:t>Arena, M., Sbai, E., &amp; Soriya, S. (2022). Personality traits and behaviour biases: The moderating role of risk-tolerance. Frontiers in Psychology, 13, 949638.</w:t>
      </w:r>
    </w:p>
    <w:p>
      <w:pPr>
        <w:bidi/>
        <w:jc w:val="left"/>
        <w:spacing w:line="580" w:lineRule="exact"/>
      </w:pPr>
      <w:r>
        <w:rPr>
          <w:rFonts w:ascii="Times New Roman" w:hAnsi="Times New Roman" w:cs="Times New Roman"/>
          <w:sz w:val="22"/>
          <w:szCs w:val="22"/>
        </w:rPr>
        <w:t>Arntz, A., &amp; Jacob, G. (2012). Schema therapy in practice: An introductory guide to the schema mode approach. John Wiley &amp; Sons.</w:t>
      </w:r>
    </w:p>
    <w:p>
      <w:pPr>
        <w:bidi/>
        <w:jc w:val="left"/>
        <w:spacing w:line="580" w:lineRule="exact"/>
      </w:pPr>
      <w:r>
        <w:rPr>
          <w:rFonts w:ascii="Times New Roman" w:hAnsi="Times New Roman" w:cs="Times New Roman"/>
          <w:sz w:val="22"/>
          <w:szCs w:val="22"/>
        </w:rPr>
        <w:t>Auer, B. R., &amp; Schuhmacher, F. (2023). FOMO and the dark side of social trading. Finance Research Letters, 54, 103759.</w:t>
      </w:r>
    </w:p>
    <w:p>
      <w:pPr>
        <w:bidi/>
        <w:jc w:val="left"/>
        <w:spacing w:line="580" w:lineRule="exact"/>
      </w:pPr>
      <w:r>
        <w:rPr>
          <w:rFonts w:ascii="Times New Roman" w:hAnsi="Times New Roman" w:cs="Times New Roman"/>
          <w:sz w:val="22"/>
          <w:szCs w:val="22"/>
        </w:rPr>
        <w:t>Baddeley, A. D., Eysenck, M. W., &amp; Anderson, M. C. (2021). Memory (3rd ed.). Routledge.</w:t>
      </w:r>
    </w:p>
    <w:p>
      <w:pPr>
        <w:bidi/>
        <w:jc w:val="left"/>
        <w:spacing w:line="580" w:lineRule="exact"/>
      </w:pPr>
      <w:r>
        <w:rPr>
          <w:rFonts w:ascii="Times New Roman" w:hAnsi="Times New Roman" w:cs="Times New Roman"/>
          <w:sz w:val="22"/>
          <w:szCs w:val="22"/>
        </w:rPr>
        <w:t>Baker, H. K., &amp; Nofsinger, J. R. (Eds.). (2010). Behavioral finance: Investors, corporations, and markets. John Wiley &amp; Sons.</w:t>
      </w:r>
    </w:p>
    <w:p>
      <w:pPr>
        <w:bidi/>
        <w:jc w:val="left"/>
        <w:spacing w:line="580" w:lineRule="exact"/>
      </w:pPr>
      <w:r>
        <w:rPr>
          <w:rFonts w:ascii="Times New Roman" w:hAnsi="Times New Roman" w:cs="Times New Roman"/>
          <w:sz w:val="22"/>
          <w:szCs w:val="22"/>
        </w:rPr>
        <w:t>Barber, B. M., &amp; Odean, T. (2000). Trading is hazardous to your wealth: The common stock investment performance of individual investors. The Journal of Finance, 55(2), 773-806.</w:t>
      </w:r>
    </w:p>
    <w:p>
      <w:pPr>
        <w:bidi/>
        <w:jc w:val="left"/>
        <w:spacing w:line="580" w:lineRule="exact"/>
      </w:pPr>
      <w:r>
        <w:rPr>
          <w:rFonts w:ascii="Times New Roman" w:hAnsi="Times New Roman" w:cs="Times New Roman"/>
          <w:sz w:val="22"/>
          <w:szCs w:val="22"/>
        </w:rPr>
        <w:t>Barlow, D. H. (2002). Anxiety and its disorders: The nature and treatment of anxiety and panic. Guilford Press.</w:t>
      </w:r>
    </w:p>
    <w:p>
      <w:pPr>
        <w:bidi/>
        <w:jc w:val="left"/>
        <w:spacing w:line="580" w:lineRule="exact"/>
      </w:pPr>
      <w:r>
        <w:rPr>
          <w:rFonts w:ascii="Times New Roman" w:hAnsi="Times New Roman" w:cs="Times New Roman"/>
          <w:sz w:val="22"/>
          <w:szCs w:val="22"/>
        </w:rPr>
        <w:t>Beck, A. T. (1976). Cognitive therapy and the emotional disorders. International Universities Press.</w:t>
      </w:r>
    </w:p>
    <w:p>
      <w:pPr>
        <w:bidi/>
        <w:jc w:val="left"/>
        <w:spacing w:line="580" w:lineRule="exact"/>
      </w:pPr>
      <w:r>
        <w:rPr>
          <w:rFonts w:ascii="Times New Roman" w:hAnsi="Times New Roman" w:cs="Times New Roman"/>
          <w:sz w:val="22"/>
          <w:szCs w:val="22"/>
        </w:rPr>
        <w:t>Beck, A. T., &amp; Clark, D. A. (1997). An information processing model of anxiety: Automatic and strategic processes. Behaviour Research and Therapy, 35(1), 49–58. https://doi.org/10.1016/s0005-7967(96)00069-1</w:t>
      </w:r>
    </w:p>
    <w:p>
      <w:pPr>
        <w:bidi/>
        <w:jc w:val="left"/>
        <w:spacing w:line="580" w:lineRule="exact"/>
      </w:pPr>
      <w:r>
        <w:rPr>
          <w:rFonts w:ascii="Times New Roman" w:hAnsi="Times New Roman" w:cs="Times New Roman"/>
          <w:sz w:val="22"/>
          <w:szCs w:val="22"/>
        </w:rPr>
        <w:t>Bishop, S. J. (2007). Neurocognitive mechanisms of anxiety: an integrative account. Trends in Cognitive Sciences, 11(7), 307-316.</w:t>
      </w:r>
    </w:p>
    <w:p>
      <w:pPr>
        <w:bidi/>
        <w:jc w:val="left"/>
        <w:spacing w:line="580" w:lineRule="exact"/>
      </w:pPr>
      <w:r>
        <w:rPr>
          <w:rFonts w:ascii="Times New Roman" w:hAnsi="Times New Roman" w:cs="Times New Roman"/>
          <w:sz w:val="22"/>
          <w:szCs w:val="22"/>
        </w:rPr>
        <w:t>Bodie, Z., Kane, A., &amp; Marcus, A. J. (2018). Investments (11th ed.). McGraw-Hill Education.</w:t>
      </w:r>
    </w:p>
    <w:p>
      <w:pPr>
        <w:bidi/>
        <w:jc w:val="left"/>
        <w:spacing w:line="580" w:lineRule="exact"/>
      </w:pPr>
      <w:r>
        <w:rPr>
          <w:rFonts w:ascii="Times New Roman" w:hAnsi="Times New Roman" w:cs="Times New Roman"/>
          <w:sz w:val="22"/>
          <w:szCs w:val="22"/>
        </w:rPr>
        <w:t>Borkovec, T. D. (1994). The nature, functions, and origins of worry. In G. C. L. Davey &amp; F. Tallis (Eds.), Worrying: Perspectives on theory, assessment and treatment (pp. 5–33). Wiley.</w:t>
      </w:r>
    </w:p>
    <w:p>
      <w:pPr>
        <w:bidi/>
        <w:jc w:val="left"/>
        <w:spacing w:line="580" w:lineRule="exact"/>
      </w:pPr>
      <w:r>
        <w:rPr>
          <w:rFonts w:ascii="Times New Roman" w:hAnsi="Times New Roman" w:cs="Times New Roman"/>
          <w:sz w:val="22"/>
          <w:szCs w:val="22"/>
        </w:rPr>
        <w:t>Charles, V., &amp; Kasilingam, R. (2022). The role of anxiety in financial decisions. Review of Behavioral Finance, 14(5), 720-735.</w:t>
      </w:r>
    </w:p>
    <w:p>
      <w:pPr>
        <w:bidi/>
        <w:jc w:val="left"/>
        <w:spacing w:line="580" w:lineRule="exact"/>
      </w:pPr>
      <w:r>
        <w:rPr>
          <w:rFonts w:ascii="Times New Roman" w:hAnsi="Times New Roman" w:cs="Times New Roman"/>
          <w:sz w:val="22"/>
          <w:szCs w:val="22"/>
        </w:rPr>
        <w:t>Daniel, K., Hirshleifer, D., &amp; Subrahmanyam, A. (1998). Investor psychology and security market under- and overreactions. The Journal of Finance, 53(6), 1839–1885. https://doi.org/10.1111/0022-1082.00077</w:t>
      </w:r>
    </w:p>
    <w:p>
      <w:pPr>
        <w:bidi/>
        <w:jc w:val="left"/>
        <w:spacing w:line="580" w:lineRule="exact"/>
      </w:pPr>
      <w:r>
        <w:rPr>
          <w:rFonts w:ascii="Times New Roman" w:hAnsi="Times New Roman" w:cs="Times New Roman"/>
          <w:sz w:val="22"/>
          <w:szCs w:val="22"/>
        </w:rPr>
        <w:t>De Martino, B., et al. (2006) Frames, biases, and rational decision-making in the human brain. Science, 313 (5787), 684–687.</w:t>
      </w:r>
    </w:p>
    <w:p>
      <w:pPr>
        <w:bidi/>
        <w:jc w:val="left"/>
        <w:spacing w:line="580" w:lineRule="exact"/>
      </w:pPr>
      <w:r>
        <w:rPr>
          <w:rFonts w:ascii="Times New Roman" w:hAnsi="Times New Roman" w:cs="Times New Roman"/>
          <w:sz w:val="22"/>
          <w:szCs w:val="22"/>
        </w:rPr>
        <w:t>Dhingra, J., &amp; Aggarwal, N. (2025). Exploring Trait Anxiety as a Psychological Construct: Impacts of Gender, Educational Attainment and Financial Training. Indian Journal of Positive Psychology, 16(1), 45-58.</w:t>
      </w:r>
    </w:p>
    <w:p>
      <w:pPr>
        <w:bidi/>
        <w:jc w:val="left"/>
        <w:spacing w:line="580" w:lineRule="exact"/>
      </w:pPr>
      <w:r>
        <w:rPr>
          <w:rFonts w:ascii="Times New Roman" w:hAnsi="Times New Roman" w:cs="Times New Roman"/>
          <w:sz w:val="22"/>
          <w:szCs w:val="22"/>
        </w:rPr>
        <w:t>Estévez, A., et al. (2024). Association between gambling motives, violence and early maladaptive schemas in women with gambling disorder. Journal of Gambling Studies. https://doi.org/10.1007/s10899-024-10285-8</w:t>
      </w:r>
    </w:p>
    <w:p>
      <w:pPr>
        <w:bidi/>
        <w:jc w:val="left"/>
        <w:spacing w:line="580" w:lineRule="exact"/>
      </w:pPr>
      <w:r>
        <w:rPr>
          <w:rFonts w:ascii="Times New Roman" w:hAnsi="Times New Roman" w:cs="Times New Roman"/>
          <w:sz w:val="22"/>
          <w:szCs w:val="22"/>
        </w:rPr>
        <w:t>Eysenck, M. W., Derakshan, N., Santos, R., &amp; Calvo, M. G. (2007). Anxiety and cognitive performance: attentional control theory. Emotion, 7(2), 336–353.</w:t>
      </w:r>
    </w:p>
    <w:p>
      <w:pPr>
        <w:bidi/>
        <w:jc w:val="left"/>
        <w:spacing w:line="580" w:lineRule="exact"/>
      </w:pPr>
      <w:r>
        <w:rPr>
          <w:rFonts w:ascii="Times New Roman" w:hAnsi="Times New Roman" w:cs="Times New Roman"/>
          <w:sz w:val="22"/>
          <w:szCs w:val="22"/>
        </w:rPr>
        <w:t>Fenton-O'Creevy, M., et al. (2012). Emotion regulation and trader expertise: Heart rate variability on the trading floor. Journal of Neuroscience, Psychology, and Economics, 5(4), 227-237.</w:t>
      </w:r>
    </w:p>
    <w:p>
      <w:pPr>
        <w:bidi/>
        <w:jc w:val="left"/>
        <w:spacing w:line="580" w:lineRule="exact"/>
      </w:pPr>
      <w:r>
        <w:rPr>
          <w:rFonts w:ascii="Times New Roman" w:hAnsi="Times New Roman" w:cs="Times New Roman"/>
          <w:sz w:val="22"/>
          <w:szCs w:val="22"/>
        </w:rPr>
        <w:t>Fenton-O'Creevy, M., Soane, E., Nicholson, N., &amp; Willman, P. (2011). Thinking, feeling and deciding: The influence of emotions on the decision making and performance of traders. Journal of Organizational Behavior, 32(8), 1044-1061. https://doi.org/10.1002/job.720</w:t>
      </w:r>
    </w:p>
    <w:p>
      <w:pPr>
        <w:bidi/>
        <w:jc w:val="left"/>
        <w:spacing w:line="580" w:lineRule="exact"/>
      </w:pPr>
      <w:r>
        <w:rPr>
          <w:rFonts w:ascii="Times New Roman" w:hAnsi="Times New Roman" w:cs="Times New Roman"/>
          <w:sz w:val="22"/>
          <w:szCs w:val="22"/>
        </w:rPr>
        <w:t>Fenton-O’Creevy, M., et al. (2012) Emotion regulation and trader expertise: Heart rate variability on the trading floor. Journal of Neuroscience, Psychology, and Economics, 5 (4), 227–237</w:t>
      </w:r>
    </w:p>
    <w:p>
      <w:pPr>
        <w:bidi/>
        <w:jc w:val="left"/>
        <w:spacing w:line="580" w:lineRule="exact"/>
      </w:pPr>
      <w:r>
        <w:rPr>
          <w:rFonts w:ascii="Times New Roman" w:hAnsi="Times New Roman" w:cs="Times New Roman"/>
          <w:sz w:val="22"/>
          <w:szCs w:val="22"/>
        </w:rPr>
        <w:t>Gambetti, E., &amp; Giusberti, F. (2012). The effect of anger and anxiety on investment decisions. Journal of Economic Psychology, 33 (5), 1059–1069</w:t>
      </w:r>
    </w:p>
    <w:p>
      <w:pPr>
        <w:bidi/>
        <w:jc w:val="left"/>
        <w:spacing w:line="580" w:lineRule="exact"/>
      </w:pPr>
      <w:r>
        <w:rPr>
          <w:rFonts w:ascii="Times New Roman" w:hAnsi="Times New Roman" w:cs="Times New Roman"/>
          <w:sz w:val="22"/>
          <w:szCs w:val="22"/>
        </w:rPr>
        <w:t>Goetzmann, W. N., &amp; Kumar, A. (2008). Equity portfolio diversification. Review of Finance, 12(3), 433-463.</w:t>
      </w:r>
    </w:p>
    <w:p>
      <w:pPr>
        <w:bidi/>
        <w:jc w:val="left"/>
        <w:spacing w:line="580" w:lineRule="exact"/>
      </w:pPr>
      <w:r>
        <w:rPr>
          <w:rFonts w:ascii="Times New Roman" w:hAnsi="Times New Roman" w:cs="Times New Roman"/>
          <w:sz w:val="22"/>
          <w:szCs w:val="22"/>
        </w:rPr>
        <w:t>Grable, J. E. (2017). Financial risk tolerance: A psychometric review. Financial Services Review, 26(2), 1-18.</w:t>
      </w:r>
    </w:p>
    <w:p>
      <w:pPr>
        <w:bidi/>
        <w:jc w:val="left"/>
        <w:spacing w:line="580" w:lineRule="exact"/>
      </w:pPr>
      <w:r>
        <w:rPr>
          <w:rFonts w:ascii="Times New Roman" w:hAnsi="Times New Roman" w:cs="Times New Roman"/>
          <w:sz w:val="22"/>
          <w:szCs w:val="22"/>
        </w:rPr>
        <w:t>Grable, J. E., &amp; Lytton, R. H. (1999). Financial risk tolerance revisited: The development of a risk assessment instrument. Financial Services Review, 8(3), 163-181.</w:t>
      </w:r>
    </w:p>
    <w:p>
      <w:pPr>
        <w:bidi/>
        <w:jc w:val="left"/>
        <w:spacing w:line="580" w:lineRule="exact"/>
      </w:pPr>
      <w:r>
        <w:rPr>
          <w:rFonts w:ascii="Times New Roman" w:hAnsi="Times New Roman" w:cs="Times New Roman"/>
          <w:sz w:val="22"/>
          <w:szCs w:val="22"/>
        </w:rPr>
        <w:t>Grall-Bronnec, M., et al. (2025). Development and validation of the Trading Disorder Scale for assessing problematic trading behaviors. Journal of Behavioral Addictions, 14(1), 112-128.</w:t>
      </w:r>
    </w:p>
    <w:p>
      <w:pPr>
        <w:bidi/>
        <w:jc w:val="left"/>
        <w:spacing w:line="580" w:lineRule="exact"/>
      </w:pPr>
      <w:r>
        <w:rPr>
          <w:rFonts w:ascii="Times New Roman" w:hAnsi="Times New Roman" w:cs="Times New Roman"/>
          <w:sz w:val="22"/>
          <w:szCs w:val="22"/>
        </w:rPr>
        <w:t>Grupe, D. W., &amp; Nitschke, J. B. (2013). Uncertainty and anticipation in anxiety: an integrated neurobiological and psychological perspective. Nature Reviews Neuroscience, 14(7), 488-501.</w:t>
      </w:r>
    </w:p>
    <w:p>
      <w:pPr>
        <w:bidi/>
        <w:jc w:val="left"/>
        <w:spacing w:line="580" w:lineRule="exact"/>
      </w:pPr>
      <w:r>
        <w:rPr>
          <w:rFonts w:ascii="Times New Roman" w:hAnsi="Times New Roman" w:cs="Times New Roman"/>
          <w:sz w:val="22"/>
          <w:szCs w:val="22"/>
        </w:rPr>
        <w:t>Halvorsen, M., Wang, C. E., Richter, J., Myrland, I., Pedersen, S. K., Eisemann, M., &amp; Waterloo, K. (2009). Early maladaptive schemas, temperament and character traits in clinically depressed and previously depressed subjects. Clinical Psychology &amp; Psychotherapy, 16(5), 394-407. https://doi.org/10.1002/cpp.618</w:t>
      </w:r>
    </w:p>
    <w:p>
      <w:pPr>
        <w:bidi/>
        <w:jc w:val="left"/>
        <w:spacing w:line="580" w:lineRule="exact"/>
      </w:pPr>
      <w:r>
        <w:rPr>
          <w:rFonts w:ascii="Times New Roman" w:hAnsi="Times New Roman" w:cs="Times New Roman"/>
          <w:sz w:val="22"/>
          <w:szCs w:val="22"/>
        </w:rPr>
        <w:t>Hartley, C. A., &amp; Phelps, E. A. (2012). Anxiety and decision-making. Biological Psychiatry, 72 (2), 113–118</w:t>
      </w:r>
    </w:p>
    <w:p>
      <w:pPr>
        <w:bidi/>
        <w:jc w:val="left"/>
        <w:spacing w:line="580" w:lineRule="exact"/>
      </w:pPr>
      <w:r>
        <w:rPr>
          <w:rFonts w:ascii="Times New Roman" w:hAnsi="Times New Roman" w:cs="Times New Roman"/>
          <w:sz w:val="22"/>
          <w:szCs w:val="22"/>
        </w:rPr>
        <w:t>Hayes, A. F. (2018). Introduction to mediation, moderation, and conditional process analysis: A regression-based approach (2nd ed.). Guilford Press.</w:t>
      </w:r>
    </w:p>
    <w:p>
      <w:pPr>
        <w:bidi/>
        <w:jc w:val="left"/>
        <w:spacing w:line="580" w:lineRule="exact"/>
      </w:pPr>
      <w:r>
        <w:rPr>
          <w:rFonts w:ascii="Times New Roman" w:hAnsi="Times New Roman" w:cs="Times New Roman"/>
          <w:sz w:val="22"/>
          <w:szCs w:val="22"/>
        </w:rPr>
        <w:t>Hwang, S., &amp; Salmon, M. (2004). Market stress and herding. Journal of Empirical Finance, 11(4), 585-616.</w:t>
      </w:r>
    </w:p>
    <w:p>
      <w:pPr>
        <w:bidi/>
        <w:jc w:val="left"/>
        <w:spacing w:line="580" w:lineRule="exact"/>
      </w:pPr>
      <w:r>
        <w:rPr>
          <w:rFonts w:ascii="Times New Roman" w:hAnsi="Times New Roman" w:cs="Times New Roman"/>
          <w:sz w:val="22"/>
          <w:szCs w:val="22"/>
        </w:rPr>
        <w:t>Kahneman, D. (2011). Thinking, fast and slow. Farrar, Straus and Giroux.</w:t>
      </w:r>
    </w:p>
    <w:p>
      <w:pPr>
        <w:bidi/>
        <w:jc w:val="left"/>
        <w:spacing w:line="580" w:lineRule="exact"/>
      </w:pPr>
      <w:r>
        <w:rPr>
          <w:rFonts w:ascii="Times New Roman" w:hAnsi="Times New Roman" w:cs="Times New Roman"/>
          <w:sz w:val="22"/>
          <w:szCs w:val="22"/>
        </w:rPr>
        <w:t>Kahneman, D., &amp; Tversky, A. (1979). Prospect theory: An analysis of decision under risk. Econometrica, 47(2), 263-291.</w:t>
      </w:r>
    </w:p>
    <w:p>
      <w:pPr>
        <w:bidi/>
        <w:jc w:val="left"/>
        <w:spacing w:line="580" w:lineRule="exact"/>
      </w:pPr>
      <w:r>
        <w:rPr>
          <w:rFonts w:ascii="Times New Roman" w:hAnsi="Times New Roman" w:cs="Times New Roman"/>
          <w:sz w:val="22"/>
          <w:szCs w:val="22"/>
        </w:rPr>
        <w:t>Kaplan, H. I., &amp; Sadock, B. J. (2015) Synopsis of Psychiatry: Behavioral Sciences/Clinical Psychiatry. Wolters Kluwer.</w:t>
      </w:r>
    </w:p>
    <w:p>
      <w:pPr>
        <w:bidi/>
        <w:jc w:val="left"/>
        <w:spacing w:line="580" w:lineRule="exact"/>
      </w:pPr>
      <w:r>
        <w:rPr>
          <w:rFonts w:ascii="Times New Roman" w:hAnsi="Times New Roman" w:cs="Times New Roman"/>
          <w:sz w:val="22"/>
          <w:szCs w:val="22"/>
        </w:rPr>
        <w:t>Kline, R. B. (2016). Principles and practice of structural equation modeling (4th ed.). Guilford Press.</w:t>
      </w:r>
    </w:p>
    <w:p>
      <w:pPr>
        <w:bidi/>
        <w:jc w:val="left"/>
        <w:spacing w:line="580" w:lineRule="exact"/>
      </w:pPr>
      <w:r>
        <w:rPr>
          <w:rFonts w:ascii="Times New Roman" w:hAnsi="Times New Roman" w:cs="Times New Roman"/>
          <w:sz w:val="22"/>
          <w:szCs w:val="22"/>
        </w:rPr>
        <w:t>Kuhnen, C. M., &amp; Chiao, J. Y. (2009). Genetic determinants of financial risk taking. PLOS ONE, 4 (2), e4362</w:t>
      </w:r>
    </w:p>
    <w:p>
      <w:pPr>
        <w:bidi/>
        <w:jc w:val="left"/>
        <w:spacing w:line="580" w:lineRule="exact"/>
      </w:pPr>
      <w:r>
        <w:rPr>
          <w:rFonts w:ascii="Times New Roman" w:hAnsi="Times New Roman" w:cs="Times New Roman"/>
          <w:sz w:val="22"/>
          <w:szCs w:val="22"/>
        </w:rPr>
        <w:t>Lauriola, M., &amp; Levin, I. P. (2001). Personality traits and risky decision-making in a controlled experimental task: An exploratory study. Personality and Individual Differences, 31(2), 215-226.</w:t>
      </w:r>
    </w:p>
    <w:p>
      <w:pPr>
        <w:bidi/>
        <w:jc w:val="left"/>
        <w:spacing w:line="580" w:lineRule="exact"/>
      </w:pPr>
      <w:r>
        <w:rPr>
          <w:rFonts w:ascii="Times New Roman" w:hAnsi="Times New Roman" w:cs="Times New Roman"/>
          <w:sz w:val="22"/>
          <w:szCs w:val="22"/>
        </w:rPr>
        <w:t>Lindberg, N., et al. (2011). Early maladaptive schemas in pathological gambling. Journal of Gambling Studies, 27(2), 277-287.</w:t>
      </w:r>
    </w:p>
    <w:p>
      <w:pPr>
        <w:bidi/>
        <w:jc w:val="left"/>
        <w:spacing w:line="580" w:lineRule="exact"/>
      </w:pPr>
      <w:r>
        <w:rPr>
          <w:rFonts w:ascii="Times New Roman" w:hAnsi="Times New Roman" w:cs="Times New Roman"/>
          <w:sz w:val="22"/>
          <w:szCs w:val="22"/>
        </w:rPr>
        <w:t>Lo, A. W., &amp; Repin, D. V. (2002). The psychophysiology of real-time financial risk processing. Journal of Cognitive Neuroscience, 14(3), 323-339.</w:t>
      </w:r>
    </w:p>
    <w:p>
      <w:pPr>
        <w:bidi/>
        <w:jc w:val="left"/>
        <w:spacing w:line="580" w:lineRule="exact"/>
      </w:pPr>
      <w:r>
        <w:rPr>
          <w:rFonts w:ascii="Times New Roman" w:hAnsi="Times New Roman" w:cs="Times New Roman"/>
          <w:sz w:val="22"/>
          <w:szCs w:val="22"/>
        </w:rPr>
        <w:t>Lo, A. W., Repin, D. V., &amp; Steenbarger, B. N. (2005). Fear and Greed in Financial Markets: A Clinical Study of Day-Traders. American Economic Review, 95 (2), 352–359.</w:t>
      </w:r>
    </w:p>
    <w:p>
      <w:pPr>
        <w:bidi/>
        <w:jc w:val="left"/>
        <w:spacing w:line="580" w:lineRule="exact"/>
      </w:pPr>
      <w:r>
        <w:rPr>
          <w:rFonts w:ascii="Times New Roman" w:hAnsi="Times New Roman" w:cs="Times New Roman"/>
          <w:sz w:val="22"/>
          <w:szCs w:val="22"/>
        </w:rPr>
        <w:t>Lo, A. W., Repin, D. V., &amp; Steenbarger, B. N. (2005). Fear and Greed in Financial Markets: A Clinical Study of Day-Traders. American Economic Review, 95 (2), 352–359. https://doi.org/10.1257/000282805774670095</w:t>
      </w:r>
    </w:p>
    <w:p>
      <w:pPr>
        <w:bidi/>
        <w:jc w:val="left"/>
        <w:spacing w:line="580" w:lineRule="exact"/>
      </w:pPr>
      <w:r>
        <w:rPr>
          <w:rFonts w:ascii="Times New Roman" w:hAnsi="Times New Roman" w:cs="Times New Roman"/>
          <w:sz w:val="22"/>
          <w:szCs w:val="22"/>
        </w:rPr>
        <w:t>Mahato, S., et al. (2025). Millennials and zoomers as investors: Behavioral factors shaping financial choices. All Finance Journal, 3(2), 15-29.</w:t>
      </w:r>
    </w:p>
    <w:p>
      <w:pPr>
        <w:bidi/>
        <w:jc w:val="left"/>
        <w:spacing w:line="580" w:lineRule="exact"/>
      </w:pPr>
      <w:r>
        <w:rPr>
          <w:rFonts w:ascii="Times New Roman" w:hAnsi="Times New Roman" w:cs="Times New Roman"/>
          <w:sz w:val="22"/>
          <w:szCs w:val="22"/>
        </w:rPr>
        <w:t>Mahato, S., et al. (2025). Millennials and zoomers as investors: Behavioral factors shaping financial choices. International Journal of Research in Finance and Management, 8(2), 147-150. https://doi.org/10.33545/26175754.2025.v8.i2b.539</w:t>
      </w:r>
    </w:p>
    <w:p>
      <w:pPr>
        <w:bidi/>
        <w:jc w:val="left"/>
        <w:spacing w:line="580" w:lineRule="exact"/>
      </w:pPr>
      <w:r>
        <w:rPr>
          <w:rFonts w:ascii="Times New Roman" w:hAnsi="Times New Roman" w:cs="Times New Roman"/>
          <w:sz w:val="22"/>
          <w:szCs w:val="22"/>
        </w:rPr>
        <w:t>Malkiel, B. G. (2003). The efficient market hypothesis and its critics. Journal of Economic Perspectives, 17(1), 59-82.</w:t>
      </w:r>
    </w:p>
    <w:p>
      <w:pPr>
        <w:bidi/>
        <w:jc w:val="left"/>
        <w:spacing w:line="580" w:lineRule="exact"/>
      </w:pPr>
      <w:r>
        <w:rPr>
          <w:rFonts w:ascii="Times New Roman" w:hAnsi="Times New Roman" w:cs="Times New Roman"/>
          <w:sz w:val="22"/>
          <w:szCs w:val="22"/>
        </w:rPr>
        <w:t>Maner, J. K., &amp; Schmidt, N. B. (2006). The role of risk avoidance in anxiety. Behavior Therapy, 37 (3), 290–305.</w:t>
      </w:r>
    </w:p>
    <w:p>
      <w:pPr>
        <w:bidi/>
        <w:jc w:val="left"/>
        <w:spacing w:line="580" w:lineRule="exact"/>
      </w:pPr>
      <w:r>
        <w:rPr>
          <w:rFonts w:ascii="Times New Roman" w:hAnsi="Times New Roman" w:cs="Times New Roman"/>
          <w:sz w:val="22"/>
          <w:szCs w:val="22"/>
        </w:rPr>
        <w:t>Mishkin, F. S. (2019). The economics of money, banking and financial markets (12th ed.). Pearson.</w:t>
      </w:r>
    </w:p>
    <w:p>
      <w:pPr>
        <w:bidi/>
        <w:jc w:val="left"/>
        <w:spacing w:line="580" w:lineRule="exact"/>
      </w:pPr>
      <w:r>
        <w:rPr>
          <w:rFonts w:ascii="Times New Roman" w:hAnsi="Times New Roman" w:cs="Times New Roman"/>
          <w:sz w:val="22"/>
          <w:szCs w:val="22"/>
        </w:rPr>
        <w:t>Mitte, K. (2007). Anxiety and risky decision-making: The role of cognitive processing. Psychological Review, 114 (4), 893-912.</w:t>
      </w:r>
    </w:p>
    <w:p>
      <w:pPr>
        <w:bidi/>
        <w:jc w:val="left"/>
        <w:spacing w:line="580" w:lineRule="exact"/>
      </w:pPr>
      <w:r>
        <w:rPr>
          <w:rFonts w:ascii="Times New Roman" w:hAnsi="Times New Roman" w:cs="Times New Roman"/>
          <w:sz w:val="22"/>
          <w:szCs w:val="22"/>
        </w:rPr>
        <w:t>Nguyen, M. T. T., Nguyen, L. H., &amp; Ho, T. H. (2019). Personality traits and stock investment of individuals. Sustainability, 11(19), 5474.</w:t>
      </w:r>
    </w:p>
    <w:p>
      <w:pPr>
        <w:bidi/>
        <w:jc w:val="left"/>
        <w:spacing w:line="580" w:lineRule="exact"/>
      </w:pPr>
      <w:r>
        <w:rPr>
          <w:rFonts w:ascii="Times New Roman" w:hAnsi="Times New Roman" w:cs="Times New Roman"/>
          <w:sz w:val="22"/>
          <w:szCs w:val="22"/>
        </w:rPr>
        <w:t>OECD. (2021). Retail investors in capital markets: Key findings and main messages. OECD Publishing.</w:t>
      </w:r>
    </w:p>
    <w:p>
      <w:pPr>
        <w:bidi/>
        <w:jc w:val="left"/>
        <w:spacing w:line="580" w:lineRule="exact"/>
      </w:pPr>
      <w:r>
        <w:rPr>
          <w:rFonts w:ascii="Times New Roman" w:hAnsi="Times New Roman" w:cs="Times New Roman"/>
          <w:sz w:val="22"/>
          <w:szCs w:val="22"/>
        </w:rPr>
        <w:t>Ololo, K., et al. (2024). Rational Emotive and Cognitive Behavior Coaching Intervention for Promoting College Students’ Financial Risk Tolerance and Attitudes Towards Financial Risk. Journal of Rational-Emotive &amp; Cognitive-Behavior Therapy, 42(2), 398-418. https://doi.org/10.1007/s10942-023-00523-0</w:t>
      </w:r>
    </w:p>
    <w:p>
      <w:pPr>
        <w:bidi/>
        <w:jc w:val="left"/>
        <w:spacing w:line="580" w:lineRule="exact"/>
      </w:pPr>
      <w:r>
        <w:rPr>
          <w:rFonts w:ascii="Times New Roman" w:hAnsi="Times New Roman" w:cs="Times New Roman"/>
          <w:sz w:val="22"/>
          <w:szCs w:val="22"/>
        </w:rPr>
        <w:t>Ololo, K., et al. (2024). Rational Emotive and Cognitive Behavior Coaching Intervention for Promoting College Students’ Financial Risk Tolerance. Journal of Rational-Emotive &amp; Cognitive-Behavior Therapy, 42, 398-418.</w:t>
      </w:r>
    </w:p>
    <w:p>
      <w:pPr>
        <w:bidi/>
        <w:jc w:val="left"/>
        <w:spacing w:line="580" w:lineRule="exact"/>
      </w:pPr>
      <w:r>
        <w:rPr>
          <w:rFonts w:ascii="Times New Roman" w:hAnsi="Times New Roman" w:cs="Times New Roman"/>
          <w:sz w:val="22"/>
          <w:szCs w:val="22"/>
        </w:rPr>
        <w:t>Pak, O., &amp; Mahmood, M. (2019). Personality traits and investor profile analysis: A behavioral finance study. PLoS ONE, 14(3), e0213626.</w:t>
      </w:r>
    </w:p>
    <w:p>
      <w:pPr>
        <w:bidi/>
        <w:jc w:val="left"/>
        <w:spacing w:line="580" w:lineRule="exact"/>
      </w:pPr>
      <w:r>
        <w:rPr>
          <w:rFonts w:ascii="Times New Roman" w:hAnsi="Times New Roman" w:cs="Times New Roman"/>
          <w:sz w:val="22"/>
          <w:szCs w:val="22"/>
        </w:rPr>
        <w:t>Rehm, I. C., et al. (2015). Neuroticism and its facets in relation to early maladaptive schemas. Journal of Affective Disorders, 172, 424-431.</w:t>
      </w:r>
    </w:p>
    <w:p>
      <w:pPr>
        <w:bidi/>
        <w:jc w:val="left"/>
        <w:spacing w:line="580" w:lineRule="exact"/>
      </w:pPr>
      <w:r>
        <w:rPr>
          <w:rFonts w:ascii="Times New Roman" w:hAnsi="Times New Roman" w:cs="Times New Roman"/>
          <w:sz w:val="22"/>
          <w:szCs w:val="22"/>
        </w:rPr>
        <w:t>Safitri, H., Giriati, G., &amp; Wendy, W. (2025). Socio-Psychological Effect in Investment Decision-Making Mediated by Risk Tolerance. Journal of Information Systems Engineering and Management, 10(1), 22015.</w:t>
      </w:r>
    </w:p>
    <w:p>
      <w:pPr>
        <w:bidi/>
        <w:jc w:val="left"/>
        <w:spacing w:line="580" w:lineRule="exact"/>
      </w:pPr>
      <w:r>
        <w:rPr>
          <w:rFonts w:ascii="Times New Roman" w:hAnsi="Times New Roman" w:cs="Times New Roman"/>
          <w:sz w:val="22"/>
          <w:szCs w:val="22"/>
        </w:rPr>
        <w:t>Safitri, H., Giriati, G., &amp; Wendy, W. (2025). Socio-Psychological Effect in Investment Decision-Making Mediated by Risk Tolerance. Journal of Information Systems Engineering and Management, 10(49s), 461-474. https://doi.org/10.52783/jisem.v10i49s.9897</w:t>
      </w:r>
    </w:p>
    <w:p>
      <w:pPr>
        <w:bidi/>
        <w:jc w:val="left"/>
        <w:spacing w:line="580" w:lineRule="exact"/>
      </w:pPr>
      <w:r>
        <w:rPr>
          <w:rFonts w:ascii="Times New Roman" w:hAnsi="Times New Roman" w:cs="Times New Roman"/>
          <w:sz w:val="22"/>
          <w:szCs w:val="22"/>
        </w:rPr>
        <w:t>Saggino, A., Balsamo, M., Carlucci, L., Cavalletti, V., Sergi, M. R., da Fermo, G., Dèttore, D., Marsigli, N., &amp; Tommasi, M. (2018). Psychometric properties of the Italian version of the Young Schema Questionnaire L-3: Preliminary results. Frontiers in Psychology, 9, 312. https://doi.org/10.3389/fpsyg.2018.00312</w:t>
      </w:r>
    </w:p>
    <w:p>
      <w:pPr>
        <w:bidi/>
        <w:jc w:val="left"/>
        <w:spacing w:line="580" w:lineRule="exact"/>
      </w:pPr>
      <w:r>
        <w:rPr>
          <w:rFonts w:ascii="Times New Roman" w:hAnsi="Times New Roman" w:cs="Times New Roman"/>
          <w:sz w:val="22"/>
          <w:szCs w:val="22"/>
        </w:rPr>
        <w:t>Schmidt, N. B., Joiner, T. E., Young, J. E., &amp; Telch, M. J. (1995). The schema questionnaire: Investigation of psychometric properties and the hierarchical structure of a measure of maladaptive schemas. Cognitive Therapy and Research, 19(3), 295–321. https://doi.org/10.1007/bf02230402</w:t>
      </w:r>
    </w:p>
    <w:p>
      <w:pPr>
        <w:bidi/>
        <w:jc w:val="left"/>
        <w:spacing w:line="580" w:lineRule="exact"/>
      </w:pPr>
      <w:r>
        <w:rPr>
          <w:rFonts w:ascii="Times New Roman" w:hAnsi="Times New Roman" w:cs="Times New Roman"/>
          <w:sz w:val="22"/>
          <w:szCs w:val="22"/>
        </w:rPr>
        <w:t>Sedighi Arfaee, F., Navabi Semiromi, M. J., &amp; Karami, A. A. (2023). The effect of early maladaptive schemas on tendency to risky behaviors with the mediating role of emotion regulation in male secondary school students. Knowledge &amp; Research in Applied Psychology. https://sanad.iau.ir/journal/jsrp</w:t>
      </w:r>
    </w:p>
    <w:p>
      <w:pPr>
        <w:bidi/>
        <w:jc w:val="left"/>
        <w:spacing w:line="580" w:lineRule="exact"/>
      </w:pPr>
      <w:r>
        <w:rPr>
          <w:rFonts w:ascii="Times New Roman" w:hAnsi="Times New Roman" w:cs="Times New Roman"/>
          <w:sz w:val="22"/>
          <w:szCs w:val="22"/>
        </w:rPr>
        <w:t>Shefrin, H., &amp; Statman, M. (1985). The disposition to sell winners too early and ride losers too long: Theory and evidence. The Journal of Finance, 40(3), 777-790.</w:t>
      </w:r>
    </w:p>
    <w:p>
      <w:pPr>
        <w:bidi/>
        <w:jc w:val="left"/>
        <w:spacing w:line="580" w:lineRule="exact"/>
      </w:pPr>
      <w:r>
        <w:rPr>
          <w:rFonts w:ascii="Times New Roman" w:hAnsi="Times New Roman" w:cs="Times New Roman"/>
          <w:sz w:val="22"/>
          <w:szCs w:val="22"/>
        </w:rPr>
        <w:t>Shiller, R. J. (2015). Irrational exuberance (3rd ed.). Princeton University Press.</w:t>
      </w:r>
    </w:p>
    <w:p>
      <w:pPr>
        <w:bidi/>
        <w:jc w:val="left"/>
        <w:spacing w:line="580" w:lineRule="exact"/>
      </w:pPr>
      <w:r>
        <w:rPr>
          <w:rFonts w:ascii="Times New Roman" w:hAnsi="Times New Roman" w:cs="Times New Roman"/>
          <w:sz w:val="22"/>
          <w:szCs w:val="22"/>
        </w:rPr>
        <w:t>Shorey, R. C., et al. (2012). Gambling and early maladaptive schemas in a treatment seeking sample of male alcohol users: A preliminary investigation. Addictive Disorders &amp; Their Treatment, 11(4), 173-182. https://doi.org/10.1097/adt.0b013e31823eda8f</w:t>
      </w:r>
    </w:p>
    <w:p>
      <w:pPr>
        <w:bidi/>
        <w:jc w:val="left"/>
        <w:spacing w:line="580" w:lineRule="exact"/>
      </w:pPr>
      <w:r>
        <w:rPr>
          <w:rFonts w:ascii="Times New Roman" w:hAnsi="Times New Roman" w:cs="Times New Roman"/>
          <w:sz w:val="22"/>
          <w:szCs w:val="22"/>
        </w:rPr>
        <w:t>Spielberger, C. D. (1983). Manual for the State-Trait Anxiety Inventory. Consulting Psychologists Press.</w:t>
      </w:r>
    </w:p>
    <w:p>
      <w:pPr>
        <w:bidi/>
        <w:jc w:val="left"/>
        <w:spacing w:line="580" w:lineRule="exact"/>
      </w:pPr>
      <w:r>
        <w:rPr>
          <w:rFonts w:ascii="Times New Roman" w:hAnsi="Times New Roman" w:cs="Times New Roman"/>
          <w:sz w:val="22"/>
          <w:szCs w:val="22"/>
        </w:rPr>
        <w:t>Spielberger, C. D., Gorsuch, R. L., &amp; Lushene, R. E. (1970). Manual for the State-Trait Anxiety Inventory. Consulting Psychologists Press.</w:t>
      </w:r>
    </w:p>
    <w:p>
      <w:pPr>
        <w:bidi/>
        <w:jc w:val="left"/>
        <w:spacing w:line="580" w:lineRule="exact"/>
      </w:pPr>
      <w:r>
        <w:rPr>
          <w:rFonts w:ascii="Times New Roman" w:hAnsi="Times New Roman" w:cs="Times New Roman"/>
          <w:sz w:val="22"/>
          <w:szCs w:val="22"/>
        </w:rPr>
        <w:t>Thaler, R. H. (2016). Behavioral finance: Past, present, and future. American Economic Review, 106(7), 1577-1600.</w:t>
      </w:r>
    </w:p>
    <w:p>
      <w:pPr>
        <w:bidi/>
        <w:jc w:val="left"/>
        <w:spacing w:line="580" w:lineRule="exact"/>
      </w:pPr>
      <w:r>
        <w:rPr>
          <w:rFonts w:ascii="Times New Roman" w:hAnsi="Times New Roman" w:cs="Times New Roman"/>
          <w:sz w:val="22"/>
          <w:szCs w:val="22"/>
        </w:rPr>
        <w:t>Vieira, C., Kuss, D. J., &amp; Griffiths, M. D. (2023). Early maladaptive schemas and behavioural addictions: A systematic literature review. Clinical Psychology Review, 105, 102340. https://doi.org/10.1016/j.cpr.2023.102340</w:t>
      </w:r>
    </w:p>
    <w:p>
      <w:pPr>
        <w:bidi/>
        <w:jc w:val="left"/>
        <w:spacing w:line="580" w:lineRule="exact"/>
      </w:pPr>
      <w:r>
        <w:rPr>
          <w:rFonts w:ascii="Times New Roman" w:hAnsi="Times New Roman" w:cs="Times New Roman"/>
          <w:sz w:val="22"/>
          <w:szCs w:val="22"/>
        </w:rPr>
        <w:t>Yalom, I. D. (1980). Existential Psychotherapy. Basic Books</w:t>
      </w:r>
    </w:p>
    <w:p>
      <w:pPr>
        <w:bidi/>
        <w:jc w:val="left"/>
        <w:spacing w:line="580" w:lineRule="exact"/>
      </w:pPr>
      <w:r>
        <w:rPr>
          <w:rFonts w:ascii="Times New Roman" w:hAnsi="Times New Roman" w:cs="Times New Roman"/>
          <w:sz w:val="22"/>
          <w:szCs w:val="22"/>
        </w:rPr>
        <w:t>Young, J. E. (1998). Young Schema Questionnaire - Short Form. Schema Therapy Institute.</w:t>
      </w:r>
    </w:p>
    <w:p>
      <w:pPr>
        <w:bidi/>
        <w:jc w:val="left"/>
        <w:spacing w:line="580" w:lineRule="exact"/>
      </w:pPr>
      <w:r>
        <w:rPr>
          <w:rFonts w:ascii="Times New Roman" w:hAnsi="Times New Roman" w:cs="Times New Roman"/>
          <w:sz w:val="22"/>
          <w:szCs w:val="22"/>
        </w:rPr>
        <w:t>Young, J. E., Klosko, J. S., &amp; Weishaar, M. E. (2003). Schema Therapy: A Practitioner's Guide. Guilford Press.</w:t>
      </w:r>
    </w:p>
    <w:p>
      <w:pPr>
        <w:bidi/>
        <w:jc w:val="left"/>
        <w:spacing w:line="580" w:lineRule="exact"/>
      </w:pPr>
      <w:r>
        <w:rPr>
          <w:rFonts w:ascii="Times New Roman" w:hAnsi="Times New Roman" w:cs="Times New Roman"/>
          <w:sz w:val="22"/>
          <w:szCs w:val="22"/>
        </w:rPr>
        <w:t>Zuckerman, M. (1999). Vulnerability to psychopathology: A biosocial model. American Psychological Association.</w:t>
      </w:r>
    </w:p>
    <w:sectPr w:rsidR="00FC693F" w:rsidRPr="0006063C" w:rsidSect="00034616">
      <w:footerReference w:type="default" r:id="rId18"/>
      <w:footnotePr>
        <w:numFmt w:val="hindi"/>
        <w:numRestart w:val="eachPage"/>
      </w:footnotePr>
      <w:pgSz w:w="11906" w:h="16838"/>
      <w:pgMar w:top="1701" w:right="2268" w:bottom="1417" w:left="1417" w:header="720" w:footer="567" w:gutter="0"/>
      <w:pgNumType w:fmt="hindi"/>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lineRule="exact" w:line="580"/>
      <w:jc w:val="center"/>
    </w:pPr>
    <w:r/>
    <w:fldSimple w:instr=" PAGE ">
      <w:r>
        <w:rPr>
          <w:rFonts w:ascii="B Nazanin" w:hAnsi="B Nazanin" w:cs="B Nazanin" w:hint="cs"/>
          <w:rtl/>
        </w:rPr>
        <w:t>۱</w:t>
      </w:r>
    </w:fldSimple>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bidi w:val="0"/>
      </w:pPr>
      <w:r>
        <w:rPr>
          <w:vertAlign w:val="superscript"/>
        </w:rPr>
        <w:footnoteRef/>
      </w:r>
      <w:r>
        <w:rPr>
          <w:rFonts w:ascii="Times New Roman" w:hAnsi="Times New Roman" w:cs="Times New Roman"/>
          <w:sz w:val="20"/>
          <w:szCs w:val="20"/>
        </w:rPr>
        <w:t xml:space="preserve"> High-Risk Financial Behaviors</w:t>
      </w:r>
    </w:p>
  </w:footnote>
  <w:footnote w:id="2">
    <w:p>
      <w:pPr>
        <w:bidi w:val="0"/>
      </w:pPr>
      <w:r>
        <w:rPr>
          <w:vertAlign w:val="superscript"/>
        </w:rPr>
        <w:footnoteRef/>
      </w:r>
      <w:r>
        <w:rPr>
          <w:rFonts w:ascii="Times New Roman" w:hAnsi="Times New Roman" w:cs="Times New Roman"/>
          <w:sz w:val="20"/>
          <w:szCs w:val="20"/>
        </w:rPr>
        <w:t xml:space="preserve"> Efficient Market Hypothesis</w:t>
      </w:r>
    </w:p>
  </w:footnote>
  <w:footnote w:id="3">
    <w:p>
      <w:pPr>
        <w:bidi w:val="0"/>
      </w:pPr>
      <w:r>
        <w:rPr>
          <w:vertAlign w:val="superscript"/>
        </w:rPr>
        <w:footnoteRef/>
      </w:r>
      <w:r>
        <w:rPr>
          <w:rFonts w:ascii="Times New Roman" w:hAnsi="Times New Roman" w:cs="Times New Roman"/>
          <w:sz w:val="20"/>
          <w:szCs w:val="20"/>
        </w:rPr>
        <w:t xml:space="preserve"> Behavioral Economics</w:t>
      </w:r>
    </w:p>
  </w:footnote>
  <w:footnote w:id="4">
    <w:p>
      <w:pPr>
        <w:bidi w:val="0"/>
      </w:pPr>
      <w:r>
        <w:rPr>
          <w:vertAlign w:val="superscript"/>
        </w:rPr>
        <w:footnoteRef/>
      </w:r>
      <w:r>
        <w:rPr>
          <w:rFonts w:ascii="Times New Roman" w:hAnsi="Times New Roman" w:cs="Times New Roman"/>
          <w:sz w:val="20"/>
          <w:szCs w:val="20"/>
        </w:rPr>
        <w:t xml:space="preserve"> Prospect Theory</w:t>
      </w:r>
    </w:p>
  </w:footnote>
  <w:footnote w:id="5">
    <w:p>
      <w:pPr>
        <w:bidi w:val="0"/>
      </w:pPr>
      <w:r>
        <w:rPr>
          <w:vertAlign w:val="superscript"/>
        </w:rPr>
        <w:footnoteRef/>
      </w:r>
      <w:r>
        <w:rPr>
          <w:rFonts w:ascii="Times New Roman" w:hAnsi="Times New Roman" w:cs="Times New Roman"/>
          <w:sz w:val="20"/>
          <w:szCs w:val="20"/>
        </w:rPr>
        <w:t xml:space="preserve"> Loss Aversion</w:t>
      </w:r>
    </w:p>
  </w:footnote>
  <w:footnote w:id="6">
    <w:p>
      <w:pPr>
        <w:bidi w:val="0"/>
      </w:pPr>
      <w:r>
        <w:rPr>
          <w:vertAlign w:val="superscript"/>
        </w:rPr>
        <w:footnoteRef/>
      </w:r>
      <w:r>
        <w:rPr>
          <w:rFonts w:ascii="Times New Roman" w:hAnsi="Times New Roman" w:cs="Times New Roman"/>
          <w:sz w:val="20"/>
          <w:szCs w:val="20"/>
        </w:rPr>
        <w:t xml:space="preserve"> Fear of Missing Out</w:t>
      </w:r>
    </w:p>
  </w:footnote>
  <w:footnote w:id="7">
    <w:p>
      <w:pPr>
        <w:bidi w:val="0"/>
      </w:pPr>
      <w:r>
        <w:rPr>
          <w:vertAlign w:val="superscript"/>
        </w:rPr>
        <w:footnoteRef/>
      </w:r>
      <w:r>
        <w:rPr>
          <w:rFonts w:ascii="Times New Roman" w:hAnsi="Times New Roman" w:cs="Times New Roman"/>
          <w:sz w:val="20"/>
          <w:szCs w:val="20"/>
        </w:rPr>
        <w:t xml:space="preserve"> Attentional Control Theory</w:t>
      </w:r>
    </w:p>
  </w:footnote>
  <w:footnote w:id="8">
    <w:p>
      <w:pPr>
        <w:bidi w:val="0"/>
      </w:pPr>
      <w:r>
        <w:rPr>
          <w:vertAlign w:val="superscript"/>
        </w:rPr>
        <w:footnoteRef/>
      </w:r>
      <w:r>
        <w:rPr>
          <w:rFonts w:ascii="Times New Roman" w:hAnsi="Times New Roman" w:cs="Times New Roman"/>
          <w:sz w:val="20"/>
          <w:szCs w:val="20"/>
        </w:rPr>
        <w:t xml:space="preserve"> Overtrading</w:t>
      </w:r>
    </w:p>
  </w:footnote>
  <w:footnote w:id="9">
    <w:p>
      <w:pPr>
        <w:bidi w:val="0"/>
      </w:pPr>
      <w:r>
        <w:rPr>
          <w:vertAlign w:val="superscript"/>
        </w:rPr>
        <w:footnoteRef/>
      </w:r>
      <w:r>
        <w:rPr>
          <w:rFonts w:ascii="Times New Roman" w:hAnsi="Times New Roman" w:cs="Times New Roman"/>
          <w:sz w:val="20"/>
          <w:szCs w:val="20"/>
        </w:rPr>
        <w:t xml:space="preserve"> Disposition Effect</w:t>
      </w:r>
    </w:p>
  </w:footnote>
  <w:footnote w:id="10">
    <w:p>
      <w:pPr>
        <w:bidi w:val="0"/>
      </w:pPr>
      <w:r>
        <w:rPr>
          <w:vertAlign w:val="superscript"/>
        </w:rPr>
        <w:footnoteRef/>
      </w:r>
      <w:r>
        <w:rPr>
          <w:rFonts w:ascii="Times New Roman" w:hAnsi="Times New Roman" w:cs="Times New Roman"/>
          <w:sz w:val="20"/>
          <w:szCs w:val="20"/>
        </w:rPr>
        <w:t xml:space="preserve"> Herding Behavior</w:t>
      </w:r>
    </w:p>
  </w:footnote>
  <w:footnote w:id="11">
    <w:p>
      <w:pPr>
        <w:bidi w:val="0"/>
      </w:pPr>
      <w:r>
        <w:rPr>
          <w:vertAlign w:val="superscript"/>
        </w:rPr>
        <w:footnoteRef/>
      </w:r>
      <w:r>
        <w:rPr>
          <w:rFonts w:ascii="Times New Roman" w:hAnsi="Times New Roman" w:cs="Times New Roman"/>
          <w:sz w:val="20"/>
          <w:szCs w:val="20"/>
        </w:rPr>
        <w:t xml:space="preserve"> Diathesis-Stress Model</w:t>
      </w:r>
    </w:p>
  </w:footnote>
  <w:footnote w:id="12">
    <w:p>
      <w:pPr>
        <w:bidi w:val="0"/>
      </w:pPr>
      <w:r>
        <w:rPr>
          <w:vertAlign w:val="superscript"/>
        </w:rPr>
        <w:footnoteRef/>
      </w:r>
      <w:r>
        <w:rPr>
          <w:rFonts w:ascii="Times New Roman" w:hAnsi="Times New Roman" w:cs="Times New Roman"/>
          <w:sz w:val="20"/>
          <w:szCs w:val="20"/>
        </w:rPr>
        <w:t xml:space="preserve"> Trait Anxiety</w:t>
      </w:r>
    </w:p>
  </w:footnote>
  <w:footnote w:id="13">
    <w:p>
      <w:pPr>
        <w:bidi w:val="0"/>
      </w:pPr>
      <w:r>
        <w:rPr>
          <w:vertAlign w:val="superscript"/>
        </w:rPr>
        <w:footnoteRef/>
      </w:r>
      <w:r>
        <w:rPr>
          <w:rFonts w:ascii="Times New Roman" w:hAnsi="Times New Roman" w:cs="Times New Roman"/>
          <w:sz w:val="20"/>
          <w:szCs w:val="20"/>
        </w:rPr>
        <w:t xml:space="preserve"> State-Trait Anxiety Inventory, Form Y-2 (STAI-Y2)</w:t>
      </w:r>
    </w:p>
  </w:footnote>
  <w:footnote w:id="14">
    <w:p>
      <w:pPr>
        <w:bidi w:val="0"/>
      </w:pPr>
      <w:r>
        <w:rPr>
          <w:vertAlign w:val="superscript"/>
        </w:rPr>
        <w:footnoteRef/>
      </w:r>
      <w:r>
        <w:rPr>
          <w:rFonts w:ascii="Times New Roman" w:hAnsi="Times New Roman" w:cs="Times New Roman"/>
          <w:sz w:val="20"/>
          <w:szCs w:val="20"/>
        </w:rPr>
        <w:t xml:space="preserve"> Early Maladaptive Schemas</w:t>
      </w:r>
    </w:p>
  </w:footnote>
  <w:footnote w:id="15">
    <w:p>
      <w:pPr>
        <w:bidi w:val="0"/>
      </w:pPr>
      <w:r>
        <w:rPr>
          <w:vertAlign w:val="superscript"/>
        </w:rPr>
        <w:footnoteRef/>
      </w:r>
      <w:r>
        <w:rPr>
          <w:rFonts w:ascii="Times New Roman" w:hAnsi="Times New Roman" w:cs="Times New Roman"/>
          <w:sz w:val="20"/>
          <w:szCs w:val="20"/>
        </w:rPr>
        <w:t xml:space="preserve"> Young Schema Questionnaire – Short Form (YSQ-SF)</w:t>
      </w:r>
    </w:p>
  </w:footnote>
  <w:footnote w:id="16">
    <w:p>
      <w:pPr>
        <w:bidi w:val="0"/>
      </w:pPr>
      <w:r>
        <w:rPr>
          <w:vertAlign w:val="superscript"/>
        </w:rPr>
        <w:footnoteRef/>
      </w:r>
      <w:r>
        <w:rPr>
          <w:rFonts w:ascii="Times New Roman" w:hAnsi="Times New Roman" w:cs="Times New Roman"/>
          <w:sz w:val="20"/>
          <w:szCs w:val="20"/>
        </w:rPr>
        <w:t xml:space="preserve"> Financial Risk Tolerance</w:t>
      </w:r>
    </w:p>
  </w:footnote>
  <w:footnote w:id="17">
    <w:p>
      <w:pPr>
        <w:bidi w:val="0"/>
      </w:pPr>
      <w:r>
        <w:rPr>
          <w:vertAlign w:val="superscript"/>
        </w:rPr>
        <w:footnoteRef/>
      </w:r>
      <w:r>
        <w:rPr>
          <w:rFonts w:ascii="Times New Roman" w:hAnsi="Times New Roman" w:cs="Times New Roman"/>
          <w:sz w:val="20"/>
          <w:szCs w:val="20"/>
        </w:rPr>
        <w:t xml:space="preserve"> Financial Market Traders</w:t>
      </w:r>
    </w:p>
  </w:footnote>
  <w:footnote w:id="18">
    <w:p>
      <w:pPr>
        <w:bidi w:val="0"/>
      </w:pPr>
      <w:r>
        <w:rPr>
          <w:vertAlign w:val="superscript"/>
        </w:rPr>
        <w:footnoteRef/>
      </w:r>
      <w:r>
        <w:rPr>
          <w:rFonts w:ascii="Times New Roman" w:hAnsi="Times New Roman" w:cs="Times New Roman"/>
          <w:sz w:val="20"/>
          <w:szCs w:val="20"/>
        </w:rPr>
        <w:t xml:space="preserve"> Research Gap</w:t>
      </w:r>
    </w:p>
  </w:footnote>
  <w:footnote w:id="19">
    <w:p>
      <w:pPr>
        <w:bidi w:val="0"/>
      </w:pPr>
      <w:r>
        <w:rPr>
          <w:vertAlign w:val="superscript"/>
        </w:rPr>
        <w:footnoteRef/>
      </w:r>
      <w:r>
        <w:rPr>
          <w:rFonts w:ascii="Times New Roman" w:hAnsi="Times New Roman" w:cs="Times New Roman"/>
          <w:sz w:val="20"/>
          <w:szCs w:val="20"/>
        </w:rPr>
        <w:t xml:space="preserve"> Anxiety</w:t>
      </w:r>
    </w:p>
  </w:footnote>
  <w:footnote w:id="20">
    <w:p>
      <w:pPr>
        <w:bidi w:val="0"/>
      </w:pPr>
      <w:r>
        <w:rPr>
          <w:vertAlign w:val="superscript"/>
        </w:rPr>
        <w:footnoteRef/>
      </w:r>
      <w:r>
        <w:rPr>
          <w:rFonts w:ascii="Times New Roman" w:hAnsi="Times New Roman" w:cs="Times New Roman"/>
          <w:sz w:val="20"/>
          <w:szCs w:val="20"/>
        </w:rPr>
        <w:t xml:space="preserve"> BNST</w:t>
      </w:r>
    </w:p>
  </w:footnote>
  <w:footnote w:id="21">
    <w:p>
      <w:r>
        <w:rPr>
          <w:vertAlign w:val="superscript"/>
        </w:rPr>
        <w:footnoteRef/>
      </w:r>
      <w:r>
        <w:rPr>
          <w:rFonts w:ascii="B Nazanin" w:hAnsi="B Nazanin" w:cs="B Nazanin"/>
          <w:sz w:val="20"/>
          <w:szCs w:val="20"/>
        </w:rPr>
        <w:t xml:space="preserve"> 5-HTTLPR</w:t>
      </w:r>
    </w:p>
  </w:footnote>
  <w:footnote w:id="22">
    <w:p>
      <w:pPr>
        <w:bidi w:val="0"/>
      </w:pPr>
      <w:r>
        <w:rPr>
          <w:vertAlign w:val="superscript"/>
        </w:rPr>
        <w:footnoteRef/>
      </w:r>
      <w:r>
        <w:rPr>
          <w:rFonts w:ascii="Times New Roman" w:hAnsi="Times New Roman" w:cs="Times New Roman"/>
          <w:sz w:val="20"/>
          <w:szCs w:val="20"/>
        </w:rPr>
        <w:t xml:space="preserve"> SSRIs</w:t>
      </w:r>
    </w:p>
  </w:footnote>
  <w:footnote w:id="23">
    <w:p>
      <w:pPr>
        <w:bidi w:val="0"/>
      </w:pPr>
      <w:r>
        <w:rPr>
          <w:vertAlign w:val="superscript"/>
        </w:rPr>
        <w:footnoteRef/>
      </w:r>
      <w:r>
        <w:rPr>
          <w:rFonts w:ascii="Times New Roman" w:hAnsi="Times New Roman" w:cs="Times New Roman"/>
          <w:sz w:val="20"/>
          <w:szCs w:val="20"/>
        </w:rPr>
        <w:t xml:space="preserve"> HRV</w:t>
      </w:r>
    </w:p>
  </w:footnote>
  <w:footnote w:id="24">
    <w:p>
      <w:pPr>
        <w:bidi w:val="0"/>
      </w:pPr>
      <w:r>
        <w:rPr>
          <w:vertAlign w:val="superscript"/>
        </w:rPr>
        <w:footnoteRef/>
      </w:r>
      <w:r>
        <w:rPr>
          <w:rFonts w:ascii="Times New Roman" w:hAnsi="Times New Roman" w:cs="Times New Roman"/>
          <w:sz w:val="20"/>
          <w:szCs w:val="20"/>
        </w:rPr>
        <w:t xml:space="preserve"> Risk Perception</w:t>
      </w:r>
    </w:p>
  </w:footnote>
  <w:footnote w:id="25">
    <w:p>
      <w:pPr>
        <w:bidi w:val="0"/>
      </w:pPr>
      <w:r>
        <w:rPr>
          <w:vertAlign w:val="superscript"/>
        </w:rPr>
        <w:footnoteRef/>
      </w:r>
      <w:r>
        <w:rPr>
          <w:rFonts w:ascii="Times New Roman" w:hAnsi="Times New Roman" w:cs="Times New Roman"/>
          <w:sz w:val="20"/>
          <w:szCs w:val="20"/>
        </w:rPr>
        <w:t xml:space="preserve"> Decision Quality</w:t>
      </w:r>
    </w:p>
  </w:footnote>
  <w:footnote w:id="26">
    <w:p>
      <w:pPr>
        <w:bidi w:val="0"/>
      </w:pPr>
      <w:r>
        <w:rPr>
          <w:vertAlign w:val="superscript"/>
        </w:rPr>
        <w:footnoteRef/>
      </w:r>
      <w:r>
        <w:rPr>
          <w:rFonts w:ascii="Times New Roman" w:hAnsi="Times New Roman" w:cs="Times New Roman"/>
          <w:sz w:val="20"/>
          <w:szCs w:val="20"/>
        </w:rPr>
        <w:t xml:space="preserve"> Schema Domains</w:t>
      </w:r>
    </w:p>
  </w:footnote>
  <w:footnote w:id="27">
    <w:p>
      <w:pPr>
        <w:bidi w:val="0"/>
      </w:pPr>
      <w:r>
        <w:rPr>
          <w:vertAlign w:val="superscript"/>
        </w:rPr>
        <w:footnoteRef/>
      </w:r>
      <w:r>
        <w:rPr>
          <w:rFonts w:ascii="Times New Roman" w:hAnsi="Times New Roman" w:cs="Times New Roman"/>
          <w:sz w:val="20"/>
          <w:szCs w:val="20"/>
        </w:rPr>
        <w:t xml:space="preserve"> Schema Coping Style</w:t>
      </w:r>
    </w:p>
  </w:footnote>
  <w:footnote w:id="28">
    <w:p>
      <w:pPr>
        <w:bidi w:val="0"/>
      </w:pPr>
      <w:r>
        <w:rPr>
          <w:vertAlign w:val="superscript"/>
        </w:rPr>
        <w:footnoteRef/>
      </w:r>
      <w:r>
        <w:rPr>
          <w:rFonts w:ascii="Times New Roman" w:hAnsi="Times New Roman" w:cs="Times New Roman"/>
          <w:sz w:val="20"/>
          <w:szCs w:val="20"/>
        </w:rPr>
        <w:t xml:space="preserve"> Surrender</w:t>
      </w:r>
    </w:p>
  </w:footnote>
  <w:footnote w:id="29">
    <w:p>
      <w:pPr>
        <w:bidi w:val="0"/>
      </w:pPr>
      <w:r>
        <w:rPr>
          <w:vertAlign w:val="superscript"/>
        </w:rPr>
        <w:footnoteRef/>
      </w:r>
      <w:r>
        <w:rPr>
          <w:rFonts w:ascii="Times New Roman" w:hAnsi="Times New Roman" w:cs="Times New Roman"/>
          <w:sz w:val="20"/>
          <w:szCs w:val="20"/>
        </w:rPr>
        <w:t xml:space="preserve"> Avoidance</w:t>
      </w:r>
    </w:p>
  </w:footnote>
  <w:footnote w:id="30">
    <w:p>
      <w:pPr>
        <w:bidi w:val="0"/>
      </w:pPr>
      <w:r>
        <w:rPr>
          <w:vertAlign w:val="superscript"/>
        </w:rPr>
        <w:footnoteRef/>
      </w:r>
      <w:r>
        <w:rPr>
          <w:rFonts w:ascii="Times New Roman" w:hAnsi="Times New Roman" w:cs="Times New Roman"/>
          <w:sz w:val="20"/>
          <w:szCs w:val="20"/>
        </w:rPr>
        <w:t xml:space="preserve"> Overcompensation</w:t>
      </w:r>
    </w:p>
  </w:footnote>
  <w:footnote w:id="31">
    <w:p>
      <w:pPr>
        <w:bidi w:val="0"/>
      </w:pPr>
      <w:r>
        <w:rPr>
          <w:vertAlign w:val="superscript"/>
        </w:rPr>
        <w:footnoteRef/>
      </w:r>
      <w:r>
        <w:rPr>
          <w:rFonts w:ascii="Times New Roman" w:hAnsi="Times New Roman" w:cs="Times New Roman"/>
          <w:sz w:val="20"/>
          <w:szCs w:val="20"/>
        </w:rPr>
        <w:t xml:space="preserve"> YSQ–L3</w:t>
      </w:r>
    </w:p>
  </w:footnote>
  <w:footnote w:id="32">
    <w:p>
      <w:pPr>
        <w:bidi w:val="0"/>
      </w:pPr>
      <w:r>
        <w:rPr>
          <w:vertAlign w:val="superscript"/>
        </w:rPr>
        <w:footnoteRef/>
      </w:r>
      <w:r>
        <w:rPr>
          <w:rFonts w:ascii="Times New Roman" w:hAnsi="Times New Roman" w:cs="Times New Roman"/>
          <w:sz w:val="20"/>
          <w:szCs w:val="20"/>
        </w:rPr>
        <w:t xml:space="preserve"> Risk Capacity</w:t>
      </w:r>
    </w:p>
  </w:footnote>
  <w:footnote w:id="33">
    <w:p>
      <w:pPr>
        <w:bidi w:val="0"/>
      </w:pPr>
      <w:r>
        <w:rPr>
          <w:vertAlign w:val="superscript"/>
        </w:rPr>
        <w:footnoteRef/>
      </w:r>
      <w:r>
        <w:rPr>
          <w:rFonts w:ascii="Times New Roman" w:hAnsi="Times New Roman" w:cs="Times New Roman"/>
          <w:sz w:val="20"/>
          <w:szCs w:val="20"/>
        </w:rPr>
        <w:t xml:space="preserve"> Risk Tolerance</w:t>
      </w:r>
    </w:p>
  </w:footnote>
  <w:footnote w:id="34">
    <w:p>
      <w:pPr>
        <w:bidi w:val="0"/>
      </w:pPr>
      <w:r>
        <w:rPr>
          <w:vertAlign w:val="superscript"/>
        </w:rPr>
        <w:footnoteRef/>
      </w:r>
      <w:r>
        <w:rPr>
          <w:rFonts w:ascii="Times New Roman" w:hAnsi="Times New Roman" w:cs="Times New Roman"/>
          <w:sz w:val="20"/>
          <w:szCs w:val="20"/>
        </w:rPr>
        <w:t xml:space="preserve"> PROCESS macro (Hayes)</w:t>
      </w:r>
    </w:p>
  </w:footnote>
  <w:footnote w:id="35">
    <w:p>
      <w:pPr>
        <w:bidi w:val="0"/>
      </w:pPr>
      <w:r>
        <w:rPr>
          <w:vertAlign w:val="superscript"/>
        </w:rPr>
        <w:footnoteRef/>
      </w:r>
      <w:r>
        <w:rPr>
          <w:rFonts w:ascii="Times New Roman" w:hAnsi="Times New Roman" w:cs="Times New Roman"/>
          <w:sz w:val="20"/>
          <w:szCs w:val="20"/>
        </w:rPr>
        <w:t xml:space="preserve"> Structural Equation Modeling; SEM</w:t>
      </w:r>
    </w:p>
  </w:footnote>
  <w:footnote w:id="36">
    <w:p>
      <w:pPr>
        <w:bidi w:val="0"/>
      </w:pPr>
      <w:r>
        <w:rPr>
          <w:vertAlign w:val="superscript"/>
        </w:rPr>
        <w:footnoteRef/>
      </w:r>
      <w:r>
        <w:rPr>
          <w:rFonts w:ascii="Times New Roman" w:hAnsi="Times New Roman" w:cs="Times New Roman"/>
          <w:sz w:val="20"/>
          <w:szCs w:val="20"/>
        </w:rPr>
        <w:t xml:space="preserve"> CBT</w:t>
      </w:r>
    </w:p>
  </w:footnote>
  <w:footnote w:id="37">
    <w:p>
      <w:pPr>
        <w:bidi w:val="0"/>
      </w:pPr>
      <w:r>
        <w:rPr>
          <w:vertAlign w:val="superscript"/>
        </w:rPr>
        <w:footnoteRef/>
      </w:r>
      <w:r>
        <w:rPr>
          <w:rFonts w:ascii="Times New Roman" w:hAnsi="Times New Roman" w:cs="Times New Roman"/>
          <w:sz w:val="20"/>
          <w:szCs w:val="20"/>
        </w:rPr>
        <w:t xml:space="preserve"> Applied Research</w:t>
      </w:r>
    </w:p>
  </w:footnote>
  <w:footnote w:id="38">
    <w:p>
      <w:pPr>
        <w:bidi w:val="0"/>
      </w:pPr>
      <w:r>
        <w:rPr>
          <w:vertAlign w:val="superscript"/>
        </w:rPr>
        <w:footnoteRef/>
      </w:r>
      <w:r>
        <w:rPr>
          <w:rFonts w:ascii="Times New Roman" w:hAnsi="Times New Roman" w:cs="Times New Roman"/>
          <w:sz w:val="20"/>
          <w:szCs w:val="20"/>
        </w:rPr>
        <w:t xml:space="preserve"> Descriptive-Correlational</w:t>
      </w:r>
    </w:p>
  </w:footnote>
  <w:footnote w:id="39">
    <w:p>
      <w:pPr>
        <w:bidi w:val="0"/>
      </w:pPr>
      <w:r>
        <w:rPr>
          <w:vertAlign w:val="superscript"/>
        </w:rPr>
        <w:footnoteRef/>
      </w:r>
      <w:r>
        <w:rPr>
          <w:rFonts w:ascii="Times New Roman" w:hAnsi="Times New Roman" w:cs="Times New Roman"/>
          <w:sz w:val="20"/>
          <w:szCs w:val="20"/>
        </w:rPr>
        <w:t xml:space="preserve"> Mediation Model</w:t>
      </w:r>
    </w:p>
  </w:footnote>
  <w:footnote w:id="40">
    <w:p>
      <w:pPr>
        <w:bidi w:val="0"/>
      </w:pPr>
      <w:r>
        <w:rPr>
          <w:vertAlign w:val="superscript"/>
        </w:rPr>
        <w:footnoteRef/>
      </w:r>
      <w:r>
        <w:rPr>
          <w:rFonts w:ascii="Times New Roman" w:hAnsi="Times New Roman" w:cs="Times New Roman"/>
          <w:sz w:val="20"/>
          <w:szCs w:val="20"/>
        </w:rPr>
        <w:t xml:space="preserve"> Convenience Sampling</w:t>
      </w:r>
    </w:p>
  </w:footnote>
  <w:footnote w:id="41">
    <w:p>
      <w:pPr>
        <w:bidi w:val="0"/>
      </w:pPr>
      <w:r>
        <w:rPr>
          <w:vertAlign w:val="superscript"/>
        </w:rPr>
        <w:footnoteRef/>
      </w:r>
      <w:r>
        <w:rPr>
          <w:rFonts w:ascii="Times New Roman" w:hAnsi="Times New Roman" w:cs="Times New Roman"/>
          <w:sz w:val="20"/>
          <w:szCs w:val="20"/>
        </w:rPr>
        <w:t xml:space="preserve"> Snowball Sampling</w:t>
      </w:r>
    </w:p>
  </w:footnote>
  <w:footnote w:id="42">
    <w:p>
      <w:pPr>
        <w:bidi w:val="0"/>
      </w:pPr>
      <w:r>
        <w:rPr>
          <w:vertAlign w:val="superscript"/>
        </w:rPr>
        <w:footnoteRef/>
      </w:r>
      <w:r>
        <w:rPr>
          <w:rFonts w:ascii="Times New Roman" w:hAnsi="Times New Roman" w:cs="Times New Roman"/>
          <w:sz w:val="20"/>
          <w:szCs w:val="20"/>
        </w:rPr>
        <w:t xml:space="preserve"> Financial Risk Tolerance Scale (GL-RTS)</w:t>
      </w:r>
    </w:p>
  </w:footnote>
  <w:footnote w:id="43">
    <w:p>
      <w:pPr>
        <w:bidi w:val="0"/>
      </w:pPr>
      <w:r>
        <w:rPr>
          <w:vertAlign w:val="superscript"/>
        </w:rPr>
        <w:footnoteRef/>
      </w:r>
      <w:r>
        <w:rPr>
          <w:rFonts w:ascii="Times New Roman" w:hAnsi="Times New Roman" w:cs="Times New Roman"/>
          <w:sz w:val="20"/>
          <w:szCs w:val="20"/>
        </w:rPr>
        <w:t xml:space="preserve"> Proxy Measure</w:t>
      </w:r>
    </w:p>
  </w:footnote>
  <w:footnote w:id="44">
    <w:p>
      <w:pPr>
        <w:bidi w:val="0"/>
      </w:pPr>
      <w:r>
        <w:rPr>
          <w:vertAlign w:val="superscript"/>
        </w:rPr>
        <w:footnoteRef/>
      </w:r>
      <w:r>
        <w:rPr>
          <w:rFonts w:ascii="Times New Roman" w:hAnsi="Times New Roman" w:cs="Times New Roman"/>
          <w:sz w:val="20"/>
          <w:szCs w:val="20"/>
        </w:rPr>
        <w:t xml:space="preserve"> OECD, 2021</w:t>
      </w:r>
    </w:p>
  </w:footnote>
  <w:footnote w:id="45">
    <w:p>
      <w:pPr>
        <w:bidi w:val="0"/>
      </w:pPr>
      <w:r>
        <w:rPr>
          <w:vertAlign w:val="superscript"/>
        </w:rPr>
        <w:footnoteRef/>
      </w:r>
      <w:r>
        <w:rPr>
          <w:rFonts w:ascii="Times New Roman" w:hAnsi="Times New Roman" w:cs="Times New Roman"/>
          <w:sz w:val="20"/>
          <w:szCs w:val="20"/>
        </w:rPr>
        <w:t xml:space="preserve"> Mahato et al.</w:t>
      </w:r>
    </w:p>
  </w:footnote>
  <w:footnote w:id="46">
    <w:p>
      <w:pPr>
        <w:bidi w:val="0"/>
      </w:pPr>
      <w:r>
        <w:rPr>
          <w:vertAlign w:val="superscript"/>
        </w:rPr>
        <w:footnoteRef/>
      </w:r>
      <w:r>
        <w:rPr>
          <w:rFonts w:ascii="Times New Roman" w:hAnsi="Times New Roman" w:cs="Times New Roman"/>
          <w:sz w:val="20"/>
          <w:szCs w:val="20"/>
        </w:rPr>
        <w:t xml:space="preserve"> Grall-Bronnec et al.</w:t>
      </w:r>
    </w:p>
  </w:footnote>
  <w:footnote w:id="47">
    <w:p>
      <w:pPr>
        <w:bidi w:val="0"/>
      </w:pPr>
      <w:r>
        <w:rPr>
          <w:vertAlign w:val="superscript"/>
        </w:rPr>
        <w:footnoteRef/>
      </w:r>
      <w:r>
        <w:rPr>
          <w:rFonts w:ascii="Times New Roman" w:hAnsi="Times New Roman" w:cs="Times New Roman"/>
          <w:sz w:val="20"/>
          <w:szCs w:val="20"/>
        </w:rPr>
        <w:t xml:space="preserve"> Mishkin</w:t>
      </w:r>
    </w:p>
  </w:footnote>
  <w:footnote w:id="48">
    <w:p>
      <w:pPr>
        <w:bidi w:val="0"/>
      </w:pPr>
      <w:r>
        <w:rPr>
          <w:vertAlign w:val="superscript"/>
        </w:rPr>
        <w:footnoteRef/>
      </w:r>
      <w:r>
        <w:rPr>
          <w:rFonts w:ascii="Times New Roman" w:hAnsi="Times New Roman" w:cs="Times New Roman"/>
          <w:sz w:val="20"/>
          <w:szCs w:val="20"/>
        </w:rPr>
        <w:t xml:space="preserve"> Bodie, Kane, &amp; Marcus</w:t>
      </w:r>
    </w:p>
  </w:footnote>
  <w:footnote w:id="49">
    <w:p>
      <w:pPr>
        <w:bidi w:val="0"/>
      </w:pPr>
      <w:r>
        <w:rPr>
          <w:vertAlign w:val="superscript"/>
        </w:rPr>
        <w:footnoteRef/>
      </w:r>
      <w:r>
        <w:rPr>
          <w:rFonts w:ascii="Times New Roman" w:hAnsi="Times New Roman" w:cs="Times New Roman"/>
          <w:sz w:val="20"/>
          <w:szCs w:val="20"/>
        </w:rPr>
        <w:t xml:space="preserve"> Shiller</w:t>
      </w:r>
    </w:p>
  </w:footnote>
  <w:footnote w:id="50">
    <w:p>
      <w:pPr>
        <w:bidi w:val="0"/>
      </w:pPr>
      <w:r>
        <w:rPr>
          <w:vertAlign w:val="superscript"/>
        </w:rPr>
        <w:footnoteRef/>
      </w:r>
      <w:r>
        <w:rPr>
          <w:rFonts w:ascii="Times New Roman" w:hAnsi="Times New Roman" w:cs="Times New Roman"/>
          <w:sz w:val="20"/>
          <w:szCs w:val="20"/>
        </w:rPr>
        <w:t xml:space="preserve"> Malkiel</w:t>
      </w:r>
    </w:p>
  </w:footnote>
  <w:footnote w:id="51">
    <w:p>
      <w:pPr>
        <w:bidi w:val="0"/>
      </w:pPr>
      <w:r>
        <w:rPr>
          <w:vertAlign w:val="superscript"/>
        </w:rPr>
        <w:footnoteRef/>
      </w:r>
      <w:r>
        <w:rPr>
          <w:rFonts w:ascii="Times New Roman" w:hAnsi="Times New Roman" w:cs="Times New Roman"/>
          <w:sz w:val="20"/>
          <w:szCs w:val="20"/>
        </w:rPr>
        <w:t xml:space="preserve"> Thaler</w:t>
      </w:r>
    </w:p>
  </w:footnote>
  <w:footnote w:id="52">
    <w:p>
      <w:pPr>
        <w:bidi w:val="0"/>
      </w:pPr>
      <w:r>
        <w:rPr>
          <w:vertAlign w:val="superscript"/>
        </w:rPr>
        <w:footnoteRef/>
      </w:r>
      <w:r>
        <w:rPr>
          <w:rFonts w:ascii="Times New Roman" w:hAnsi="Times New Roman" w:cs="Times New Roman"/>
          <w:sz w:val="20"/>
          <w:szCs w:val="20"/>
        </w:rPr>
        <w:t xml:space="preserve"> Kahneman &amp; Tversky</w:t>
      </w:r>
    </w:p>
  </w:footnote>
  <w:footnote w:id="53">
    <w:p>
      <w:pPr>
        <w:bidi w:val="0"/>
      </w:pPr>
      <w:r>
        <w:rPr>
          <w:vertAlign w:val="superscript"/>
        </w:rPr>
        <w:footnoteRef/>
      </w:r>
      <w:r>
        <w:rPr>
          <w:rFonts w:ascii="Times New Roman" w:hAnsi="Times New Roman" w:cs="Times New Roman"/>
          <w:sz w:val="20"/>
          <w:szCs w:val="20"/>
        </w:rPr>
        <w:t xml:space="preserve"> Kahneman</w:t>
      </w:r>
    </w:p>
  </w:footnote>
  <w:footnote w:id="54">
    <w:p>
      <w:pPr>
        <w:bidi w:val="0"/>
      </w:pPr>
      <w:r>
        <w:rPr>
          <w:vertAlign w:val="superscript"/>
        </w:rPr>
        <w:footnoteRef/>
      </w:r>
      <w:r>
        <w:rPr>
          <w:rFonts w:ascii="Times New Roman" w:hAnsi="Times New Roman" w:cs="Times New Roman"/>
          <w:sz w:val="20"/>
          <w:szCs w:val="20"/>
        </w:rPr>
        <w:t xml:space="preserve"> Auer &amp; Schuhmacher</w:t>
      </w:r>
    </w:p>
  </w:footnote>
  <w:footnote w:id="55">
    <w:p>
      <w:pPr>
        <w:bidi w:val="0"/>
      </w:pPr>
      <w:r>
        <w:rPr>
          <w:vertAlign w:val="superscript"/>
        </w:rPr>
        <w:footnoteRef/>
      </w:r>
      <w:r>
        <w:rPr>
          <w:rFonts w:ascii="Times New Roman" w:hAnsi="Times New Roman" w:cs="Times New Roman"/>
          <w:sz w:val="20"/>
          <w:szCs w:val="20"/>
        </w:rPr>
        <w:t xml:space="preserve"> Hwang &amp; Salmon</w:t>
      </w:r>
    </w:p>
  </w:footnote>
  <w:footnote w:id="56">
    <w:p>
      <w:pPr>
        <w:bidi w:val="0"/>
      </w:pPr>
      <w:r>
        <w:rPr>
          <w:vertAlign w:val="superscript"/>
        </w:rPr>
        <w:footnoteRef/>
      </w:r>
      <w:r>
        <w:rPr>
          <w:rFonts w:ascii="Times New Roman" w:hAnsi="Times New Roman" w:cs="Times New Roman"/>
          <w:sz w:val="20"/>
          <w:szCs w:val="20"/>
        </w:rPr>
        <w:t xml:space="preserve"> Spielberger</w:t>
      </w:r>
    </w:p>
  </w:footnote>
  <w:footnote w:id="57">
    <w:p>
      <w:pPr>
        <w:bidi w:val="0"/>
      </w:pPr>
      <w:r>
        <w:rPr>
          <w:vertAlign w:val="superscript"/>
        </w:rPr>
        <w:footnoteRef/>
      </w:r>
      <w:r>
        <w:rPr>
          <w:rFonts w:ascii="Times New Roman" w:hAnsi="Times New Roman" w:cs="Times New Roman"/>
          <w:sz w:val="20"/>
          <w:szCs w:val="20"/>
        </w:rPr>
        <w:t xml:space="preserve"> Beck</w:t>
      </w:r>
    </w:p>
  </w:footnote>
  <w:footnote w:id="58">
    <w:p>
      <w:pPr>
        <w:bidi w:val="0"/>
      </w:pPr>
      <w:r>
        <w:rPr>
          <w:vertAlign w:val="superscript"/>
        </w:rPr>
        <w:footnoteRef/>
      </w:r>
      <w:r>
        <w:rPr>
          <w:rFonts w:ascii="Times New Roman" w:hAnsi="Times New Roman" w:cs="Times New Roman"/>
          <w:sz w:val="20"/>
          <w:szCs w:val="20"/>
        </w:rPr>
        <w:t xml:space="preserve"> Bishop</w:t>
      </w:r>
    </w:p>
  </w:footnote>
  <w:footnote w:id="59">
    <w:p>
      <w:pPr>
        <w:bidi w:val="0"/>
      </w:pPr>
      <w:r>
        <w:rPr>
          <w:vertAlign w:val="superscript"/>
        </w:rPr>
        <w:footnoteRef/>
      </w:r>
      <w:r>
        <w:rPr>
          <w:rFonts w:ascii="Times New Roman" w:hAnsi="Times New Roman" w:cs="Times New Roman"/>
          <w:sz w:val="20"/>
          <w:szCs w:val="20"/>
        </w:rPr>
        <w:t xml:space="preserve"> Beck &amp; Clark</w:t>
      </w:r>
    </w:p>
  </w:footnote>
  <w:footnote w:id="60">
    <w:p>
      <w:pPr>
        <w:bidi w:val="0"/>
      </w:pPr>
      <w:r>
        <w:rPr>
          <w:vertAlign w:val="superscript"/>
        </w:rPr>
        <w:footnoteRef/>
      </w:r>
      <w:r>
        <w:rPr>
          <w:rFonts w:ascii="Times New Roman" w:hAnsi="Times New Roman" w:cs="Times New Roman"/>
          <w:sz w:val="20"/>
          <w:szCs w:val="20"/>
        </w:rPr>
        <w:t xml:space="preserve"> Grupe &amp; Nitschke</w:t>
      </w:r>
    </w:p>
  </w:footnote>
  <w:footnote w:id="61">
    <w:p>
      <w:pPr>
        <w:bidi w:val="0"/>
      </w:pPr>
      <w:r>
        <w:rPr>
          <w:vertAlign w:val="superscript"/>
        </w:rPr>
        <w:footnoteRef/>
      </w:r>
      <w:r>
        <w:rPr>
          <w:rFonts w:ascii="Times New Roman" w:hAnsi="Times New Roman" w:cs="Times New Roman"/>
          <w:sz w:val="20"/>
          <w:szCs w:val="20"/>
        </w:rPr>
        <w:t xml:space="preserve"> Eysenck et al.</w:t>
      </w:r>
    </w:p>
  </w:footnote>
  <w:footnote w:id="62">
    <w:p>
      <w:pPr>
        <w:bidi w:val="0"/>
      </w:pPr>
      <w:r>
        <w:rPr>
          <w:vertAlign w:val="superscript"/>
        </w:rPr>
        <w:footnoteRef/>
      </w:r>
      <w:r>
        <w:rPr>
          <w:rFonts w:ascii="Times New Roman" w:hAnsi="Times New Roman" w:cs="Times New Roman"/>
          <w:sz w:val="20"/>
          <w:szCs w:val="20"/>
        </w:rPr>
        <w:t xml:space="preserve"> Baddeley, Eysenck, &amp; Anderson</w:t>
      </w:r>
    </w:p>
  </w:footnote>
  <w:footnote w:id="63">
    <w:p>
      <w:pPr>
        <w:bidi w:val="0"/>
      </w:pPr>
      <w:r>
        <w:rPr>
          <w:vertAlign w:val="superscript"/>
        </w:rPr>
        <w:footnoteRef/>
      </w:r>
      <w:r>
        <w:rPr>
          <w:rFonts w:ascii="Times New Roman" w:hAnsi="Times New Roman" w:cs="Times New Roman"/>
          <w:sz w:val="20"/>
          <w:szCs w:val="20"/>
        </w:rPr>
        <w:t xml:space="preserve"> Young et al.</w:t>
      </w:r>
    </w:p>
  </w:footnote>
  <w:footnote w:id="64">
    <w:p>
      <w:pPr>
        <w:bidi w:val="0"/>
      </w:pPr>
      <w:r>
        <w:rPr>
          <w:vertAlign w:val="superscript"/>
        </w:rPr>
        <w:footnoteRef/>
      </w:r>
      <w:r>
        <w:rPr>
          <w:rFonts w:ascii="Times New Roman" w:hAnsi="Times New Roman" w:cs="Times New Roman"/>
          <w:sz w:val="20"/>
          <w:szCs w:val="20"/>
        </w:rPr>
        <w:t xml:space="preserve"> Arntz &amp; Jacob</w:t>
      </w:r>
    </w:p>
  </w:footnote>
  <w:footnote w:id="65">
    <w:p>
      <w:pPr>
        <w:bidi w:val="0"/>
      </w:pPr>
      <w:r>
        <w:rPr>
          <w:vertAlign w:val="superscript"/>
        </w:rPr>
        <w:footnoteRef/>
      </w:r>
      <w:r>
        <w:rPr>
          <w:rFonts w:ascii="Times New Roman" w:hAnsi="Times New Roman" w:cs="Times New Roman"/>
          <w:sz w:val="20"/>
          <w:szCs w:val="20"/>
        </w:rPr>
        <w:t xml:space="preserve"> Shorey et al.</w:t>
      </w:r>
    </w:p>
  </w:footnote>
  <w:footnote w:id="66">
    <w:p>
      <w:pPr>
        <w:bidi w:val="0"/>
      </w:pPr>
      <w:r>
        <w:rPr>
          <w:vertAlign w:val="superscript"/>
        </w:rPr>
        <w:footnoteRef/>
      </w:r>
      <w:r>
        <w:rPr>
          <w:rFonts w:ascii="Times New Roman" w:hAnsi="Times New Roman" w:cs="Times New Roman"/>
          <w:sz w:val="20"/>
          <w:szCs w:val="20"/>
        </w:rPr>
        <w:t xml:space="preserve"> Lindberg et al.</w:t>
      </w:r>
    </w:p>
  </w:footnote>
  <w:footnote w:id="67">
    <w:p>
      <w:pPr>
        <w:bidi w:val="0"/>
      </w:pPr>
      <w:r>
        <w:rPr>
          <w:vertAlign w:val="superscript"/>
        </w:rPr>
        <w:footnoteRef/>
      </w:r>
      <w:r>
        <w:rPr>
          <w:rFonts w:ascii="Times New Roman" w:hAnsi="Times New Roman" w:cs="Times New Roman"/>
          <w:sz w:val="20"/>
          <w:szCs w:val="20"/>
        </w:rPr>
        <w:t xml:space="preserve"> Baker &amp; Nofsinger</w:t>
      </w:r>
    </w:p>
  </w:footnote>
  <w:footnote w:id="68">
    <w:p>
      <w:pPr>
        <w:bidi w:val="0"/>
      </w:pPr>
      <w:r>
        <w:rPr>
          <w:vertAlign w:val="superscript"/>
        </w:rPr>
        <w:footnoteRef/>
      </w:r>
      <w:r>
        <w:rPr>
          <w:rFonts w:ascii="Times New Roman" w:hAnsi="Times New Roman" w:cs="Times New Roman"/>
          <w:sz w:val="20"/>
          <w:szCs w:val="20"/>
        </w:rPr>
        <w:t xml:space="preserve"> Barber &amp; Odean</w:t>
      </w:r>
    </w:p>
  </w:footnote>
  <w:footnote w:id="69">
    <w:p>
      <w:pPr>
        <w:bidi w:val="0"/>
      </w:pPr>
      <w:r>
        <w:rPr>
          <w:vertAlign w:val="superscript"/>
        </w:rPr>
        <w:footnoteRef/>
      </w:r>
      <w:r>
        <w:rPr>
          <w:rFonts w:ascii="Times New Roman" w:hAnsi="Times New Roman" w:cs="Times New Roman"/>
          <w:sz w:val="20"/>
          <w:szCs w:val="20"/>
        </w:rPr>
        <w:t xml:space="preserve"> Shefrin &amp; Statman</w:t>
      </w:r>
    </w:p>
  </w:footnote>
  <w:footnote w:id="70">
    <w:p>
      <w:pPr>
        <w:bidi w:val="0"/>
      </w:pPr>
      <w:r>
        <w:rPr>
          <w:vertAlign w:val="superscript"/>
        </w:rPr>
        <w:footnoteRef/>
      </w:r>
      <w:r>
        <w:rPr>
          <w:rFonts w:ascii="Times New Roman" w:hAnsi="Times New Roman" w:cs="Times New Roman"/>
          <w:sz w:val="20"/>
          <w:szCs w:val="20"/>
        </w:rPr>
        <w:t xml:space="preserve"> Goetzmann &amp; Kumar</w:t>
      </w:r>
    </w:p>
  </w:footnote>
  <w:footnote w:id="71">
    <w:p>
      <w:pPr>
        <w:bidi w:val="0"/>
      </w:pPr>
      <w:r>
        <w:rPr>
          <w:vertAlign w:val="superscript"/>
        </w:rPr>
        <w:footnoteRef/>
      </w:r>
      <w:r>
        <w:rPr>
          <w:rFonts w:ascii="Times New Roman" w:hAnsi="Times New Roman" w:cs="Times New Roman"/>
          <w:sz w:val="20"/>
          <w:szCs w:val="20"/>
        </w:rPr>
        <w:t xml:space="preserve"> Zuckerman</w:t>
      </w:r>
    </w:p>
  </w:footnote>
  <w:footnote w:id="72">
    <w:p>
      <w:pPr>
        <w:bidi w:val="0"/>
      </w:pPr>
      <w:r>
        <w:rPr>
          <w:vertAlign w:val="superscript"/>
        </w:rPr>
        <w:footnoteRef/>
      </w:r>
      <w:r>
        <w:rPr>
          <w:rFonts w:ascii="Times New Roman" w:hAnsi="Times New Roman" w:cs="Times New Roman"/>
          <w:sz w:val="20"/>
          <w:szCs w:val="20"/>
        </w:rPr>
        <w:t xml:space="preserve"> Lauriola &amp; Levin</w:t>
      </w:r>
    </w:p>
  </w:footnote>
  <w:footnote w:id="73">
    <w:p>
      <w:pPr>
        <w:bidi w:val="0"/>
      </w:pPr>
      <w:r>
        <w:rPr>
          <w:vertAlign w:val="superscript"/>
        </w:rPr>
        <w:footnoteRef/>
      </w:r>
      <w:r>
        <w:rPr>
          <w:rFonts w:ascii="Times New Roman" w:hAnsi="Times New Roman" w:cs="Times New Roman"/>
          <w:sz w:val="20"/>
          <w:szCs w:val="20"/>
        </w:rPr>
        <w:t xml:space="preserve"> Fenton-O'Creevy et al., 2012</w:t>
      </w:r>
    </w:p>
  </w:footnote>
  <w:footnote w:id="74">
    <w:p>
      <w:pPr>
        <w:bidi w:val="0"/>
      </w:pPr>
      <w:r>
        <w:rPr>
          <w:vertAlign w:val="superscript"/>
        </w:rPr>
        <w:footnoteRef/>
      </w:r>
      <w:r>
        <w:rPr>
          <w:rFonts w:ascii="Times New Roman" w:hAnsi="Times New Roman" w:cs="Times New Roman"/>
          <w:sz w:val="20"/>
          <w:szCs w:val="20"/>
        </w:rPr>
        <w:t xml:space="preserve"> Maner &amp; Schmidt</w:t>
      </w:r>
    </w:p>
  </w:footnote>
  <w:footnote w:id="75">
    <w:p>
      <w:pPr>
        <w:bidi w:val="0"/>
      </w:pPr>
      <w:r>
        <w:rPr>
          <w:vertAlign w:val="superscript"/>
        </w:rPr>
        <w:footnoteRef/>
      </w:r>
      <w:r>
        <w:rPr>
          <w:rFonts w:ascii="Times New Roman" w:hAnsi="Times New Roman" w:cs="Times New Roman"/>
          <w:sz w:val="20"/>
          <w:szCs w:val="20"/>
        </w:rPr>
        <w:t xml:space="preserve"> Young, Klosko, &amp; Weishaar</w:t>
      </w:r>
    </w:p>
  </w:footnote>
  <w:footnote w:id="76">
    <w:p>
      <w:pPr>
        <w:bidi w:val="0"/>
      </w:pPr>
      <w:r>
        <w:rPr>
          <w:vertAlign w:val="superscript"/>
        </w:rPr>
        <w:footnoteRef/>
      </w:r>
      <w:r>
        <w:rPr>
          <w:rFonts w:ascii="Times New Roman" w:hAnsi="Times New Roman" w:cs="Times New Roman"/>
          <w:sz w:val="20"/>
          <w:szCs w:val="20"/>
        </w:rPr>
        <w:t xml:space="preserve"> Young</w:t>
      </w:r>
    </w:p>
  </w:footnote>
  <w:footnote w:id="77">
    <w:p>
      <w:pPr>
        <w:bidi w:val="0"/>
      </w:pPr>
      <w:r>
        <w:rPr>
          <w:vertAlign w:val="superscript"/>
        </w:rPr>
        <w:footnoteRef/>
      </w:r>
      <w:r>
        <w:rPr>
          <w:rFonts w:ascii="Times New Roman" w:hAnsi="Times New Roman" w:cs="Times New Roman"/>
          <w:sz w:val="20"/>
          <w:szCs w:val="20"/>
        </w:rPr>
        <w:t xml:space="preserve"> Grable &amp; Lytton</w:t>
      </w:r>
    </w:p>
  </w:footnote>
  <w:footnote w:id="78">
    <w:p>
      <w:pPr>
        <w:bidi w:val="0"/>
      </w:pPr>
      <w:r>
        <w:rPr>
          <w:vertAlign w:val="superscript"/>
        </w:rPr>
        <w:footnoteRef/>
      </w:r>
      <w:r>
        <w:rPr>
          <w:rFonts w:ascii="Times New Roman" w:hAnsi="Times New Roman" w:cs="Times New Roman"/>
          <w:sz w:val="20"/>
          <w:szCs w:val="20"/>
        </w:rPr>
        <w:t xml:space="preserve"> Grable</w:t>
      </w:r>
    </w:p>
  </w:footnote>
  <w:footnote w:id="79">
    <w:p>
      <w:pPr>
        <w:bidi w:val="0"/>
      </w:pPr>
      <w:r>
        <w:rPr>
          <w:vertAlign w:val="superscript"/>
        </w:rPr>
        <w:footnoteRef/>
      </w:r>
      <w:r>
        <w:rPr>
          <w:rFonts w:ascii="Times New Roman" w:hAnsi="Times New Roman" w:cs="Times New Roman"/>
          <w:sz w:val="20"/>
          <w:szCs w:val="20"/>
        </w:rPr>
        <w:t xml:space="preserve"> Baddeley et al.</w:t>
      </w:r>
    </w:p>
  </w:footnote>
  <w:footnote w:id="80">
    <w:p>
      <w:pPr>
        <w:bidi w:val="0"/>
      </w:pPr>
      <w:r>
        <w:rPr>
          <w:vertAlign w:val="superscript"/>
        </w:rPr>
        <w:footnoteRef/>
      </w:r>
      <w:r>
        <w:rPr>
          <w:rFonts w:ascii="Times New Roman" w:hAnsi="Times New Roman" w:cs="Times New Roman"/>
          <w:sz w:val="20"/>
          <w:szCs w:val="20"/>
        </w:rPr>
        <w:t xml:space="preserve"> Barlow</w:t>
      </w:r>
    </w:p>
  </w:footnote>
  <w:footnote w:id="81">
    <w:p>
      <w:pPr>
        <w:bidi w:val="0"/>
      </w:pPr>
      <w:r>
        <w:rPr>
          <w:vertAlign w:val="superscript"/>
        </w:rPr>
        <w:footnoteRef/>
      </w:r>
      <w:r>
        <w:rPr>
          <w:rFonts w:ascii="Times New Roman" w:hAnsi="Times New Roman" w:cs="Times New Roman"/>
          <w:sz w:val="20"/>
          <w:szCs w:val="20"/>
        </w:rPr>
        <w:t xml:space="preserve"> Borkovec</w:t>
      </w:r>
    </w:p>
  </w:footnote>
  <w:footnote w:id="82">
    <w:p>
      <w:pPr>
        <w:bidi w:val="0"/>
      </w:pPr>
      <w:r>
        <w:rPr>
          <w:vertAlign w:val="superscript"/>
        </w:rPr>
        <w:footnoteRef/>
      </w:r>
      <w:r>
        <w:rPr>
          <w:rFonts w:ascii="Times New Roman" w:hAnsi="Times New Roman" w:cs="Times New Roman"/>
          <w:sz w:val="20"/>
          <w:szCs w:val="20"/>
        </w:rPr>
        <w:t xml:space="preserve"> Kaplan &amp; Sadock</w:t>
      </w:r>
    </w:p>
  </w:footnote>
  <w:footnote w:id="83">
    <w:p>
      <w:pPr>
        <w:bidi w:val="0"/>
      </w:pPr>
      <w:r>
        <w:rPr>
          <w:vertAlign w:val="superscript"/>
        </w:rPr>
        <w:footnoteRef/>
      </w:r>
      <w:r>
        <w:rPr>
          <w:rFonts w:ascii="Times New Roman" w:hAnsi="Times New Roman" w:cs="Times New Roman"/>
          <w:sz w:val="20"/>
          <w:szCs w:val="20"/>
        </w:rPr>
        <w:t xml:space="preserve"> Mitte</w:t>
      </w:r>
    </w:p>
  </w:footnote>
  <w:footnote w:id="84">
    <w:p>
      <w:pPr>
        <w:bidi w:val="0"/>
      </w:pPr>
      <w:r>
        <w:rPr>
          <w:vertAlign w:val="superscript"/>
        </w:rPr>
        <w:footnoteRef/>
      </w:r>
      <w:r>
        <w:rPr>
          <w:rFonts w:ascii="Times New Roman" w:hAnsi="Times New Roman" w:cs="Times New Roman"/>
          <w:sz w:val="20"/>
          <w:szCs w:val="20"/>
        </w:rPr>
        <w:t xml:space="preserve"> Hartley &amp; Phelps</w:t>
      </w:r>
    </w:p>
  </w:footnote>
  <w:footnote w:id="85">
    <w:p>
      <w:pPr>
        <w:bidi w:val="0"/>
      </w:pPr>
      <w:r>
        <w:rPr>
          <w:vertAlign w:val="superscript"/>
        </w:rPr>
        <w:footnoteRef/>
      </w:r>
      <w:r>
        <w:rPr>
          <w:rFonts w:ascii="Times New Roman" w:hAnsi="Times New Roman" w:cs="Times New Roman"/>
          <w:sz w:val="20"/>
          <w:szCs w:val="20"/>
        </w:rPr>
        <w:t xml:space="preserve"> American Psychiatric Association</w:t>
      </w:r>
    </w:p>
  </w:footnote>
  <w:footnote w:id="86">
    <w:p>
      <w:pPr>
        <w:bidi w:val="0"/>
      </w:pPr>
      <w:r>
        <w:rPr>
          <w:vertAlign w:val="superscript"/>
        </w:rPr>
        <w:footnoteRef/>
      </w:r>
      <w:r>
        <w:rPr>
          <w:rFonts w:ascii="Times New Roman" w:hAnsi="Times New Roman" w:cs="Times New Roman"/>
          <w:sz w:val="20"/>
          <w:szCs w:val="20"/>
        </w:rPr>
        <w:t xml:space="preserve"> Gambetti &amp; Giusberti</w:t>
      </w:r>
    </w:p>
  </w:footnote>
  <w:footnote w:id="87">
    <w:p>
      <w:pPr>
        <w:bidi w:val="0"/>
      </w:pPr>
      <w:r>
        <w:rPr>
          <w:vertAlign w:val="superscript"/>
        </w:rPr>
        <w:footnoteRef/>
      </w:r>
      <w:r>
        <w:rPr>
          <w:rFonts w:ascii="Times New Roman" w:hAnsi="Times New Roman" w:cs="Times New Roman"/>
          <w:sz w:val="20"/>
          <w:szCs w:val="20"/>
        </w:rPr>
        <w:t xml:space="preserve"> Lo et al.</w:t>
      </w:r>
    </w:p>
  </w:footnote>
  <w:footnote w:id="88">
    <w:p>
      <w:pPr>
        <w:bidi w:val="0"/>
      </w:pPr>
      <w:r>
        <w:rPr>
          <w:vertAlign w:val="superscript"/>
        </w:rPr>
        <w:footnoteRef/>
      </w:r>
      <w:r>
        <w:rPr>
          <w:rFonts w:ascii="Times New Roman" w:hAnsi="Times New Roman" w:cs="Times New Roman"/>
          <w:sz w:val="20"/>
          <w:szCs w:val="20"/>
        </w:rPr>
        <w:t xml:space="preserve"> De Martino et al.</w:t>
      </w:r>
    </w:p>
  </w:footnote>
  <w:footnote w:id="89">
    <w:p>
      <w:pPr>
        <w:bidi w:val="0"/>
      </w:pPr>
      <w:r>
        <w:rPr>
          <w:vertAlign w:val="superscript"/>
        </w:rPr>
        <w:footnoteRef/>
      </w:r>
      <w:r>
        <w:rPr>
          <w:rFonts w:ascii="Times New Roman" w:hAnsi="Times New Roman" w:cs="Times New Roman"/>
          <w:sz w:val="20"/>
          <w:szCs w:val="20"/>
        </w:rPr>
        <w:t xml:space="preserve"> Kuhnen &amp; Chiao</w:t>
      </w:r>
    </w:p>
  </w:footnote>
  <w:footnote w:id="90">
    <w:p>
      <w:pPr>
        <w:bidi w:val="0"/>
      </w:pPr>
      <w:r>
        <w:rPr>
          <w:vertAlign w:val="superscript"/>
        </w:rPr>
        <w:footnoteRef/>
      </w:r>
      <w:r>
        <w:rPr>
          <w:rFonts w:ascii="Times New Roman" w:hAnsi="Times New Roman" w:cs="Times New Roman"/>
          <w:sz w:val="20"/>
          <w:szCs w:val="20"/>
        </w:rPr>
        <w:t xml:space="preserve"> Sigmund Freud</w:t>
      </w:r>
    </w:p>
  </w:footnote>
  <w:footnote w:id="91">
    <w:p>
      <w:pPr>
        <w:bidi w:val="0"/>
      </w:pPr>
      <w:r>
        <w:rPr>
          <w:vertAlign w:val="superscript"/>
        </w:rPr>
        <w:footnoteRef/>
      </w:r>
      <w:r>
        <w:rPr>
          <w:rFonts w:ascii="Times New Roman" w:hAnsi="Times New Roman" w:cs="Times New Roman"/>
          <w:sz w:val="20"/>
          <w:szCs w:val="20"/>
        </w:rPr>
        <w:t xml:space="preserve"> Albert Ellis</w:t>
      </w:r>
    </w:p>
  </w:footnote>
  <w:footnote w:id="92">
    <w:p>
      <w:pPr>
        <w:bidi w:val="0"/>
      </w:pPr>
      <w:r>
        <w:rPr>
          <w:vertAlign w:val="superscript"/>
        </w:rPr>
        <w:footnoteRef/>
      </w:r>
      <w:r>
        <w:rPr>
          <w:rFonts w:ascii="Times New Roman" w:hAnsi="Times New Roman" w:cs="Times New Roman"/>
          <w:sz w:val="20"/>
          <w:szCs w:val="20"/>
        </w:rPr>
        <w:t xml:space="preserve"> Daniel, Hirshleifer, &amp; Subrahmanyam</w:t>
      </w:r>
    </w:p>
  </w:footnote>
  <w:footnote w:id="93">
    <w:p>
      <w:pPr>
        <w:bidi w:val="0"/>
      </w:pPr>
      <w:r>
        <w:rPr>
          <w:vertAlign w:val="superscript"/>
        </w:rPr>
        <w:footnoteRef/>
      </w:r>
      <w:r>
        <w:rPr>
          <w:rFonts w:ascii="Times New Roman" w:hAnsi="Times New Roman" w:cs="Times New Roman"/>
          <w:sz w:val="20"/>
          <w:szCs w:val="20"/>
        </w:rPr>
        <w:t xml:space="preserve"> Rollo May</w:t>
      </w:r>
    </w:p>
  </w:footnote>
  <w:footnote w:id="94">
    <w:p>
      <w:pPr>
        <w:bidi w:val="0"/>
      </w:pPr>
      <w:r>
        <w:rPr>
          <w:vertAlign w:val="superscript"/>
        </w:rPr>
        <w:footnoteRef/>
      </w:r>
      <w:r>
        <w:rPr>
          <w:rFonts w:ascii="Times New Roman" w:hAnsi="Times New Roman" w:cs="Times New Roman"/>
          <w:sz w:val="20"/>
          <w:szCs w:val="20"/>
        </w:rPr>
        <w:t xml:space="preserve"> Yalom</w:t>
      </w:r>
    </w:p>
  </w:footnote>
  <w:footnote w:id="95">
    <w:p>
      <w:pPr>
        <w:bidi w:val="0"/>
      </w:pPr>
      <w:r>
        <w:rPr>
          <w:vertAlign w:val="superscript"/>
        </w:rPr>
        <w:footnoteRef/>
      </w:r>
      <w:r>
        <w:rPr>
          <w:rFonts w:ascii="Times New Roman" w:hAnsi="Times New Roman" w:cs="Times New Roman"/>
          <w:sz w:val="20"/>
          <w:szCs w:val="20"/>
        </w:rPr>
        <w:t xml:space="preserve"> Charles &amp; Kasilingam</w:t>
      </w:r>
    </w:p>
  </w:footnote>
  <w:footnote w:id="96">
    <w:p>
      <w:pPr>
        <w:bidi w:val="0"/>
      </w:pPr>
      <w:r>
        <w:rPr>
          <w:vertAlign w:val="superscript"/>
        </w:rPr>
        <w:footnoteRef/>
      </w:r>
      <w:r>
        <w:rPr>
          <w:rFonts w:ascii="Times New Roman" w:hAnsi="Times New Roman" w:cs="Times New Roman"/>
          <w:sz w:val="20"/>
          <w:szCs w:val="20"/>
        </w:rPr>
        <w:t xml:space="preserve"> An, Li, &amp; Wu</w:t>
      </w:r>
    </w:p>
  </w:footnote>
  <w:footnote w:id="97">
    <w:p>
      <w:pPr>
        <w:bidi w:val="0"/>
      </w:pPr>
      <w:r>
        <w:rPr>
          <w:vertAlign w:val="superscript"/>
        </w:rPr>
        <w:footnoteRef/>
      </w:r>
      <w:r>
        <w:rPr>
          <w:rFonts w:ascii="Times New Roman" w:hAnsi="Times New Roman" w:cs="Times New Roman"/>
          <w:sz w:val="20"/>
          <w:szCs w:val="20"/>
        </w:rPr>
        <w:t xml:space="preserve"> Vieira et al.</w:t>
      </w:r>
    </w:p>
  </w:footnote>
  <w:footnote w:id="98">
    <w:p>
      <w:pPr>
        <w:bidi w:val="0"/>
      </w:pPr>
      <w:r>
        <w:rPr>
          <w:vertAlign w:val="superscript"/>
        </w:rPr>
        <w:footnoteRef/>
      </w:r>
      <w:r>
        <w:rPr>
          <w:rFonts w:ascii="Times New Roman" w:hAnsi="Times New Roman" w:cs="Times New Roman"/>
          <w:sz w:val="20"/>
          <w:szCs w:val="20"/>
        </w:rPr>
        <w:t xml:space="preserve"> Schmidt et al.</w:t>
      </w:r>
    </w:p>
  </w:footnote>
  <w:footnote w:id="99">
    <w:p>
      <w:pPr>
        <w:bidi w:val="0"/>
      </w:pPr>
      <w:r>
        <w:rPr>
          <w:vertAlign w:val="superscript"/>
        </w:rPr>
        <w:footnoteRef/>
      </w:r>
      <w:r>
        <w:rPr>
          <w:rFonts w:ascii="Times New Roman" w:hAnsi="Times New Roman" w:cs="Times New Roman"/>
          <w:sz w:val="20"/>
          <w:szCs w:val="20"/>
        </w:rPr>
        <w:t xml:space="preserve"> Saggino et al.</w:t>
      </w:r>
    </w:p>
  </w:footnote>
  <w:footnote w:id="100">
    <w:p>
      <w:pPr>
        <w:bidi w:val="0"/>
      </w:pPr>
      <w:r>
        <w:rPr>
          <w:vertAlign w:val="superscript"/>
        </w:rPr>
        <w:footnoteRef/>
      </w:r>
      <w:r>
        <w:rPr>
          <w:rFonts w:ascii="Times New Roman" w:hAnsi="Times New Roman" w:cs="Times New Roman"/>
          <w:sz w:val="20"/>
          <w:szCs w:val="20"/>
        </w:rPr>
        <w:t xml:space="preserve"> Hayes</w:t>
      </w:r>
    </w:p>
  </w:footnote>
  <w:footnote w:id="101">
    <w:p>
      <w:pPr>
        <w:bidi w:val="0"/>
      </w:pPr>
      <w:r>
        <w:rPr>
          <w:vertAlign w:val="superscript"/>
        </w:rPr>
        <w:footnoteRef/>
      </w:r>
      <w:r>
        <w:rPr>
          <w:rFonts w:ascii="Times New Roman" w:hAnsi="Times New Roman" w:cs="Times New Roman"/>
          <w:sz w:val="20"/>
          <w:szCs w:val="20"/>
        </w:rPr>
        <w:t xml:space="preserve"> Estévez et al.</w:t>
      </w:r>
    </w:p>
  </w:footnote>
  <w:footnote w:id="102">
    <w:p>
      <w:pPr>
        <w:bidi w:val="0"/>
      </w:pPr>
      <w:r>
        <w:rPr>
          <w:vertAlign w:val="superscript"/>
        </w:rPr>
        <w:footnoteRef/>
      </w:r>
      <w:r>
        <w:rPr>
          <w:rFonts w:ascii="Times New Roman" w:hAnsi="Times New Roman" w:cs="Times New Roman"/>
          <w:sz w:val="20"/>
          <w:szCs w:val="20"/>
        </w:rPr>
        <w:t xml:space="preserve"> Sedighi Arfaee et al.</w:t>
      </w:r>
    </w:p>
  </w:footnote>
  <w:footnote w:id="103">
    <w:p>
      <w:pPr>
        <w:bidi w:val="0"/>
      </w:pPr>
      <w:r>
        <w:rPr>
          <w:vertAlign w:val="superscript"/>
        </w:rPr>
        <w:footnoteRef/>
      </w:r>
      <w:r>
        <w:rPr>
          <w:rFonts w:ascii="Times New Roman" w:hAnsi="Times New Roman" w:cs="Times New Roman"/>
          <w:sz w:val="20"/>
          <w:szCs w:val="20"/>
        </w:rPr>
        <w:t xml:space="preserve"> Arena et al.</w:t>
      </w:r>
    </w:p>
  </w:footnote>
  <w:footnote w:id="104">
    <w:p>
      <w:pPr>
        <w:bidi w:val="0"/>
      </w:pPr>
      <w:r>
        <w:rPr>
          <w:vertAlign w:val="superscript"/>
        </w:rPr>
        <w:footnoteRef/>
      </w:r>
      <w:r>
        <w:rPr>
          <w:rFonts w:ascii="Times New Roman" w:hAnsi="Times New Roman" w:cs="Times New Roman"/>
          <w:sz w:val="20"/>
          <w:szCs w:val="20"/>
        </w:rPr>
        <w:t xml:space="preserve"> An et al.</w:t>
      </w:r>
    </w:p>
  </w:footnote>
  <w:footnote w:id="105">
    <w:p>
      <w:pPr>
        <w:bidi w:val="0"/>
      </w:pPr>
      <w:r>
        <w:rPr>
          <w:vertAlign w:val="superscript"/>
        </w:rPr>
        <w:footnoteRef/>
      </w:r>
      <w:r>
        <w:rPr>
          <w:rFonts w:ascii="Times New Roman" w:hAnsi="Times New Roman" w:cs="Times New Roman"/>
          <w:sz w:val="20"/>
          <w:szCs w:val="20"/>
        </w:rPr>
        <w:t xml:space="preserve"> Rehm et al.</w:t>
      </w:r>
    </w:p>
  </w:footnote>
  <w:footnote w:id="106">
    <w:p>
      <w:pPr>
        <w:bidi w:val="0"/>
      </w:pPr>
      <w:r>
        <w:rPr>
          <w:vertAlign w:val="superscript"/>
        </w:rPr>
        <w:footnoteRef/>
      </w:r>
      <w:r>
        <w:rPr>
          <w:rFonts w:ascii="Times New Roman" w:hAnsi="Times New Roman" w:cs="Times New Roman"/>
          <w:sz w:val="20"/>
          <w:szCs w:val="20"/>
        </w:rPr>
        <w:t xml:space="preserve"> Fenton-O'Creevy et al., 2011</w:t>
      </w:r>
    </w:p>
  </w:footnote>
  <w:footnote w:id="107">
    <w:p>
      <w:pPr>
        <w:bidi w:val="0"/>
      </w:pPr>
      <w:r>
        <w:rPr>
          <w:vertAlign w:val="superscript"/>
        </w:rPr>
        <w:footnoteRef/>
      </w:r>
      <w:r>
        <w:rPr>
          <w:rFonts w:ascii="Times New Roman" w:hAnsi="Times New Roman" w:cs="Times New Roman"/>
          <w:sz w:val="20"/>
          <w:szCs w:val="20"/>
        </w:rPr>
        <w:t xml:space="preserve"> Halvorsen et al.</w:t>
      </w:r>
    </w:p>
  </w:footnote>
  <w:footnote w:id="108">
    <w:p>
      <w:pPr>
        <w:bidi w:val="0"/>
      </w:pPr>
      <w:r>
        <w:rPr>
          <w:vertAlign w:val="superscript"/>
        </w:rPr>
        <w:footnoteRef/>
      </w:r>
      <w:r>
        <w:rPr>
          <w:rFonts w:ascii="Times New Roman" w:hAnsi="Times New Roman" w:cs="Times New Roman"/>
          <w:sz w:val="20"/>
          <w:szCs w:val="20"/>
        </w:rPr>
        <w:t xml:space="preserve"> Lo &amp; Repin</w:t>
      </w:r>
    </w:p>
  </w:footnote>
  <w:footnote w:id="109">
    <w:p>
      <w:pPr>
        <w:bidi w:val="0"/>
      </w:pPr>
      <w:r>
        <w:rPr>
          <w:vertAlign w:val="superscript"/>
        </w:rPr>
        <w:footnoteRef/>
      </w:r>
      <w:r>
        <w:rPr>
          <w:rFonts w:ascii="Times New Roman" w:hAnsi="Times New Roman" w:cs="Times New Roman"/>
          <w:sz w:val="20"/>
          <w:szCs w:val="20"/>
        </w:rPr>
        <w:t xml:space="preserve"> Safitri et al.</w:t>
      </w:r>
    </w:p>
  </w:footnote>
  <w:footnote w:id="110">
    <w:p>
      <w:pPr>
        <w:bidi w:val="0"/>
      </w:pPr>
      <w:r>
        <w:rPr>
          <w:vertAlign w:val="superscript"/>
        </w:rPr>
        <w:footnoteRef/>
      </w:r>
      <w:r>
        <w:rPr>
          <w:rFonts w:ascii="Times New Roman" w:hAnsi="Times New Roman" w:cs="Times New Roman"/>
          <w:sz w:val="20"/>
          <w:szCs w:val="20"/>
        </w:rPr>
        <w:t xml:space="preserve"> Ololo et al.</w:t>
      </w:r>
    </w:p>
  </w:footnote>
  <w:footnote w:id="111">
    <w:p>
      <w:pPr>
        <w:bidi w:val="0"/>
      </w:pPr>
      <w:r>
        <w:rPr>
          <w:vertAlign w:val="superscript"/>
        </w:rPr>
        <w:footnoteRef/>
      </w:r>
      <w:r>
        <w:rPr>
          <w:rFonts w:ascii="Times New Roman" w:hAnsi="Times New Roman" w:cs="Times New Roman"/>
          <w:sz w:val="20"/>
          <w:szCs w:val="20"/>
        </w:rPr>
        <w:t xml:space="preserve"> Kline</w:t>
      </w:r>
    </w:p>
  </w:footnote>
  <w:footnote w:id="112">
    <w:p>
      <w:pPr>
        <w:bidi w:val="0"/>
      </w:pPr>
      <w:r>
        <w:rPr>
          <w:vertAlign w:val="superscript"/>
        </w:rPr>
        <w:footnoteRef/>
      </w:r>
      <w:r>
        <w:rPr>
          <w:rFonts w:ascii="Times New Roman" w:hAnsi="Times New Roman" w:cs="Times New Roman"/>
          <w:sz w:val="20"/>
          <w:szCs w:val="20"/>
        </w:rPr>
        <w:t xml:space="preserve"> Spielberger, Gorsuch, &amp; Lushene</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ns1="http://schemas.openxmlformats.org/markup-compatibility/2006" xmlns:w="http://schemas.openxmlformats.org/wordprocessingml/2006/main" ns1:Ignorable="w14">
  <w:docDefaults>
    <w:rPrDefault>
      <w:rPr>
        <w:rFonts/>
        <w:sz w:val="22"/>
        <w:szCs w:val="22"/>
        <w:lang w:val="en-US" w:eastAsia="en-US" w:bidi="fa-I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sz w:val="28"/>
      <w:szCs w:val="28"/>
    </w:rPr>
  </w:style>
  <w:style w:type="paragraph" w:styleId="Heading2">
    <w:name w:val="heading 2"/>
    <w:basedOn w:val="Normal"/>
    <w:next w:val="Normal"/>
    <w:link w:val="Heading2Char"/>
    <w:uiPriority w:val="9"/>
    <w:unhideWhenUsed/>
    <w:qFormat/>
    <w:rsid w:val="00FC693F"/>
    <w:pPr>
      <w:keepNext/>
      <w:keepLines/>
      <w:bidi w:val="1"/>
      <w:spacing w:before="240" w:after="60" w:lineRule="exact" w:line="580"/>
      <w:jc w:val="right"/>
      <w:outlineLvl w:val="1"/>
    </w:pPr>
    <w:rPr>
      <w:rFonts w:ascii="Times New Roman" w:hAnsi="Times New Roman" w:cs="B Nazanin"/>
      <w:b/>
      <w:bCs/>
      <w:color w:val="000000"/>
      <w:sz w:val="28"/>
      <w:szCs w:val="26"/>
    </w:rPr>
  </w:style>
  <w:style w:type="paragraph" w:styleId="Heading3">
    <w:name w:val="heading 3"/>
    <w:basedOn w:val="Normal"/>
    <w:next w:val="Normal"/>
    <w:link w:val="Heading3Char"/>
    <w:uiPriority w:val="9"/>
    <w:unhideWhenUsed/>
    <w:qFormat/>
    <w:rsid w:val="00FC693F"/>
    <w:pPr>
      <w:keepNext/>
      <w:keepLines/>
      <w:bidi w:val="1"/>
      <w:spacing w:before="180" w:after="40" w:lineRule="exact" w:line="580"/>
      <w:jc w:val="right"/>
      <w:outlineLvl w:val="2"/>
    </w:pPr>
    <w:rPr>
      <w:rFonts w:ascii="Times New Roman" w:hAnsi="Times New Roman" w:cs="B Nazanin"/>
      <w:b/>
      <w:bCs/>
      <w:color w:val="000000"/>
      <w:sz w:val="26"/>
    </w:rPr>
  </w:style>
  <w:style w:type="paragraph" w:styleId="Heading4">
    <w:name w:val="heading 4"/>
    <w:basedOn w:val="Normal"/>
    <w:next w:val="Normal"/>
    <w:link w:val="Heading4Char"/>
    <w:uiPriority w:val="9"/>
    <w:semiHidden/>
    <w:unhideWhenUsed/>
    <w:qFormat/>
    <w:rsid w:val="00FC693F"/>
    <w:pPr>
      <w:keepNext/>
      <w:keepLines/>
      <w:bidi w:val="1"/>
      <w:spacing w:before="120" w:after="40" w:lineRule="exact" w:line="580"/>
      <w:jc w:val="right"/>
      <w:outlineLvl w:val="3"/>
    </w:pPr>
    <w:rPr>
      <w:rFonts w:ascii="Times New Roman" w:hAnsi="Times New Roman" w:cs="B Nazanin"/>
      <w:b/>
      <w:b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sz w:val="28"/>
      <w:szCs w:val="28"/>
    </w:rPr>
  </w:style>
  <w:style w:type="character" w:customStyle="1" w:styleId="Heading2Char">
    <w:name w:val="Heading 2 Char"/>
    <w:basedOn w:val="DefaultParagraphFont"/>
    <w:link w:val="Heading2"/>
    <w:uiPriority w:val="9"/>
    <w:rsid w:val="00FC693F"/>
    <w:rPr>
      <w:rFonts/>
      <w:b/>
      <w:bCs/>
      <w:color w:val="4F81BD"/>
      <w:sz w:val="26"/>
      <w:szCs w:val="26"/>
    </w:rPr>
  </w:style>
  <w:style w:type="character" w:customStyle="1" w:styleId="Heading3Char">
    <w:name w:val="Heading 3 Char"/>
    <w:basedOn w:val="DefaultParagraphFont"/>
    <w:link w:val="Heading3"/>
    <w:uiPriority w:val="9"/>
    <w:rsid w:val="00FC693F"/>
    <w:rPr>
      <w:rFonts/>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color w:val="17365D"/>
      <w:spacing w:val="5"/>
      <w:kern w:val="28"/>
      <w:sz w:val="52"/>
      <w:szCs w:val="52"/>
    </w:rPr>
  </w:style>
  <w:style w:type="character" w:customStyle="1" w:styleId="TitleChar">
    <w:name w:val="Title Char"/>
    <w:basedOn w:val="DefaultParagraphFont"/>
    <w:link w:val="Title"/>
    <w:uiPriority w:val="10"/>
    <w:rsid w:val="00FC693F"/>
    <w:rPr>
      <w:rFonts/>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spacing w:val="15"/>
      <w:sz w:val="24"/>
      <w:szCs w:val="24"/>
    </w:rPr>
  </w:style>
  <w:style w:type="character" w:customStyle="1" w:styleId="SubtitleChar">
    <w:name w:val="Subtitle Char"/>
    <w:basedOn w:val="DefaultParagraphFont"/>
    <w:link w:val="Subtitle"/>
    <w:uiPriority w:val="11"/>
    <w:rsid w:val="00FC693F"/>
    <w:rPr>
      <w:rFonts/>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b/>
      <w:bCs/>
      <w:i/>
      <w:iCs/>
      <w:color w:val="4F81BD"/>
    </w:rPr>
  </w:style>
  <w:style w:type="character" w:customStyle="1" w:styleId="Heading5Char">
    <w:name w:val="Heading 5 Char"/>
    <w:basedOn w:val="DefaultParagraphFont"/>
    <w:link w:val="Heading5"/>
    <w:uiPriority w:val="9"/>
    <w:semiHidden/>
    <w:rsid w:val="00FC693F"/>
    <w:rPr>
      <w:rFonts/>
      <w:color w:val="243F60"/>
    </w:rPr>
  </w:style>
  <w:style w:type="character" w:customStyle="1" w:styleId="Heading6Char">
    <w:name w:val="Heading 6 Char"/>
    <w:basedOn w:val="DefaultParagraphFont"/>
    <w:link w:val="Heading6"/>
    <w:uiPriority w:val="9"/>
    <w:semiHidden/>
    <w:rsid w:val="00FC693F"/>
    <w:rPr>
      <w:rFonts/>
      <w:i/>
      <w:iCs/>
      <w:color w:val="243F60"/>
    </w:rPr>
  </w:style>
  <w:style w:type="character" w:customStyle="1" w:styleId="Heading7Char">
    <w:name w:val="Heading 7 Char"/>
    <w:basedOn w:val="DefaultParagraphFont"/>
    <w:link w:val="Heading7"/>
    <w:uiPriority w:val="9"/>
    <w:semiHidden/>
    <w:rsid w:val="00FC693F"/>
    <w:rPr>
      <w:rFonts/>
      <w:i/>
      <w:iCs/>
      <w:color w:val="404040"/>
    </w:rPr>
  </w:style>
  <w:style w:type="character" w:customStyle="1" w:styleId="Heading8Char">
    <w:name w:val="Heading 8 Char"/>
    <w:basedOn w:val="DefaultParagraphFont"/>
    <w:link w:val="Heading8"/>
    <w:uiPriority w:val="9"/>
    <w:semiHidden/>
    <w:rsid w:val="00FC693F"/>
    <w:rPr>
      <w:rFonts/>
      <w:color w:val="4F81BD"/>
      <w:sz w:val="20"/>
      <w:szCs w:val="20"/>
    </w:rPr>
  </w:style>
  <w:style w:type="character" w:customStyle="1" w:styleId="Heading9Char">
    <w:name w:val="Heading 9 Char"/>
    <w:basedOn w:val="DefaultParagraphFont"/>
    <w:link w:val="Heading9"/>
    <w:uiPriority w:val="9"/>
    <w:semiHidden/>
    <w:rsid w:val="00FC693F"/>
    <w:rPr>
      <w:rFonts/>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b/>
        <w:bCs/>
      </w:rPr>
    </w:tblStylePr>
    <w:tblStylePr w:type="lastCol">
      <w:rPr>
        <w:rFonts/>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b/>
        <w:bCs/>
      </w:rPr>
    </w:tblStylePr>
    <w:tblStylePr w:type="lastCol">
      <w:rPr>
        <w:rFonts/>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b/>
        <w:bCs/>
      </w:rPr>
    </w:tblStylePr>
    <w:tblStylePr w:type="lastCol">
      <w:rPr>
        <w:rFonts/>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b/>
        <w:bCs/>
      </w:rPr>
    </w:tblStylePr>
    <w:tblStylePr w:type="lastCol">
      <w:rPr>
        <w:rFonts/>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b/>
        <w:bCs/>
      </w:rPr>
    </w:tblStylePr>
    <w:tblStylePr w:type="lastCol">
      <w:rPr>
        <w:rFonts/>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b/>
        <w:bCs/>
      </w:rPr>
    </w:tblStylePr>
    <w:tblStylePr w:type="lastCol">
      <w:rPr>
        <w:rFonts/>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b/>
        <w:bCs/>
      </w:rPr>
    </w:tblStylePr>
    <w:tblStylePr w:type="lastCol">
      <w:rPr>
        <w:rFonts/>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imes New Roman" w:hAnsi="Times New Roman" w:cs="B Nazanin"/>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OC1">
    <w:name w:val="toc 1"/>
    <w:basedOn w:val="Normal"/>
    <w:next w:val="Normal"/>
    <w:semiHidden/>
    <w:unhideWhenUsed/>
    <w:pPr>
      <w:tabs>
        <w:tab w:val="left" w:leader="dot" w:pos="8221"/>
      </w:tabs>
      <w:jc w:val="right"/>
      <w:bidi w:val="1"/>
    </w:pPr>
    <w:rPr>
      <w:rFonts w:ascii="Times New Roman" w:hAnsi="Times New Roman" w:cs="B Nazanin"/>
      <w:sz w:val="24"/>
      <w:szCs w:val="24"/>
      <w:rtl/>
    </w:rPr>
  </w:style>
  <w:style w:type="paragraph" w:styleId="TOC2">
    <w:name w:val="toc 2"/>
    <w:basedOn w:val="Normal"/>
    <w:next w:val="Normal"/>
    <w:semiHidden/>
    <w:unhideWhenUsed/>
    <w:pPr>
      <w:tabs>
        <w:tab w:val="left" w:leader="dot" w:pos="8221"/>
      </w:tabs>
      <w:jc w:val="right"/>
      <w:bidi w:val="1"/>
    </w:pPr>
    <w:rPr>
      <w:rFonts w:ascii="Times New Roman" w:hAnsi="Times New Roman" w:cs="B Nazanin"/>
      <w:sz w:val="22"/>
      <w:szCs w:val="22"/>
      <w:rtl/>
    </w:rPr>
  </w:style>
  <w:style w:type="paragraph" w:styleId="TOC3">
    <w:name w:val="toc 3"/>
    <w:basedOn w:val="Normal"/>
    <w:next w:val="Normal"/>
    <w:semiHidden/>
    <w:unhideWhenUsed/>
    <w:pPr>
      <w:tabs>
        <w:tab w:val="left" w:leader="dot" w:pos="8221"/>
      </w:tabs>
      <w:jc w:val="right"/>
      <w:bidi w:val="1"/>
    </w:pPr>
    <w:rPr>
      <w:rFonts w:ascii="Times New Roman" w:hAnsi="Times New Roman" w:cs="B Nazanin"/>
      <w:sz w:val="22"/>
      <w:szCs w:val="22"/>
      <w:rtl/>
    </w:rPr>
  </w:style>
  <w:style w:type="paragraph" w:styleId="tableoffigures">
    <w:name w:val="Table of Figures"/>
    <w:basedOn w:val="Normal"/>
    <w:next w:val="Normal"/>
    <w:semiHidden/>
    <w:unhideWhenUsed/>
    <w:pPr>
      <w:tabs>
        <w:tab w:val="left" w:leader="dot" w:pos="8221"/>
      </w:tabs>
      <w:jc w:val="right"/>
      <w:bidi w:val="1"/>
    </w:pPr>
    <w:rPr>
      <w:rFonts w:ascii="Times New Roman" w:hAnsi="Times New Roman" w:cs="B Nazanin"/>
      <w:sz w:val="24"/>
      <w:szCs w:val="24"/>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footer" Target="footer1.xml" /><ns0:Relationship Id="rId10" Type="http://schemas.openxmlformats.org/officeDocument/2006/relationships/footer" Target="footer2.xml" /><ns0:Relationship Id="rId11" Type="http://schemas.openxmlformats.org/officeDocument/2006/relationships/footer" Target="footer3.xml" /><ns0:Relationship Id="rId12" Type="http://schemas.openxmlformats.org/officeDocument/2006/relationships/footer" Target="footer4.xml" /><ns0:Relationship Id="rId13" Type="http://schemas.openxmlformats.org/officeDocument/2006/relationships/footer" Target="footer5.xml" /><ns0:Relationship Id="rId14" Type="http://schemas.openxmlformats.org/officeDocument/2006/relationships/footer" Target="footer6.xml" /><ns0:Relationship Id="rId15" Type="http://schemas.openxmlformats.org/officeDocument/2006/relationships/footer" Target="footer7.xml" /><ns0:Relationship Id="rId16" Type="http://schemas.openxmlformats.org/officeDocument/2006/relationships/footer" Target="footer8.xml" /><ns0:Relationship Id="rId17" Type="http://schemas.openxmlformats.org/officeDocument/2006/relationships/footer" Target="footer9.xml" /><ns0:Relationship Id="rId18" Type="http://schemas.openxmlformats.org/officeDocument/2006/relationships/footer" Target="footer10.xml" /><ns0:Relationship Id="rId19" Type="http://schemas.openxmlformats.org/officeDocument/2006/relationships/footnotes" Target="footnotes.xml" /><ns0:Relationship Id="rId20"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