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Rule="exact" w:line="580" w:before="0" w:after="0"/>
        <w:jc w:val="center"/>
      </w:pPr>
      <w:r>
        <w:rPr>
          <w:rFonts w:ascii="B Nazanin" w:hAnsi="B Nazanin" w:cs="B Nazanin" w:hint="cs"/>
          <w:b/>
          <w:bCs/>
          <w:sz w:val="32"/>
          <w:szCs w:val="32"/>
          <w:rtl/>
          <w:lang w:bidi="fa-IR"/>
        </w:rPr>
        <w:t xml:space="preserve">بسم الله الرحمن الرحیم</w:t>
      </w:r>
    </w:p>
    <w:p>
      <w:pPr>
        <w:sectPr>
          <w:footerReference w:type="default" r:id="rId9"/>
          <w:footnotePr>
            <w:numFmt w:val="hindi"/>
            <w:numRestart w:val="eachPage"/>
          </w:footnotePr>
          <w:pgSz w:w="11906" w:h="16838"/>
          <w:pgMar w:top="1701" w:right="2268" w:bottom="1417" w:left="1417" w:header="720" w:footer="567" w:gutter="0"/>
          <w:cols w:space="720"/>
          <w:vAlign w:val="center"/>
          <w:bidi/>
          <w:docGrid w:linePitch="360"/>
        </w:sectPr>
      </w:pPr>
    </w:p>
    <w:p>
      <w:pPr>
        <w:bidi w:val="1"/>
        <w:spacing w:lineRule="exact" w:line="580" w:before="0" w:after="360"/>
        <w:jc w:val="center"/>
      </w:pPr>
      <w:r>
        <w:rPr>
          <w:rFonts w:ascii="B Nazanin" w:hAnsi="B Nazanin" w:cs="B Nazanin" w:hint="cs"/>
          <w:b/>
          <w:bCs/>
          <w:sz w:val="20"/>
          <w:szCs w:val="20"/>
          <w:rtl/>
          <w:lang w:bidi="fa-IR"/>
        </w:rPr>
        <w:t xml:space="preserve">دانشگاه علم و هنر یزد</w:t>
      </w:r>
    </w:p>
    <w:p>
      <w:pPr>
        <w:bidi w:val="1"/>
        <w:spacing w:lineRule="exact" w:line="580" w:before="240" w:after="360"/>
        <w:jc w:val="center"/>
      </w:pPr>
      <w:r>
        <w:rPr>
          <w:rFonts w:ascii="B Nazanin" w:hAnsi="B Nazanin" w:cs="B Nazanin" w:hint="cs"/>
          <w:b/>
          <w:bCs/>
          <w:sz w:val="48"/>
          <w:szCs w:val="48"/>
          <w:rtl/>
          <w:lang w:bidi="fa-IR"/>
        </w:rPr>
        <w:t xml:space="preserve">تعیین نقش میانجی‌گر طرحواره‌های ناسازگار اولیه در رابطه بین اضطراب صفتی و رفتارهای مالی پرخطر در معامله‌گران بازارهای مالی</w:t>
      </w:r>
    </w:p>
    <w:p>
      <w:pPr>
        <w:bidi w:val="1"/>
        <w:spacing w:lineRule="exact" w:line="580" w:before="0" w:after="360"/>
        <w:jc w:val="center"/>
      </w:pPr>
      <w:r>
        <w:rPr>
          <w:rFonts w:ascii="B Nazanin" w:hAnsi="B Nazanin" w:cs="B Nazanin" w:hint="cs"/>
          <w:b/>
          <w:bCs/>
          <w:sz w:val="28"/>
          <w:szCs w:val="28"/>
          <w:rtl/>
          <w:lang w:bidi="fa-IR"/>
        </w:rPr>
        <w:t xml:space="preserve">پایان‌نامه کارشناسی ارشد روان‌شناسی بالینی</w:t>
      </w:r>
    </w:p>
    <w:p>
      <w:pPr>
        <w:bidi w:val="1"/>
        <w:spacing w:lineRule="exact" w:line="580" w:before="0" w:after="180"/>
        <w:jc w:val="center"/>
      </w:pPr>
      <w:r>
        <w:rPr>
          <w:rFonts w:ascii="B Nazanin" w:hAnsi="B Nazanin" w:cs="B Nazanin" w:hint="cs"/>
          <w:sz w:val="28"/>
          <w:szCs w:val="28"/>
          <w:rtl/>
          <w:lang w:bidi="fa-IR"/>
        </w:rPr>
        <w:t xml:space="preserve">استاد راهنما: </w:t>
      </w:r>
      <w:r>
        <w:rPr>
          <w:rFonts w:ascii="B Nazanin" w:hAnsi="B Nazanin" w:cs="B Nazanin" w:hint="cs"/>
          <w:b/>
          <w:bCs/>
          <w:sz w:val="28"/>
          <w:szCs w:val="28"/>
          <w:rtl/>
          <w:lang w:bidi="fa-IR"/>
        </w:rPr>
        <w:t xml:space="preserve">دکتر سعید وزیری یزدی</w:t>
      </w:r>
    </w:p>
    <w:p>
      <w:pPr>
        <w:bidi w:val="1"/>
        <w:spacing w:lineRule="exact" w:line="580" w:before="0" w:after="180"/>
        <w:jc w:val="center"/>
      </w:pPr>
      <w:r>
        <w:rPr>
          <w:rFonts w:ascii="B Nazanin" w:hAnsi="B Nazanin" w:cs="B Nazanin" w:hint="cs"/>
          <w:sz w:val="28"/>
          <w:szCs w:val="28"/>
          <w:rtl/>
          <w:lang w:bidi="fa-IR"/>
        </w:rPr>
        <w:t xml:space="preserve">نگارنده: </w:t>
      </w:r>
      <w:r>
        <w:rPr>
          <w:rFonts w:ascii="B Nazanin" w:hAnsi="B Nazanin" w:cs="B Nazanin" w:hint="cs"/>
          <w:b/>
          <w:bCs/>
          <w:sz w:val="28"/>
          <w:szCs w:val="28"/>
          <w:rtl/>
          <w:lang w:bidi="fa-IR"/>
        </w:rPr>
        <w:t xml:space="preserve">مریم قابل</w:t>
      </w:r>
    </w:p>
    <w:p>
      <w:pPr>
        <w:bidi w:val="1"/>
        <w:spacing w:lineRule="exact" w:line="580" w:before="240" w:after="0"/>
        <w:jc w:val="center"/>
      </w:pPr>
      <w:r>
        <w:rPr>
          <w:rFonts w:ascii="B Nazanin" w:hAnsi="B Nazanin" w:cs="B Nazanin" w:hint="cs"/>
          <w:b/>
          <w:bCs/>
          <w:sz w:val="28"/>
          <w:szCs w:val="28"/>
          <w:rtl/>
          <w:lang w:bidi="fa-IR"/>
        </w:rPr>
        <w:t xml:space="preserve">۱۴۰۵</w:t>
      </w:r>
    </w:p>
    <w:p>
      <w:r>
        <w:br w:type="page"/>
      </w:r>
    </w:p>
    <w:p>
      <w:pPr>
        <w:bidi w:val="1"/>
        <w:spacing w:lineRule="exact" w:line="580" w:before="2400" w:after="0"/>
        <w:jc w:val="center"/>
      </w:pPr>
      <w:r>
        <w:rPr>
          <w:rFonts w:ascii="B Nazanin" w:hAnsi="B Nazanin" w:cs="B Nazanin" w:hint="cs"/>
          <w:sz w:val="24"/>
          <w:szCs w:val="24"/>
          <w:rtl/>
          <w:lang w:bidi="fa-IR"/>
        </w:rPr>
        <w:t xml:space="preserve">[فرم صورت‌جلسه دفاع پس از برگزاری جلسه دفاع در این محل قرار می‌گیرد]</w:t>
      </w:r>
    </w:p>
    <w:p>
      <w:r>
        <w:br w:type="page"/>
      </w:r>
    </w:p>
    <w:p>
      <w:pPr>
        <w:bidi w:val="1"/>
        <w:spacing w:lineRule="exact" w:line="580" w:before="2400" w:after="0"/>
        <w:jc w:val="center"/>
      </w:pPr>
      <w:r>
        <w:rPr>
          <w:rFonts w:ascii="B Nazanin" w:hAnsi="B Nazanin" w:cs="B Nazanin" w:hint="cs"/>
          <w:sz w:val="24"/>
          <w:szCs w:val="24"/>
          <w:rtl/>
          <w:lang w:bidi="fa-IR"/>
        </w:rPr>
        <w:t xml:space="preserve">[فرم تعهدنامه اصالت اثر پس از امضا در این محل قرار می‌گیرد]</w:t>
      </w:r>
    </w:p>
    <w:p>
      <w:r>
        <w:br w:type="page"/>
      </w:r>
    </w:p>
    <w:p>
      <w:pPr>
        <w:bidi w:val="1"/>
        <w:spacing w:lineRule="exact" w:line="580" w:before="0" w:after="240"/>
        <w:jc w:val="right"/>
      </w:pPr>
      <w:r>
        <w:rPr>
          <w:rFonts w:ascii="B Nazanin" w:hAnsi="B Nazanin" w:cs="B Nazanin" w:hint="cs"/>
          <w:b/>
          <w:bCs/>
          <w:sz w:val="28"/>
          <w:szCs w:val="28"/>
          <w:rtl/>
          <w:lang w:bidi="fa-IR"/>
        </w:rPr>
        <w:t xml:space="preserve">تقدیم به:</w:t>
      </w:r>
    </w:p>
    <w:p>
      <w:pPr>
        <w:bidi w:val="1"/>
        <w:spacing w:lineRule="exact" w:line="580" w:before="1200" w:after="0"/>
        <w:jc w:val="center"/>
      </w:pPr>
      <w:r>
        <w:rPr>
          <w:rFonts w:ascii="B Nazanin" w:hAnsi="B Nazanin" w:cs="B Nazanin" w:hint="cs"/>
          <w:sz w:val="24"/>
          <w:szCs w:val="24"/>
          <w:rtl/>
          <w:lang w:bidi="fa-IR"/>
        </w:rPr>
        <w:t xml:space="preserve">[متن تقدیم توسط دانشجو تکمیل می‌شود]</w:t>
      </w:r>
    </w:p>
    <w:p>
      <w:r>
        <w:br w:type="page"/>
      </w:r>
    </w:p>
    <w:p>
      <w:pPr>
        <w:bidi w:val="1"/>
        <w:spacing w:lineRule="exact" w:line="580" w:before="0" w:after="240"/>
        <w:jc w:val="right"/>
      </w:pPr>
      <w:r>
        <w:rPr>
          <w:rFonts w:ascii="B Nazanin" w:hAnsi="B Nazanin" w:cs="B Nazanin" w:hint="cs"/>
          <w:b/>
          <w:bCs/>
          <w:sz w:val="28"/>
          <w:szCs w:val="28"/>
          <w:rtl/>
          <w:lang w:bidi="fa-IR"/>
        </w:rPr>
        <w:t xml:space="preserve">سپاسگزاری</w:t>
      </w:r>
    </w:p>
    <w:p>
      <w:pPr>
        <w:bidi w:val="1"/>
        <w:spacing w:lineRule="exact" w:line="580" w:before="1200" w:after="0"/>
        <w:jc w:val="center"/>
      </w:pPr>
      <w:r>
        <w:rPr>
          <w:rFonts w:ascii="B Nazanin" w:hAnsi="B Nazanin" w:cs="B Nazanin" w:hint="cs"/>
          <w:sz w:val="24"/>
          <w:szCs w:val="24"/>
          <w:rtl/>
          <w:lang w:bidi="fa-IR"/>
        </w:rPr>
        <w:t xml:space="preserve">[متن سپاسگزاری توسط دانشجو تکمیل می‌شود]</w:t>
      </w:r>
    </w:p>
    <w:p>
      <w:r>
        <w:br w:type="page"/>
      </w:r>
    </w:p>
    <w:p>
      <w:pPr>
        <w:bidi w:val="1"/>
        <w:spacing w:lineRule="exact" w:line="580" w:before="0" w:after="120"/>
        <w:jc w:val="right"/>
      </w:pPr>
      <w:r>
        <w:rPr>
          <w:rFonts w:ascii="B Nazanin" w:hAnsi="B Nazanin" w:cs="B Nazanin" w:hint="cs"/>
          <w:b/>
          <w:bCs/>
          <w:sz w:val="28"/>
          <w:szCs w:val="28"/>
          <w:rtl/>
          <w:lang w:bidi="fa-IR"/>
        </w:rPr>
        <w:t xml:space="preserve">چکیده:</w:t>
      </w:r>
    </w:p>
    <w:p>
      <w:pPr>
        <w:bidi w:val="1"/>
        <w:spacing w:lineRule="exact" w:line="580" w:after="120"/>
        <w:jc w:val="both"/>
      </w:pPr>
      <w:r>
        <w:rPr>
          <w:rFonts w:ascii="B Nazanin" w:hAnsi="B Nazanin" w:cs="B Nazanin" w:hint="cs"/>
          <w:sz w:val="24"/>
          <w:szCs w:val="24"/>
          <w:rtl/>
          <w:lang w:bidi="fa-IR"/>
        </w:rPr>
        <w:t xml:space="preserve">[چکیده پس از تکمیل فصل‌های چهارم و پنجم نوشته می‌شود]</w:t>
      </w:r>
    </w:p>
    <w:p>
      <w:pPr>
        <w:bidi w:val="1"/>
        <w:spacing w:lineRule="exact" w:line="580" w:after="0"/>
        <w:jc w:val="both"/>
      </w:pPr>
      <w:r>
        <w:rPr>
          <w:rFonts w:ascii="B Nazanin" w:hAnsi="B Nazanin" w:cs="B Nazanin" w:hint="cs"/>
          <w:sz w:val="24"/>
          <w:szCs w:val="24"/>
          <w:rtl/>
          <w:lang w:bidi="fa-IR"/>
        </w:rPr>
        <w:t xml:space="preserve">کلمات کلیدی: اضطراب صفتی، طرحواره‌های ناسازگار اولیه، رفتارهای مالی پرخطر، معامله‌گران بازارهای مالی، مدل‌سازی معادلات ساختاری</w:t>
      </w:r>
    </w:p>
    <w:p>
      <w:pPr>
        <w:sectPr>
          <w:footerReference w:type="default" r:id="rId10"/>
          <w:footnotePr>
            <w:numFmt w:val="hindi"/>
            <w:numRestart w:val="eachPage"/>
          </w:footnotePr>
          <w:pgSz w:w="11906" w:h="16838"/>
          <w:pgMar w:top="1701" w:right="2268" w:bottom="1417" w:left="1417" w:header="720" w:footer="567" w:gutter="0"/>
          <w:cols w:space="720"/>
          <w:bidi/>
          <w:docGrid w:linePitch="360"/>
        </w:sectPr>
      </w:pPr>
    </w:p>
    <w:p>
      <w:pPr>
        <w:bidi w:val="1"/>
        <w:spacing w:lineRule="exact" w:line="580" w:before="0" w:after="180"/>
        <w:jc w:val="center"/>
      </w:pPr>
      <w:r>
        <w:rPr>
          <w:rFonts w:ascii="B Nazanin" w:hAnsi="B Nazanin" w:cs="B Nazanin" w:hint="cs"/>
          <w:b/>
          <w:bCs/>
          <w:sz w:val="28"/>
          <w:szCs w:val="28"/>
          <w:rtl/>
          <w:lang w:bidi="fa-IR"/>
        </w:rPr>
        <w:t xml:space="preserve">فهرست مطالب</w:t>
      </w:r>
    </w:p>
    <w:p>
      <w:pPr>
        <w:bidi w:val="1"/>
        <w:jc w:val="right"/>
      </w:pPr>
      <w:r>
        <w:fldChar w:fldCharType="begin"/>
      </w:r>
      <w:r>
        <w:instrText xml:space="preserve"> TOC \o "1-3" \h \z \u </w:instrText>
      </w:r>
      <w:r>
        <w:fldChar w:fldCharType="separate"/>
      </w:r>
      <w:r>
        <w:rPr>
          <w:rFonts w:ascii="B Nazanin" w:hAnsi="B Nazanin" w:cs="B Nazanin" w:hint="cs"/>
          <w:sz w:val="24"/>
          <w:szCs w:val="24"/>
          <w:rtl/>
          <w:lang w:bidi="fa-IR"/>
        </w:rPr>
        <w:t xml:space="preserve">[فهرست مطالب در</w:t>
      </w:r>
      <w:r>
        <w:rPr>
          <w:rFonts w:ascii="Times New Roman" w:hAnsi="Times New Roman" w:cs="Times New Roman"/>
          <w:sz w:val="22"/>
          <w:szCs w:val="22"/>
          <w:lang w:val="en-US"/>
        </w:rPr>
        <w:t xml:space="preserve"> Word </w:t>
      </w:r>
      <w:r>
        <w:rPr>
          <w:rFonts w:ascii="B Nazanin" w:hAnsi="B Nazanin" w:cs="B Nazanin" w:hint="cs"/>
          <w:sz w:val="24"/>
          <w:szCs w:val="24"/>
          <w:rtl/>
          <w:lang w:bidi="fa-IR"/>
        </w:rPr>
        <w:t xml:space="preserve">از مسیر</w:t>
      </w:r>
      <w:r>
        <w:rPr>
          <w:rFonts w:ascii="Times New Roman" w:hAnsi="Times New Roman" w:cs="Times New Roman"/>
          <w:sz w:val="22"/>
          <w:szCs w:val="22"/>
          <w:lang w:val="en-US"/>
        </w:rPr>
        <w:t xml:space="preserve"> References &gt; Table of Contents </w:t>
      </w:r>
      <w:r>
        <w:rPr>
          <w:rFonts w:ascii="B Nazanin" w:hAnsi="B Nazanin" w:cs="B Nazanin" w:hint="cs"/>
          <w:sz w:val="24"/>
          <w:szCs w:val="24"/>
          <w:rtl/>
          <w:lang w:bidi="fa-IR"/>
        </w:rPr>
        <w:t xml:space="preserve">ساخته و به‌روزرسانی شود — با کلیک راست و</w:t>
      </w:r>
      <w:r>
        <w:rPr>
          <w:rFonts w:ascii="Times New Roman" w:hAnsi="Times New Roman" w:cs="Times New Roman"/>
          <w:sz w:val="22"/>
          <w:szCs w:val="22"/>
          <w:lang w:val="en-US"/>
        </w:rPr>
        <w:t xml:space="preserve"> Update Field]</w:t>
      </w:r>
      <w:r>
        <w:fldChar w:fldCharType="end"/>
      </w:r>
    </w:p>
    <w:p>
      <w:r>
        <w:br w:type="page"/>
      </w:r>
    </w:p>
    <w:p>
      <w:pPr>
        <w:bidi w:val="1"/>
        <w:spacing w:lineRule="exact" w:line="580" w:before="0" w:after="180"/>
        <w:jc w:val="center"/>
      </w:pPr>
      <w:r>
        <w:rPr>
          <w:rFonts w:ascii="B Nazanin" w:hAnsi="B Nazanin" w:cs="B Nazanin" w:hint="cs"/>
          <w:b/>
          <w:bCs/>
          <w:sz w:val="28"/>
          <w:szCs w:val="28"/>
          <w:rtl/>
          <w:lang w:bidi="fa-IR"/>
        </w:rPr>
        <w:t xml:space="preserve">فهرست جدول‌ها</w:t>
      </w:r>
    </w:p>
    <w:p>
      <w:pPr>
        <w:bidi w:val="1"/>
        <w:spacing w:lineRule="exact" w:line="580" w:before="0" w:after="60"/>
        <w:jc w:val="center"/>
      </w:pPr>
      <w:r>
        <w:rPr>
          <w:rFonts w:ascii="B Nazanin" w:hAnsi="B Nazanin" w:cs="B Nazanin" w:hint="cs"/>
          <w:sz w:val="24"/>
          <w:szCs w:val="24"/>
          <w:rtl/>
          <w:lang w:bidi="fa-IR"/>
        </w:rPr>
        <w:t xml:space="preserve">جدول ۲-۱. حوزه‌ها و طرحواره‌های ناسازگار اولیه در مدل یانگ — [شماره صفحه پس از صفحه‌بندی نهایی در</w:t>
      </w:r>
      <w:r>
        <w:rPr>
          <w:rFonts w:ascii="Times New Roman" w:hAnsi="Times New Roman" w:cs="Times New Roman"/>
          <w:sz w:val="24"/>
          <w:szCs w:val="24"/>
          <w:lang w:val="en-US"/>
        </w:rPr>
        <w:t xml:space="preserve"> Word </w:t>
      </w:r>
      <w:r>
        <w:rPr>
          <w:rFonts w:ascii="B Nazanin" w:hAnsi="B Nazanin" w:cs="B Nazanin" w:hint="cs"/>
          <w:sz w:val="24"/>
          <w:szCs w:val="24"/>
          <w:rtl/>
          <w:lang w:bidi="fa-IR"/>
        </w:rPr>
        <w:t xml:space="preserve">تکمیل شود]</w:t>
      </w:r>
    </w:p>
    <w:p>
      <w:pPr>
        <w:bidi w:val="1"/>
        <w:spacing w:lineRule="exact" w:line="580" w:before="0" w:after="60"/>
        <w:jc w:val="center"/>
      </w:pPr>
      <w:r>
        <w:rPr>
          <w:rFonts w:ascii="B Nazanin" w:hAnsi="B Nazanin" w:cs="B Nazanin" w:hint="cs"/>
          <w:sz w:val="24"/>
          <w:szCs w:val="24"/>
          <w:rtl/>
          <w:lang w:bidi="fa-IR"/>
        </w:rPr>
        <w:t xml:space="preserve">جدول ۳-۱. خلاصه ابزارهای پژوهش — [شماره صفحه پس از صفحه‌بندی نهایی در</w:t>
      </w:r>
      <w:r>
        <w:rPr>
          <w:rFonts w:ascii="Times New Roman" w:hAnsi="Times New Roman" w:cs="Times New Roman"/>
          <w:sz w:val="24"/>
          <w:szCs w:val="24"/>
          <w:lang w:val="en-US"/>
        </w:rPr>
        <w:t xml:space="preserve"> Word </w:t>
      </w:r>
      <w:r>
        <w:rPr>
          <w:rFonts w:ascii="B Nazanin" w:hAnsi="B Nazanin" w:cs="B Nazanin" w:hint="cs"/>
          <w:sz w:val="24"/>
          <w:szCs w:val="24"/>
          <w:rtl/>
          <w:lang w:bidi="fa-IR"/>
        </w:rPr>
        <w:t xml:space="preserve">تکمیل شود]</w:t>
      </w:r>
    </w:p>
    <w:p>
      <w:r>
        <w:br w:type="page"/>
      </w:r>
    </w:p>
    <w:p>
      <w:pPr>
        <w:bidi w:val="1"/>
        <w:spacing w:lineRule="exact" w:line="580" w:before="0" w:after="180"/>
        <w:jc w:val="center"/>
      </w:pPr>
      <w:r>
        <w:rPr>
          <w:rFonts w:ascii="B Nazanin" w:hAnsi="B Nazanin" w:cs="B Nazanin" w:hint="cs"/>
          <w:b/>
          <w:bCs/>
          <w:sz w:val="28"/>
          <w:szCs w:val="28"/>
          <w:rtl/>
          <w:lang w:bidi="fa-IR"/>
        </w:rPr>
        <w:t xml:space="preserve">فهرست شکل‌ها</w:t>
      </w:r>
    </w:p>
    <w:p>
      <w:pPr>
        <w:bidi w:val="1"/>
        <w:spacing w:lineRule="exact" w:line="580" w:before="0" w:after="60"/>
        <w:jc w:val="center"/>
      </w:pPr>
      <w:r>
        <w:rPr>
          <w:rFonts w:ascii="B Nazanin" w:hAnsi="B Nazanin" w:cs="B Nazanin" w:hint="cs"/>
          <w:sz w:val="24"/>
          <w:szCs w:val="24"/>
          <w:rtl/>
          <w:lang w:bidi="fa-IR"/>
        </w:rPr>
        <w:t xml:space="preserve">شکل ۲-۱. مدل مفهومی پژوهش — [شماره صفحه پس از صفحه‌بندی نهایی در</w:t>
      </w:r>
      <w:r>
        <w:rPr>
          <w:rFonts w:ascii="Times New Roman" w:hAnsi="Times New Roman" w:cs="Times New Roman"/>
          <w:sz w:val="24"/>
          <w:szCs w:val="24"/>
          <w:lang w:val="en-US"/>
        </w:rPr>
        <w:t xml:space="preserve"> Word </w:t>
      </w:r>
      <w:r>
        <w:rPr>
          <w:rFonts w:ascii="B Nazanin" w:hAnsi="B Nazanin" w:cs="B Nazanin" w:hint="cs"/>
          <w:sz w:val="24"/>
          <w:szCs w:val="24"/>
          <w:rtl/>
          <w:lang w:bidi="fa-IR"/>
        </w:rPr>
        <w:t xml:space="preserve">تکمیل شود]</w:t>
      </w:r>
    </w:p>
    <w:p>
      <w:r>
        <w:br w:type="page"/>
      </w:r>
    </w:p>
    <w:p>
      <w:pPr>
        <w:bidi w:val="1"/>
        <w:spacing w:lineRule="exact" w:line="580" w:before="0" w:after="180"/>
        <w:jc w:val="center"/>
      </w:pPr>
      <w:r>
        <w:rPr>
          <w:rFonts w:ascii="B Nazanin" w:hAnsi="B Nazanin" w:cs="B Nazanin" w:hint="cs"/>
          <w:b/>
          <w:bCs/>
          <w:sz w:val="28"/>
          <w:szCs w:val="28"/>
          <w:rtl/>
          <w:lang w:bidi="fa-IR"/>
        </w:rPr>
        <w:t xml:space="preserve">فهرست علائم</w:t>
      </w:r>
    </w:p>
    <w:p>
      <w:pPr>
        <w:bidi w:val="1"/>
        <w:spacing w:lineRule="exact" w:line="580"/>
        <w:jc w:val="both"/>
      </w:pPr>
      <w:r>
        <w:rPr>
          <w:rFonts w:ascii="B Nazanin" w:hAnsi="B Nazanin" w:cs="B Nazanin" w:hint="cs"/>
          <w:sz w:val="24"/>
          <w:szCs w:val="24"/>
          <w:rtl/>
          <w:lang w:bidi="fa-IR"/>
        </w:rPr>
        <w:t xml:space="preserve">[در صورت وجود علائم و اختصارات، در این بخش تکمیل می‌شود]</w:t>
      </w:r>
    </w:p>
    <w:p>
      <w:pPr>
        <w:sectPr>
          <w:footerReference w:type="default" r:id="rId11"/>
          <w:footnotePr>
            <w:numFmt w:val="hindi"/>
            <w:numRestart w:val="eachPage"/>
          </w:footnotePr>
          <w:pgSz w:w="11906" w:h="16838"/>
          <w:pgMar w:top="1701" w:right="2268" w:bottom="1417" w:left="1417" w:header="720" w:footer="567" w:gutter="0"/>
          <w:pgNumType w:numFmt="upperRoman"/>
          <w:cols w:space="720"/>
          <w:bidi/>
          <w:docGrid w:linePitch="360"/>
        </w:sectPr>
      </w:pPr>
    </w:p>
    <w:p>
      <w:pPr>
        <w:bidi w:val="1"/>
        <w:spacing w:lineRule="exact" w:line="580" w:before="480" w:after="180"/>
        <w:jc w:val="center"/>
        <w:outlineLvl w:val="0"/>
      </w:pPr>
      <w:r>
        <w:rPr>
          <w:rFonts w:ascii="B Nazanin" w:hAnsi="B Nazanin" w:cs="B Nazanin" w:hint="cs"/>
          <w:b/>
          <w:bCs/>
          <w:sz w:val="56"/>
          <w:szCs w:val="56"/>
          <w:rtl/>
          <w:lang w:bidi="fa-IR"/>
        </w:rPr>
        <w:t xml:space="preserve">فصل اول</w:t>
      </w:r>
    </w:p>
    <w:p>
      <w:pPr>
        <w:bidi w:val="1"/>
        <w:spacing w:lineRule="exact" w:line="580" w:before="120" w:after="480"/>
        <w:jc w:val="center"/>
      </w:pPr>
      <w:r>
        <w:rPr>
          <w:rFonts w:ascii="B Nazanin" w:hAnsi="B Nazanin" w:cs="B Nazanin" w:hint="cs"/>
          <w:b/>
          <w:bCs/>
          <w:sz w:val="52"/>
          <w:szCs w:val="52"/>
          <w:rtl/>
          <w:lang w:bidi="fa-IR"/>
        </w:rPr>
        <w:t xml:space="preserve">کلیات پژوهش</w:t>
      </w:r>
    </w:p>
    <w:p>
      <w:pPr>
        <w:pStyle w:val="Heading2"/>
        <w:bidi w:val="1"/>
        <w:jc w:val="right"/>
      </w:pPr>
      <w:r>
        <w:rPr>
          <w:rFonts w:ascii="B Nazanin" w:hAnsi="B Nazanin" w:cs="B Nazanin" w:hint="cs"/>
          <w:b/>
          <w:bCs/>
          <w:sz w:val="28"/>
          <w:szCs w:val="28"/>
          <w:rtl/>
          <w:lang w:bidi="fa-IR"/>
        </w:rPr>
        <w:t xml:space="preserve">۱-۱. مقدمه</w:t>
      </w:r>
    </w:p>
    <w:p>
      <w:pPr>
        <w:bidi w:val="1"/>
        <w:spacing w:lineRule="exact" w:line="580" w:after="0"/>
        <w:jc w:val="both"/>
      </w:pPr>
      <w:r>
        <w:rPr>
          <w:rFonts w:ascii="B Nazanin" w:hAnsi="B Nazanin" w:cs="B Nazanin" w:hint="cs"/>
          <w:sz w:val="24"/>
          <w:szCs w:val="24"/>
          <w:rtl/>
          <w:lang w:bidi="fa-IR"/>
        </w:rPr>
        <w:t xml:space="preserve">رفتارهای مالی پرخطر</w:t>
      </w:r>
      <w:r>
        <w:rPr>
          <w:rFonts w:ascii="B Nazanin" w:hAnsi="B Nazanin" w:cs="B Nazanin" w:hint="cs"/>
          <w:vertAlign w:val="superscript"/>
          <w:rtl/>
        </w:rPr>
        <w:footnoteReference w:id="1"/>
      </w:r>
      <w:r>
        <w:rPr>
          <w:rFonts w:ascii="B Nazanin" w:hAnsi="B Nazanin" w:cs="B Nazanin" w:hint="cs"/>
          <w:sz w:val="24"/>
          <w:szCs w:val="24"/>
          <w:rtl/>
          <w:lang w:bidi="fa-IR"/>
        </w:rPr>
        <w:t xml:space="preserve"> در بازارهای مالی نوین، پیامد صرفِ ندانستن یا بی‌دقتی نیستند. ریشه آن‌ها در تعاملی پیچیده نهفته است که میان ویژگی‌های شخصیتی پایدار، الگوهای شناختی عمیق و فشارهای لحظه‌ای محیط معاملاتی شکل می‌گیرد. پژوهش حاضر با عنوان «تعیین نقش میانجی‌گر طرحواره‌های ناسازگار اولیه در رابطه بین اضطراب صفتی و رفتارهای مالی پرخطر در معامله‌گران بازارهای مالی»، در پی آن است که نشان دهد چگونه این ویژگی، اضطراب صفتی</w:t>
      </w:r>
      <w:r>
        <w:rPr>
          <w:rFonts w:ascii="B Nazanin" w:hAnsi="B Nazanin" w:cs="B Nazanin" w:hint="cs"/>
          <w:vertAlign w:val="superscript"/>
          <w:rtl/>
        </w:rPr>
        <w:footnoteReference w:id="2"/>
      </w:r>
      <w:r>
        <w:rPr>
          <w:rFonts w:ascii="B Nazanin" w:hAnsi="B Nazanin" w:cs="B Nazanin" w:hint="cs"/>
          <w:sz w:val="24"/>
          <w:szCs w:val="24"/>
          <w:rtl/>
          <w:lang w:bidi="fa-IR"/>
        </w:rPr>
        <w:t xml:space="preserve"> به‌عنوان یک ویژگی شخصیتی پایدار، از مجرای طرحواره‌های ناسازگار اولیه</w:t>
      </w:r>
      <w:r>
        <w:rPr>
          <w:rFonts w:ascii="B Nazanin" w:hAnsi="B Nazanin" w:cs="B Nazanin" w:hint="cs"/>
          <w:vertAlign w:val="superscript"/>
          <w:rtl/>
        </w:rPr>
        <w:footnoteReference w:id="3"/>
      </w:r>
      <w:r>
        <w:rPr>
          <w:rFonts w:ascii="B Nazanin" w:hAnsi="B Nazanin" w:cs="B Nazanin" w:hint="cs"/>
          <w:sz w:val="24"/>
          <w:szCs w:val="24"/>
          <w:rtl/>
          <w:lang w:bidi="fa-IR"/>
        </w:rPr>
        <w:t xml:space="preserve"> به شکل‌گیری رفتارهای مالی پرخطر در معامله‌گران منجر می‌شود.</w:t>
      </w:r>
    </w:p>
    <w:p>
      <w:pPr>
        <w:bidi w:val="1"/>
        <w:spacing w:lineRule="exact" w:line="580" w:after="0"/>
        <w:jc w:val="both"/>
      </w:pPr>
      <w:r>
        <w:rPr>
          <w:rFonts w:ascii="B Nazanin" w:hAnsi="B Nazanin" w:cs="B Nazanin" w:hint="cs"/>
          <w:sz w:val="24"/>
          <w:szCs w:val="24"/>
          <w:rtl/>
          <w:lang w:bidi="fa-IR"/>
        </w:rPr>
        <w:t xml:space="preserve">در دهه‌های اخیر، با گسترش پلتفرم‌های معاملاتی الکترونیک و کاهش هزینه‌های مبادله، ساختار بازارهای مالی دستخوش تحولی بنیادین شده و میلیون‌ها سرمایه‌گذار خرد بدون آموزش تخصصی و آمادگی روانشناختی وارد این بازارها شده‌اند (سازمان همکاری و توسعه اقتصادی</w:t>
      </w:r>
      <w:r>
        <w:rPr>
          <w:rFonts w:ascii="B Nazanin" w:hAnsi="B Nazanin" w:cs="B Nazanin" w:hint="cs"/>
          <w:vertAlign w:val="superscript"/>
          <w:rtl/>
        </w:rPr>
        <w:footnoteReference w:id="41"/>
      </w:r>
      <w:r>
        <w:rPr>
          <w:rFonts w:ascii="B Nazanin" w:hAnsi="B Nazanin" w:cs="B Nazanin" w:hint="cs"/>
          <w:sz w:val="24"/>
          <w:szCs w:val="24"/>
          <w:rtl/>
          <w:lang w:bidi="fa-IR"/>
        </w:rPr>
        <w:t xml:space="preserve">، ۲۰۲۱). این گروه جدید، برخلاف سرمایه‌گذاران نهادی، برای تصمیم‌گیری‌های خود از تیم‌های تحلیلی متخصص یا نظام‌های مدیریت ریسک سازمان‌یافته بهره‌مند نیستند و در شرایط نوسان، باید به تنهایی با فشار هیجانی سنگین ناشی از سود و زیان‌های لحظه‌ای کنار بیایند. شواهد اخیر نیز گواه همین نکته‌اند که اضطراب در این سرمایه‌گذاران، مستقیماً بر کیفیت تصمیم‌گیری مالی اثر می‌گذارد و می‌تواند به اجتناب از تصمیم‌گیری، محافظه‌کاری افراطی یا واکنش‌های هیجانی و تکانشی منجر شود (ماهاتو و همکاران</w:t>
      </w:r>
      <w:r>
        <w:rPr>
          <w:rFonts w:ascii="B Nazanin" w:hAnsi="B Nazanin" w:cs="B Nazanin" w:hint="cs"/>
          <w:vertAlign w:val="superscript"/>
          <w:rtl/>
        </w:rPr>
        <w:footnoteReference w:id="42"/>
      </w:r>
      <w:r>
        <w:rPr>
          <w:rFonts w:ascii="B Nazanin" w:hAnsi="B Nazanin" w:cs="B Nazanin" w:hint="cs"/>
          <w:sz w:val="24"/>
          <w:szCs w:val="24"/>
          <w:rtl/>
          <w:lang w:bidi="fa-IR"/>
        </w:rPr>
        <w:t xml:space="preserve">، ۲۰۲۵). از این رو، مطالعه علمی عوامل روانشناختی زمینه‌ساز رفتارهای مالی، دیگر صرفاً یک علاقه آکادمیک نیست، بلکه به ضرورتی اجتماعی بدل شده است.</w:t>
      </w:r>
    </w:p>
    <w:p>
      <w:pPr>
        <w:bidi w:val="1"/>
        <w:spacing w:lineRule="exact" w:line="580" w:after="0"/>
        <w:jc w:val="both"/>
      </w:pPr>
      <w:r>
        <w:rPr>
          <w:rFonts w:ascii="B Nazanin" w:hAnsi="B Nazanin" w:cs="B Nazanin" w:hint="cs"/>
          <w:sz w:val="24"/>
          <w:szCs w:val="24"/>
          <w:rtl/>
          <w:lang w:bidi="fa-IR"/>
        </w:rPr>
        <w:t xml:space="preserve">در این چارچوب، اضطراب صفتی متغیر مستقل، رفتارهای مالی پرخطر متغیر وابسته و طرحواره‌های ناسازگار اولیه متغیر میانجی پژوهش هستند و جامعه هدف را معامله‌گران حقیقی بازارهای مالی تشکیل می‌دهند. اهمیت این پژوهش آن است که به‌جای توقف در سطح همبستگی‌های دوجانبه، سازوکار شناختی تبدیل تنش هیجانی به رفتار مالی پرخطر را در یک مدل میانجی‌گری یکپارچه هدف می‌گیرد. مبانی نظری، پیشینه تجربی و روش آزمون این مدل در فصل‌های بعدی به تفصیل ارائه خواهد شد.</w:t>
      </w:r>
    </w:p>
    <w:p>
      <w:pPr>
        <w:bidi w:val="1"/>
        <w:spacing w:lineRule="exact" w:line="580" w:after="0"/>
        <w:jc w:val="both"/>
      </w:pPr>
      <w:r>
        <w:rPr>
          <w:rFonts w:ascii="B Nazanin" w:hAnsi="B Nazanin" w:cs="B Nazanin" w:hint="cs"/>
          <w:sz w:val="24"/>
          <w:szCs w:val="24"/>
          <w:rtl/>
          <w:lang w:bidi="fa-IR"/>
        </w:rPr>
        <w:t xml:space="preserve">پیامدهای روانشناختی رفتارهای مالی آسیب‌زا نیز تنها به زیان اقتصادی محدود نمی‌ماند؛ شواهد نوین حاکی از آن است که معامله‌گری افراطی، در بسیاری از موارد، نه یک فعالیت اقتصادی متکی بر تحلیل، بلکه راهکاری ناسازگار برای تنظیم هیجانات منفی محسوب می‌شود و می‌تواند در درازمدت به اعتیادهای رفتاری مخرب منجر شود (گرال-برونک و همکاران</w:t>
      </w:r>
      <w:r>
        <w:rPr>
          <w:rFonts w:ascii="B Nazanin" w:hAnsi="B Nazanin" w:cs="B Nazanin" w:hint="cs"/>
          <w:vertAlign w:val="superscript"/>
          <w:rtl/>
        </w:rPr>
        <w:footnoteReference w:id="43"/>
      </w:r>
      <w:r>
        <w:rPr>
          <w:rFonts w:ascii="B Nazanin" w:hAnsi="B Nazanin" w:cs="B Nazanin" w:hint="cs"/>
          <w:sz w:val="24"/>
          <w:szCs w:val="24"/>
          <w:rtl/>
          <w:lang w:bidi="fa-IR"/>
        </w:rPr>
        <w:t xml:space="preserve">، ۲۰۲۵). از این منظر، شناسایی ویژگی‌های شخصیتی پایدار و ساختارهای شناختی عمیقی که زمینه‌ساز شکل‌گیری چنین رفتارهایی هستند اهمیت بالینی مستقیمی دارد؛ شناسایی‌ای که به روانشناسان بالینی و متخصصان سلامت روان امکان می‌دهد پیش از وقوع بحران‌های سنگین مالی و پیامدهای روانی پس از آن، مداخلات پیشگیرانه و درمانی هدفمندی را طراحی کنند. پژوهش حاضر دقیقاً با همین نگاه تدوین شده است: تبیین زنجیره‌ای که از یک ویژگی شخصیتی پایدار آغاز شده و از مجرای فرآیندهای شناختی عمیق، به رفتار مالی عینی منتهی می‌شود.</w:t>
      </w:r>
    </w:p>
    <w:p>
      <w:pPr>
        <w:pStyle w:val="Heading2"/>
        <w:bidi w:val="1"/>
        <w:jc w:val="right"/>
      </w:pPr>
      <w:r>
        <w:rPr>
          <w:rFonts w:ascii="B Nazanin" w:hAnsi="B Nazanin" w:cs="B Nazanin" w:hint="cs"/>
          <w:b/>
          <w:bCs/>
          <w:sz w:val="28"/>
          <w:szCs w:val="28"/>
          <w:rtl/>
          <w:lang w:bidi="fa-IR"/>
        </w:rPr>
        <w:t xml:space="preserve">۱-۲. بیان مسأله</w:t>
      </w:r>
    </w:p>
    <w:p>
      <w:pPr>
        <w:pStyle w:val="Heading3"/>
        <w:bidi w:val="1"/>
        <w:jc w:val="right"/>
      </w:pPr>
      <w:r>
        <w:rPr>
          <w:rFonts w:ascii="B Nazanin" w:hAnsi="B Nazanin" w:cs="B Nazanin" w:hint="cs"/>
          <w:b/>
          <w:bCs/>
          <w:sz w:val="26"/>
          <w:szCs w:val="26"/>
          <w:rtl/>
          <w:lang w:bidi="fa-IR"/>
        </w:rPr>
        <w:t xml:space="preserve">بازارهای مالی و محیط پرتنش تصمیم‌گیری</w:t>
      </w:r>
    </w:p>
    <w:p>
      <w:pPr>
        <w:bidi w:val="1"/>
        <w:spacing w:lineRule="exact" w:line="580" w:after="0"/>
        <w:jc w:val="both"/>
      </w:pPr>
      <w:r>
        <w:rPr>
          <w:rFonts w:ascii="B Nazanin" w:hAnsi="B Nazanin" w:cs="B Nazanin" w:hint="cs"/>
          <w:sz w:val="24"/>
          <w:szCs w:val="24"/>
          <w:rtl/>
          <w:lang w:bidi="fa-IR"/>
        </w:rPr>
        <w:t xml:space="preserve">بازارهای مالی در جهان پیچیده و درهم‌تنیده امروز، فراتر از یک مکانیسم ساده برای دادوستد، به عنوان شریان‌های حیاتی و زیرساخت‌های بنیادین نظام اقتصادی بین‌المللی شناخته می‌شوند. در یک تعریف جامع و آکادمیک، این بازارها بسترهایی سازمان‌یافته و پویا هستند که در آن‌ها طیف وسیعی از دارایی‌های مالی، از ابزارهای سنتی نظیر سهام و اوراق قرضه گرفته تا ابزارهای نوین و پیچیده‌ای مانند مشتقات، ارزهای خارجی و دارایی‌های دیجیتال، مبادله می‌گردند. کارکرد وجودی و رسالت اصلی این ساختارها، ایجاد پل ارتباطی کارآمد برای تخصیص بهینه منابع کمیاب اقتصادی است؛ بدین معنا که وجوه نقد را از واحدهای اقتصادی دارای مازاد پس‌انداز (غالبًا خانوارها و صندوق‌های سرمایه‌گذاری) به سوی واحدهای نیازمند نقدینگی (نظیر بنگاه‌های تولیدی، شرکت‌های نوپا و دولت‌ها) هدایت می‌کنند تا چرخ‌های توسعه و تولید به حرکت درآید (میشکین</w:t>
      </w:r>
      <w:r>
        <w:rPr>
          <w:rFonts w:ascii="B Nazanin" w:hAnsi="B Nazanin" w:cs="B Nazanin" w:hint="cs"/>
          <w:vertAlign w:val="superscript"/>
          <w:rtl/>
        </w:rPr>
        <w:footnoteReference w:id="44"/>
      </w:r>
      <w:r>
        <w:rPr>
          <w:rFonts w:ascii="B Nazanin" w:hAnsi="B Nazanin" w:cs="B Nazanin" w:hint="cs"/>
          <w:sz w:val="24"/>
          <w:szCs w:val="24"/>
          <w:rtl/>
          <w:lang w:bidi="fa-IR"/>
        </w:rPr>
        <w:t xml:space="preserve">، ۲۰۱۹).</w:t>
      </w:r>
    </w:p>
    <w:p>
      <w:pPr>
        <w:bidi w:val="1"/>
        <w:spacing w:lineRule="exact" w:line="580" w:after="0"/>
        <w:jc w:val="both"/>
      </w:pPr>
      <w:r>
        <w:rPr>
          <w:rFonts w:ascii="B Nazanin" w:hAnsi="B Nazanin" w:cs="B Nazanin" w:hint="cs"/>
          <w:sz w:val="24"/>
          <w:szCs w:val="24"/>
          <w:rtl/>
          <w:lang w:bidi="fa-IR"/>
        </w:rPr>
        <w:t xml:space="preserve">اهمیت این جریان انتقال سرمایه، امروزه دیگر تنها در جنبه‌های کلان اقتصادی و تأمین مالی بنگاه‌ها خلاصه نمی‌شود؛ بلکه با ظهور و گسترش خیره‌کننده فناوری‌های نوین مالی و همه‌گیر شدن پلتفرم‌های معاملاتی برخط، یک تغییر پارادایم بنیادین در ساختار دسترسی به بازارها شکل گرفته است. این بازارها که تا پیش از این، قلمرو انحصاری نهادهای مالی بزرگ، بانک‌های سرمایه‌گذاری و صندوق‌های پوشش ریسک محسوب می‌شدند، اکنون از حصار نخبگان مالی خارج شده و به عرصه‌ای عمومی و در دسترس برای مشارکت میلیون‌ها سرمایه‌گذار خرد تبدیل شده‌اند. این تحول ساختاری که در ادبیات روز دنیا از آن تحت عنوان «دموکراتیزه شدن سرمایه‌گذاری» یاد می‌شود، اگرچه موانع سنتی ورود (نظیر سرمایه کلان یا دانش تخصصی) را از میان برداشته و دسترسی به فرصت‌های خلق ثروت را برای عموم جامعه همگانی کرده است، اما همزمان تیغی دو لبه محسوب می‌شود.</w:t>
      </w:r>
    </w:p>
    <w:p>
      <w:pPr>
        <w:bidi w:val="1"/>
        <w:spacing w:lineRule="exact" w:line="580" w:after="0"/>
        <w:jc w:val="both"/>
      </w:pPr>
      <w:r>
        <w:rPr>
          <w:rFonts w:ascii="B Nazanin" w:hAnsi="B Nazanin" w:cs="B Nazanin" w:hint="cs"/>
          <w:sz w:val="24"/>
          <w:szCs w:val="24"/>
          <w:rtl/>
          <w:lang w:bidi="fa-IR"/>
        </w:rPr>
        <w:t xml:space="preserve">این سهولت در دسترسی، انبوهی از افراد غیرمتخصص و فاقد تجربه را که اغلب به ابزارهای تحلیل حرفه‌ای و استراتژی‌های مدیریت ریسک مجهز نیستند، به طور ناگهانی در معرض نوسانات شدید، پیچیدگی‌های فنی و جریان بی‌وقفه اطلاعات قرار داده است. در چنین محیطی که عدم قطعیت، ویژگی ذاتی و جدایی‌ناپذیر آن است، سرمایه‌گذاران خرد بیش از آنکه با منطق‌های محاسباتی نهادی هدایت شوند، تحت فشار سنگین چالش‌های تصمیم‌گیری و بار هیجانی ناشی از سود و زیان‌های لحظه‌ای قرار می‌گیرند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بازارها، از منظر ساختار دارایی‌ها و سازوکار مبادله، به دسته‌های مختلفی تقسیم می‌شوند که هر یک ویژگی‌های منحصر به فرد خود را دارا هستند. در خط مقدم و سنتی‌ترین شکل آن، بازار سهام قرار دارد که به عنوان آینه تمام‌نمای اقتصاد شناخته می‌شود؛ جایی که در آن، مالکیت جزئی از شرکت‌ها و حق مشارکت در سود و زیان آن‌ها، در قالب برگه‌های سهام مبادله می‌گردد و بازده آن مستقیماً به عملکرد واقعی شرکت و انتظارات آتی سرمایه‌گذاران وابسته است. در سوی دیگر طیف، بازار اوراق قرضه یا بازار درآمد ثابت قرار دارد که در آن، ابزارهای بدهی خرید و فروش می‌شوند؛ ابزارهایی که اساساً برای تأمین مالی دولت‌ها و ابرشرکت‌ها طراحی شده‌اند و به دلیل نوسانات نسبتاً کمتر، به عنوان دارایی‌های امن‌تر شناخته می‌شوند (بودی، کین و مارکوس</w:t>
      </w:r>
      <w:r>
        <w:rPr>
          <w:rFonts w:ascii="B Nazanin" w:hAnsi="B Nazanin" w:cs="B Nazanin" w:hint="cs"/>
          <w:vertAlign w:val="superscript"/>
          <w:rtl/>
        </w:rPr>
        <w:footnoteReference w:id="45"/>
      </w:r>
      <w:r>
        <w:rPr>
          <w:rFonts w:ascii="B Nazanin" w:hAnsi="B Nazanin" w:cs="B Nazanin" w:hint="cs"/>
          <w:sz w:val="24"/>
          <w:szCs w:val="24"/>
          <w:rtl/>
          <w:lang w:bidi="fa-IR"/>
        </w:rPr>
        <w:t xml:space="preserve">، ۲۰۱۸).</w:t>
      </w:r>
    </w:p>
    <w:p>
      <w:pPr>
        <w:bidi w:val="1"/>
        <w:spacing w:lineRule="exact" w:line="580" w:after="0"/>
        <w:jc w:val="both"/>
      </w:pPr>
      <w:r>
        <w:rPr>
          <w:rFonts w:ascii="B Nazanin" w:hAnsi="B Nazanin" w:cs="B Nazanin" w:hint="cs"/>
          <w:sz w:val="24"/>
          <w:szCs w:val="24"/>
          <w:rtl/>
          <w:lang w:bidi="fa-IR"/>
        </w:rPr>
        <w:t xml:space="preserve">در عصر حاضر، همگام با پیشرفت‌های خیره‌کننده فناوری اطلاعات و ارتباطات و ظهور اینترنت پرسرعت، مفهوم سنتی بازار فراتر از مرزهای جغرافیایی و زمانی گسترش یافته و ظهور نسل جدیدی از بازارهای مالی جهانی و تمام‌الکترونیک را رقم زده است. این اکوسیستم مالی نوین، دیگر محدود به ساعات کاری بورس‌های ملی نیست و شامل عرصه‌های پرجنب‌وجوش و بدون وقفه‌ای نظیر بازار تبادل ارزهای خارجی است که با حجم عظیم گردش مالی روزانه و ماهیت فرامرزی، به عنوان بزرگترین و نقدشونده‌ترین بازار مالی جهان شناخته می‌شود. در کنار آن، ظهور پدیده انقلابی بازار ارزهای دیجیتال و فناوری زیربنایی بلاک‌چین نیز پارادایم‌های مرسوم ارزش‌گذاری، مالکیت دارایی و حکمرانی پولی را به چالش کشیده است؛ طبقه جدیدی از دارایی‌های غیرمتمرکز معرفی شده که ویژگی بارز آن‌ها، نوسانات شدید قیمتی و حساسیت بالا به اخبار و رویدادهای جهانی است (شیلر</w:t>
      </w:r>
      <w:r>
        <w:rPr>
          <w:rFonts w:ascii="B Nazanin" w:hAnsi="B Nazanin" w:cs="B Nazanin" w:hint="cs"/>
          <w:vertAlign w:val="superscript"/>
          <w:rtl/>
        </w:rPr>
        <w:footnoteReference w:id="46"/>
      </w:r>
      <w:r>
        <w:rPr>
          <w:rFonts w:ascii="B Nazanin" w:hAnsi="B Nazanin" w:cs="B Nazanin" w:hint="cs"/>
          <w:sz w:val="24"/>
          <w:szCs w:val="24"/>
          <w:rtl/>
          <w:lang w:bidi="fa-IR"/>
        </w:rPr>
        <w:t xml:space="preserve">، ۲۰۱۵).</w:t>
      </w:r>
    </w:p>
    <w:p>
      <w:pPr>
        <w:bidi w:val="1"/>
        <w:spacing w:lineRule="exact" w:line="580" w:after="0"/>
        <w:jc w:val="both"/>
      </w:pPr>
      <w:r>
        <w:rPr>
          <w:rFonts w:ascii="B Nazanin" w:hAnsi="B Nazanin" w:cs="B Nazanin" w:hint="cs"/>
          <w:sz w:val="24"/>
          <w:szCs w:val="24"/>
          <w:rtl/>
          <w:lang w:bidi="fa-IR"/>
        </w:rPr>
        <w:t xml:space="preserve">ویژگی مشترک و بنیادین تمام این بازارهای مدرن را می‌توان در یک عبارت خلاصه کرد: عدم قطعیت. این بازارها — به‌ویژه آن‌هایی که به دلیل جذابیت‌های سوداگرانه و پتانسیل بازدهی بالا بیشتر مورد استقبال معامله‌گران خرد قرار گرفته‌اند — محیطی مملو از پیچیدگی ساختاری و غیرقابل پیش‌بینی بودن دارند. این محیط پرتنش که تصمیم‌گیری در آن همواره با ریسک و ابهام آمیخته است، عملاً به یک آزمایشگاه روانشناختی بزرگ و طبیعی تبدیل شده که در آن، واکنش‌های هیجانی و شناختی افراد به صورت لحظه‌ای و شفاف آشکار می‌شود. چنین بستری، فرصتی منحصربه‌فرد را برای پژوهشگران فراهم می‌آورد تا تأثیر عوامل درونی و شخصیتی، نظیر اضطراب و الگوهای شناختی عمیق، بر فرآیند پردازش اطلاعات و شکل‌گیری رفتارهای مالی افراد را مورد مطالعه قرار دهند؛ چرا که در غیاب قطعیت بیرونی، این عوامل درونی هستند که نقش تعیین‌کننده در تصمیمات معامله‌گر ایفا می‌کنند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محیط پرتنش و آکنده از ریسک که تصمیم‌گیری در آن همواره با سطوح بالایی از عدم قطعیت و ابهام درباره آینده همراه است، فراتر از یک فضای معاملاتی صرف، به بستری غنی و منحصربه‌فرد برای مطالعه عمیق تعامل میان شناخت و هیجان انسان تبدیل شده است. در چنین شرایطی که داده‌های عینی بازار (مانند قیمت و حجم) دائماً در حال تغییر و نوسان هستند و هیچ الگوریتم قطعی برای پیش‌بینی آینده وجود ندارد، ذهن معامله‌گر به ناچار برای پر کردن شکاف‌های اطلاعاتی، به مکانیزم‌های درونی و میان‌برهای ذهنی خود متوسل می‌شود. این وابستگی به عوامل درونی، نقش تعیین‌کننده متغیرهای روانشناختی و شخصیتی را در شکل‌دهی به قضاوت‌ها و انتخاب‌های مالی برجسته می‌سازد.</w:t>
      </w:r>
    </w:p>
    <w:p>
      <w:pPr>
        <w:bidi w:val="1"/>
        <w:spacing w:lineRule="exact" w:line="580" w:after="0"/>
        <w:jc w:val="both"/>
      </w:pPr>
      <w:r>
        <w:rPr>
          <w:rFonts w:ascii="B Nazanin" w:hAnsi="B Nazanin" w:cs="B Nazanin" w:hint="cs"/>
          <w:sz w:val="24"/>
          <w:szCs w:val="24"/>
          <w:rtl/>
          <w:lang w:bidi="fa-IR"/>
        </w:rPr>
        <w:t xml:space="preserve">به طور مشخص، این بستر پرفشار، زمینه مساعدی را برای مطالعه تأثیر مستقیم و غیرمستقیم عوامل هیجانی قدرتمند، نظیر اضطراب و ترس از دست دادن سرمایه، و همچنین نقش فیلترهای ذهنی عمیق‌تر، یعنی الگوهای شناختی و طرحواره‌های بنیادین، بر فرآیند پیچیده تصمیم‌گیری فراهم می‌آورد. در واقع، بازارهای مالی مدرن به مثابه آزمایشگاهی طبیعی عمل می‌کنند که در آن، واکنش‌های رفتاری افراد به محرک‌های استرس‌زا (مانند زیان ناگهانی یا نوسان شدید قیمت)، نه تنها بازتابی از شرایط بیرونی، بلکه تجلی آشکار ویژگی‌های شخصیتی و آسیب‌پذیری‌های روانی آن‌هاست که در نهایت به شکل رفتارهای مالی مشاهده‌پذیر (مانند خرید هیجانی یا فروش وحشت‌زده) نمود می‌یابد (ماهاتو و همکاران، ۲۰۲۵)</w:t>
      </w:r>
    </w:p>
    <w:p>
      <w:pPr>
        <w:pStyle w:val="Heading3"/>
        <w:bidi w:val="1"/>
        <w:jc w:val="right"/>
      </w:pPr>
      <w:r>
        <w:rPr>
          <w:rFonts w:ascii="B Nazanin" w:hAnsi="B Nazanin" w:cs="B Nazanin" w:hint="cs"/>
          <w:b/>
          <w:bCs/>
          <w:sz w:val="26"/>
          <w:szCs w:val="26"/>
          <w:rtl/>
          <w:lang w:bidi="fa-IR"/>
        </w:rPr>
        <w:t xml:space="preserve">از فرضیه بازار کارا تا اقتصاد رفتاری</w:t>
      </w:r>
    </w:p>
    <w:p>
      <w:pPr>
        <w:bidi w:val="1"/>
        <w:spacing w:lineRule="exact" w:line="580" w:after="0"/>
        <w:jc w:val="both"/>
      </w:pPr>
      <w:r>
        <w:rPr>
          <w:rFonts w:ascii="B Nazanin" w:hAnsi="B Nazanin" w:cs="B Nazanin" w:hint="cs"/>
          <w:sz w:val="24"/>
          <w:szCs w:val="24"/>
          <w:rtl/>
          <w:lang w:bidi="fa-IR"/>
        </w:rPr>
        <w:t xml:space="preserve">در بخش بزرگی از قرن بیستم، ادبیات آکادمیک تحلیل بازارهای مالی تحت سیطره فرضیه بازار کارا</w:t>
      </w:r>
      <w:r>
        <w:rPr>
          <w:rFonts w:ascii="B Nazanin" w:hAnsi="B Nazanin" w:cs="B Nazanin" w:hint="cs"/>
          <w:vertAlign w:val="superscript"/>
          <w:rtl/>
        </w:rPr>
        <w:footnoteReference w:id="4"/>
      </w:r>
      <w:r>
        <w:rPr>
          <w:rFonts w:ascii="B Nazanin" w:hAnsi="B Nazanin" w:cs="B Nazanin" w:hint="cs"/>
          <w:sz w:val="24"/>
          <w:szCs w:val="24"/>
          <w:rtl/>
          <w:lang w:bidi="fa-IR"/>
        </w:rPr>
        <w:t xml:space="preserve"> قرار داشت؛ فرضیه‌ای که بر پایه آن، قیمت دارایی‌ها در هر لحظه بازتاب‌دهنده کامل اطلاعات موجود فرض می‌شد و سرمایه‌گذاران عاملانی کاملاً عقلانی تلقی می‌گردیدند (ملکیل</w:t>
      </w:r>
      <w:r>
        <w:rPr>
          <w:rFonts w:ascii="B Nazanin" w:hAnsi="B Nazanin" w:cs="B Nazanin" w:hint="cs"/>
          <w:vertAlign w:val="superscript"/>
          <w:rtl/>
        </w:rPr>
        <w:footnoteReference w:id="47"/>
      </w:r>
      <w:r>
        <w:rPr>
          <w:rFonts w:ascii="B Nazanin" w:hAnsi="B Nazanin" w:cs="B Nazanin" w:hint="cs"/>
          <w:sz w:val="24"/>
          <w:szCs w:val="24"/>
          <w:rtl/>
          <w:lang w:bidi="fa-IR"/>
        </w:rPr>
        <w:t xml:space="preserve">، ۲۰۰۳). این چارچوب، اگرچه از نظر ریاضی منسجم و در مدل‌سازی‌های اقتصادی کارآمد بود، در تبیین پدیده‌های واقعی و مکرر بازار مانند حباب‌های قیمتی و سقوط‌های ناگهانی بدون دلیل بنیادی، ناتوانی خود را آشکار ساخت (شیلر، ۲۰۱۵).</w:t>
      </w:r>
    </w:p>
    <w:p>
      <w:pPr>
        <w:bidi w:val="1"/>
        <w:spacing w:lineRule="exact" w:line="580" w:after="0"/>
        <w:jc w:val="both"/>
      </w:pPr>
      <w:r>
        <w:rPr>
          <w:rFonts w:ascii="B Nazanin" w:hAnsi="B Nazanin" w:cs="B Nazanin" w:hint="cs"/>
          <w:sz w:val="24"/>
          <w:szCs w:val="24"/>
          <w:rtl/>
          <w:lang w:bidi="fa-IR"/>
        </w:rPr>
        <w:t xml:space="preserve">فرضیه بازار کارا در جریان تکامل نظری خود، به طور برجسته توسط فاما در دهه ۱۹۷۰ میلادی در سه شکل ضعیف، نیمه‌قوی و قوی صورت‌بندی شد که هر یک دامنه متفاوتی از اطلاعات را در قیمت‌ها منعکس‌شده فرض می‌کردند (ملکیل، ۲۰۰۳). این صورت‌بندی بر سه فرض بنیادین استوار بود: نخست، آنکه سرمایه‌گذاران عاملانی کاملاً عقلانی هستند و همواره در پی بهینه‌سازی مطلوبیت خود بر اساس نظریه مطلوبیت انتظاری‌اند؛ دوم، آنکه تمام اطلاعات جدید به سرعت، به طور کامل و بدون سوگیری در قیمت دارایی‌ها منعکس می‌شوند؛ و سوم، آنکه در نتیجه این دو، هیچ سرمایه‌گذاری نمی‌تواند با اتکا به اطلاعات گذشته یا تحلیل‌های عمومی، به طور مداوم بازدهی فراتر از میانگین بازار کسب کند. این چارچوب، سال‌ها مبنای نظری مدل‌های قیمت‌گذاری دارایی‌ها بود و انسجام ریاضی آن را به ابزاری کارآمد در مدل‌سازی‌های اقتصادی بدل ساخته بود (ملکیل، ۲۰۰۳).</w:t>
      </w:r>
    </w:p>
    <w:p>
      <w:pPr>
        <w:bidi w:val="1"/>
        <w:spacing w:lineRule="exact" w:line="580" w:after="0"/>
        <w:jc w:val="both"/>
      </w:pPr>
      <w:r>
        <w:rPr>
          <w:rFonts w:ascii="B Nazanin" w:hAnsi="B Nazanin" w:cs="B Nazanin" w:hint="cs"/>
          <w:sz w:val="24"/>
          <w:szCs w:val="24"/>
          <w:rtl/>
          <w:lang w:bidi="fa-IR"/>
        </w:rPr>
        <w:t xml:space="preserve">با این حال، تکرار ناهنجاری‌ها در بازارهای واقعی، به تدریج تردیدهایی جدی درباره اعتبار توصیفی این فرضیه ایجاد کرد. در پدیده‌هایی مانند حباب دات-کام در سال ۲۰۰۰ — که در آن قیمت دارایی‌ها بسیار فراتر از ارزش ذاتی آن‌ها معامله می‌شد — یا سقوط ناگهانی دوشنبه سیاه در سال ۱۹۸۷ — که در آن فروش‌های هراسان بدون هیچ دلیل بنیادی مشخصی رخ داد — چارچوب بازار کارا در ارائه تبیینی قانع‌کننده ناتوان ماند (شیلر، ۲۰۱۵). تکرار این پدیده‌ها نشان می‌داد که قیمت‌های بازار همواره تحت تأثیر عوامل روانشناختی فعالان بازار نیز قرار دارند؛ نه صرفاً بازتاب اطلاعات بنیادی. همین آگاهی، زمینه‌ساز چرخش تدریجی ادبیات تحلیل بازارهای مالی به سمت عوامل انسانی شد؛ چرخشی که در آن، نوسانات بازار نه صرفاً بازتاب اخبار بنیادی، بلکه محصول تعامل باورهای هیجانات و انتظارات سرمایه‌گذاران نیز تلقی می‌شود (شیلر، ۲۰۱۵).</w:t>
      </w:r>
    </w:p>
    <w:p>
      <w:pPr>
        <w:bidi w:val="1"/>
        <w:spacing w:lineRule="exact" w:line="580" w:after="0"/>
        <w:jc w:val="both"/>
      </w:pPr>
      <w:r>
        <w:rPr>
          <w:rFonts w:ascii="B Nazanin" w:hAnsi="B Nazanin" w:cs="B Nazanin" w:hint="cs"/>
          <w:sz w:val="24"/>
          <w:szCs w:val="24"/>
          <w:rtl/>
          <w:lang w:bidi="fa-IR"/>
        </w:rPr>
        <w:t xml:space="preserve">این ناهنجاری‌ها زمینه را برای ظهور اقتصاد رفتاری</w:t>
      </w:r>
      <w:r>
        <w:rPr>
          <w:rFonts w:ascii="B Nazanin" w:hAnsi="B Nazanin" w:cs="B Nazanin" w:hint="cs"/>
          <w:vertAlign w:val="superscript"/>
          <w:rtl/>
        </w:rPr>
        <w:footnoteReference w:id="5"/>
      </w:r>
      <w:r>
        <w:rPr>
          <w:rFonts w:ascii="B Nazanin" w:hAnsi="B Nazanin" w:cs="B Nazanin" w:hint="cs"/>
          <w:sz w:val="24"/>
          <w:szCs w:val="24"/>
          <w:rtl/>
          <w:lang w:bidi="fa-IR"/>
        </w:rPr>
        <w:t xml:space="preserve"> فراهم کرد؛ حوزه‌ای میان‌رشته‌ای که با ادغام بینش‌های روانشناسی شناختی در تحلیل‌های اقتصادی، نشان داد تصمیمات انسان در محیط‌های واقعی به طور سیستماتیک و قابل پیش‌بینی از عقلانیت محض منحرف می‌شوند (تیلر</w:t>
      </w:r>
      <w:r>
        <w:rPr>
          <w:rFonts w:ascii="B Nazanin" w:hAnsi="B Nazanin" w:cs="B Nazanin" w:hint="cs"/>
          <w:vertAlign w:val="superscript"/>
          <w:rtl/>
        </w:rPr>
        <w:footnoteReference w:id="48"/>
      </w:r>
      <w:r>
        <w:rPr>
          <w:rFonts w:ascii="B Nazanin" w:hAnsi="B Nazanin" w:cs="B Nazanin" w:hint="cs"/>
          <w:sz w:val="24"/>
          <w:szCs w:val="24"/>
          <w:rtl/>
          <w:lang w:bidi="fa-IR"/>
        </w:rPr>
        <w:t xml:space="preserve">، ۲۰۱۶). سنگ بنای این حوزه، نظریه چشم‌انداز</w:t>
      </w:r>
      <w:r>
        <w:rPr>
          <w:rFonts w:ascii="B Nazanin" w:hAnsi="B Nazanin" w:cs="B Nazanin" w:hint="cs"/>
          <w:vertAlign w:val="superscript"/>
          <w:rtl/>
        </w:rPr>
        <w:footnoteReference w:id="6"/>
      </w:r>
      <w:r>
        <w:rPr>
          <w:rFonts w:ascii="B Nazanin" w:hAnsi="B Nazanin" w:cs="B Nazanin" w:hint="cs"/>
          <w:sz w:val="24"/>
          <w:szCs w:val="24"/>
          <w:rtl/>
          <w:lang w:bidi="fa-IR"/>
        </w:rPr>
        <w:t xml:space="preserve"> بود که کانمن و تورسکی</w:t>
      </w:r>
      <w:r>
        <w:rPr>
          <w:rFonts w:ascii="B Nazanin" w:hAnsi="B Nazanin" w:cs="B Nazanin" w:hint="cs"/>
          <w:vertAlign w:val="superscript"/>
          <w:rtl/>
        </w:rPr>
        <w:footnoteReference w:id="49"/>
      </w:r>
      <w:r>
        <w:rPr>
          <w:rFonts w:ascii="B Nazanin" w:hAnsi="B Nazanin" w:cs="B Nazanin" w:hint="cs"/>
          <w:sz w:val="24"/>
          <w:szCs w:val="24"/>
          <w:rtl/>
          <w:lang w:bidi="fa-IR"/>
        </w:rPr>
        <w:t xml:space="preserve"> (۱۹۷۹) آن را ارائه کردند و بر پایه آن، افراد به‌جای ارزیابی سطح نهایی ثروت، تغییرات سود و زیان را نسبت به یک نقطه مرجع ذهنی می‌سنجند و زیان‌گریزی</w:t>
      </w:r>
      <w:r>
        <w:rPr>
          <w:rFonts w:ascii="B Nazanin" w:hAnsi="B Nazanin" w:cs="B Nazanin" w:hint="cs"/>
          <w:vertAlign w:val="superscript"/>
          <w:rtl/>
        </w:rPr>
        <w:footnoteReference w:id="7"/>
      </w:r>
      <w:r>
        <w:rPr>
          <w:rFonts w:ascii="B Nazanin" w:hAnsi="B Nazanin" w:cs="B Nazanin" w:hint="cs"/>
          <w:sz w:val="24"/>
          <w:szCs w:val="24"/>
          <w:rtl/>
          <w:lang w:bidi="fa-IR"/>
        </w:rPr>
        <w:t xml:space="preserve"> — شدت بیشتر درد زیان نسبت به لذت سود معادل — بسیاری از رفتارهای به ظاهر غیرمنطقی سرمایه‌گذاران را تبیین می‌کند (کانمن</w:t>
      </w:r>
      <w:r>
        <w:rPr>
          <w:rFonts w:ascii="B Nazanin" w:hAnsi="B Nazanin" w:cs="B Nazanin" w:hint="cs"/>
          <w:vertAlign w:val="superscript"/>
          <w:rtl/>
        </w:rPr>
        <w:footnoteReference w:id="50"/>
      </w:r>
      <w:r>
        <w:rPr>
          <w:rFonts w:ascii="B Nazanin" w:hAnsi="B Nazanin" w:cs="B Nazanin" w:hint="cs"/>
          <w:sz w:val="24"/>
          <w:szCs w:val="24"/>
          <w:rtl/>
          <w:lang w:bidi="fa-IR"/>
        </w:rPr>
        <w:t xml:space="preserve">، ۲۰۱۱). در پرتو این پارادایم، عوامل روانشناختی نه خطای حاشیه‌ای، بلکه جزء جدایی‌ناپذیر تبیین رفتار در بازارهای مالی به شمار می‌روند.</w:t>
      </w:r>
    </w:p>
    <w:p>
      <w:pPr>
        <w:bidi w:val="1"/>
        <w:spacing w:lineRule="exact" w:line="580" w:after="0"/>
        <w:jc w:val="both"/>
      </w:pPr>
      <w:r>
        <w:rPr>
          <w:rFonts w:ascii="B Nazanin" w:hAnsi="B Nazanin" w:cs="B Nazanin" w:hint="cs"/>
          <w:sz w:val="24"/>
          <w:szCs w:val="24"/>
          <w:rtl/>
          <w:lang w:bidi="fa-IR"/>
        </w:rPr>
        <w:t xml:space="preserve">یکی از قدرتمندترین فشارهای روانشناختی بر این نسل جدید از سرمایه‌گذاران، ترس از دست دادن فرصت</w:t>
      </w:r>
      <w:r>
        <w:rPr>
          <w:rFonts w:ascii="B Nazanin" w:hAnsi="B Nazanin" w:cs="B Nazanin" w:hint="cs"/>
          <w:vertAlign w:val="superscript"/>
          <w:rtl/>
        </w:rPr>
        <w:footnoteReference w:id="8"/>
      </w:r>
      <w:r>
        <w:rPr>
          <w:rFonts w:ascii="B Nazanin" w:hAnsi="B Nazanin" w:cs="B Nazanin" w:hint="cs"/>
          <w:sz w:val="24"/>
          <w:szCs w:val="24"/>
          <w:rtl/>
          <w:lang w:bidi="fa-IR"/>
        </w:rPr>
        <w:t xml:space="preserve"> است که توسط رسانه‌های اجتماعی تقویت می‌شود و می‌تواند افراد را به سمت تصمیمات هیجانی، نظیر ورود دیرهنگام به حباب‌های سوداگرانه، سوق دهد (اور و شوماخر</w:t>
      </w:r>
      <w:r>
        <w:rPr>
          <w:rFonts w:ascii="B Nazanin" w:hAnsi="B Nazanin" w:cs="B Nazanin" w:hint="cs"/>
          <w:vertAlign w:val="superscript"/>
          <w:rtl/>
        </w:rPr>
        <w:footnoteReference w:id="51"/>
      </w:r>
      <w:r>
        <w:rPr>
          <w:rFonts w:ascii="B Nazanin" w:hAnsi="B Nazanin" w:cs="B Nazanin" w:hint="cs"/>
          <w:sz w:val="24"/>
          <w:szCs w:val="24"/>
          <w:rtl/>
          <w:lang w:bidi="fa-IR"/>
        </w:rPr>
        <w:t xml:space="preserve">، ۲۰۲۳). این پدیده ارتباط نزدیکی با رفتار گله‌ای دارد؛ در این رفتار، افراد به جای اتکا به تحلیل شخصی، از اقدامات دیگر معامله‌گران — به ویژه در شرایط استرس و نوسانات بالای بازار — پیروی می‌کنند و همین تقلید جمعی می‌تواند نیروی پیش‌برنده شکل‌گیری حباب‌های قیمتی خطرناک شود (هوانگ و سالمون</w:t>
      </w:r>
      <w:r>
        <w:rPr>
          <w:rFonts w:ascii="B Nazanin" w:hAnsi="B Nazanin" w:cs="B Nazanin" w:hint="cs"/>
          <w:vertAlign w:val="superscript"/>
          <w:rtl/>
        </w:rPr>
        <w:footnoteReference w:id="52"/>
      </w:r>
      <w:r>
        <w:rPr>
          <w:rFonts w:ascii="B Nazanin" w:hAnsi="B Nazanin" w:cs="B Nazanin" w:hint="cs"/>
          <w:sz w:val="24"/>
          <w:szCs w:val="24"/>
          <w:rtl/>
          <w:lang w:bidi="fa-IR"/>
        </w:rPr>
        <w:t xml:space="preserve">، ۲۰۰۴). همزیستی این دو سازوکار نشان می‌دهد که بازارهای مالی مدرن بیش از آنکه صرفاً پدیده‌هایی اقتصادی باشند، عرصه فرآیندهای روانشناختی اجتماعی نیز هستند و شناخت این فرآیندها بدون ابزارهای دقیق روانشناسی ممکن نیست.</w:t>
      </w:r>
    </w:p>
    <w:p>
      <w:pPr>
        <w:pStyle w:val="Heading3"/>
        <w:bidi w:val="1"/>
        <w:jc w:val="right"/>
      </w:pPr>
      <w:r>
        <w:rPr>
          <w:rFonts w:ascii="B Nazanin" w:hAnsi="B Nazanin" w:cs="B Nazanin" w:hint="cs"/>
          <w:b/>
          <w:bCs/>
          <w:sz w:val="26"/>
          <w:szCs w:val="26"/>
          <w:rtl/>
          <w:lang w:bidi="fa-IR"/>
        </w:rPr>
        <w:t xml:space="preserve">بافت ویژه اقتصادی و اجتماعی ایران</w:t>
      </w:r>
    </w:p>
    <w:p>
      <w:pPr>
        <w:bidi w:val="1"/>
        <w:spacing w:lineRule="exact" w:line="580" w:after="0"/>
        <w:jc w:val="both"/>
      </w:pPr>
      <w:r>
        <w:rPr>
          <w:rFonts w:ascii="B Nazanin" w:hAnsi="B Nazanin" w:cs="B Nazanin" w:hint="cs"/>
          <w:sz w:val="24"/>
          <w:szCs w:val="24"/>
          <w:rtl/>
          <w:lang w:bidi="fa-IR"/>
        </w:rPr>
        <w:t xml:space="preserve">این وضعیت جهانی و تحولات ساختاری در بازارهای مالی، هنگامی که در بافت اقتصادی و اجتماعی خاص و پیچیده کشورهایی نظیر ایران مورد واکاوی قرار می‌گیرد، ابعاد منحصر به فرد و چالش‌برانگیزتری به خود می‌گیرد. وجود یک محیط تورمی مزمن و دورقمی که طی چندین دهه به ویژگی ساختاری اقتصاد بدل شده است، همراه با نوسانات شدید و غیرقابل پیش‌بینی نرخ ارز و کاهش مداوم قدرت خرید پول ملی، انگیزه قدرتمند و اجتناب‌ناپذیری را برای توده مردم ایجاد کرده است تا برای حفظ ارزش واقعی دارایی‌های خود و جلوگیری از فقیرتر شدن، به سمت بازارهای مالی مختلف اعم از بورس اوراق بهادار، بازار طلا و ارز، و در سال‌های اخیر به شکل فزاینده‌ای به سمت بازار پرریسک ارزهای دیجیتال هجوم آورند.</w:t>
      </w:r>
    </w:p>
    <w:p>
      <w:pPr>
        <w:bidi w:val="1"/>
        <w:spacing w:lineRule="exact" w:line="580" w:after="0"/>
        <w:jc w:val="both"/>
      </w:pPr>
      <w:r>
        <w:rPr>
          <w:rFonts w:ascii="B Nazanin" w:hAnsi="B Nazanin" w:cs="B Nazanin" w:hint="cs"/>
          <w:sz w:val="24"/>
          <w:szCs w:val="24"/>
          <w:rtl/>
          <w:lang w:bidi="fa-IR"/>
        </w:rPr>
        <w:t xml:space="preserve">این فشار سنگین اقتصادی بیرونی، در ترکیب با فقدان زیرساخت‌های آموزشی مناسب، پایین بودن سطح سواد مالی عمومی و نبود فرهنگ سرمایه‌گذاری بلندمدت، معامله‌گران خرد ایرانی را در وضعیت آسیب‌پذیری روانی مضاعفی قرار داده است. در چنین شرایطی که سرمایه‌گذاری نه به عنوان یک انتخاب برای افزایش ثروت، بلکه به عنوان یک استراتژی بقا برای حفظ سرمایه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(ستایش و همکاران، ۱۳۹۹)</w:t>
      </w:r>
    </w:p>
    <w:p>
      <w:pPr>
        <w:bidi w:val="1"/>
        <w:spacing w:lineRule="exact" w:line="580" w:after="0"/>
        <w:jc w:val="both"/>
      </w:pPr>
      <w:r>
        <w:rPr>
          <w:rFonts w:ascii="B Nazanin" w:hAnsi="B Nazanin" w:cs="B Nazanin" w:hint="cs"/>
          <w:sz w:val="24"/>
          <w:szCs w:val="24"/>
          <w:rtl/>
          <w:lang w:bidi="fa-IR"/>
        </w:rPr>
        <w:t xml:space="preserve">در چنین محیط پرفشار و آشفته‌ای که تصمیم‌گیری‌ها به ناچار باید در فضایی از عدم قطعیت و ابهام صورت پذیرد، ویژگی‌های شخصیتی پایدار افراد، به عنوان فیلترهای ذهنی و پردازشی، نقشی محوری و تعیین‌کننده در تبیین تفاوت‌های فردی در نحوه واکنش به بازار و کیفیت عملکرد نهایی معامله‌گران ایفا می‌کنند. در میان طیف وسیع این ویژگی‌ها، سازه «اضطراب صفتی» به دلیل ارتباط مستقیم، عمیق و اثبات‌شده آن با نحوه پردازش اطلاعات تهدیدآمیز و مدیریت عدم قطعیت، از اهمیت ویژه‌ای در روانشناسی مالی برخوردار است.</w:t>
      </w:r>
    </w:p>
    <w:p>
      <w:pPr>
        <w:bidi w:val="1"/>
        <w:spacing w:lineRule="exact" w:line="580" w:after="0"/>
        <w:jc w:val="both"/>
      </w:pPr>
      <w:r>
        <w:rPr>
          <w:rFonts w:ascii="B Nazanin" w:hAnsi="B Nazanin" w:cs="B Nazanin" w:hint="cs"/>
          <w:sz w:val="24"/>
          <w:szCs w:val="24"/>
          <w:rtl/>
          <w:lang w:bidi="fa-IR"/>
        </w:rPr>
        <w:t xml:space="preserve">بدین ترتیب، بافت سه‌گانه اقتصاد ایران — تورم مزمن، نوسانات ارزی و ضعف آموزش مالی عمومی — محیط روانشناختی منحصر به فردی را برای معامله‌گر ایرانی شکل می‌دهد؛ محیطی که در آن، ویژگی‌های شخصیتی و شناختی فرد بیش از اقتصادهای باثبات، نقشی برجسته در تبیین رفتار ایفا می‌کنند (ستایش و همکاران، ۱۳۹۹). در چنین بافتی است که بررسی نقش میانجی‌گر طرحواره‌های ناسازگار اولیه در رابطه اضطراب صفتی با رفتارهای مالی پرخطر، معنایی دوچندان می‌یابد؛ زیرا هم به لحاظ نظری شکافی را در ادبیات پر می‌کند و هم به لحاظ عملی، پاسخی به نیاز واقعی جامعه معامله‌گران ایرانی ارائه می‌دهد.</w:t>
      </w:r>
    </w:p>
    <w:p>
      <w:pPr>
        <w:pStyle w:val="Heading3"/>
        <w:bidi w:val="1"/>
        <w:jc w:val="right"/>
      </w:pPr>
      <w:r>
        <w:rPr>
          <w:rFonts w:ascii="B Nazanin" w:hAnsi="B Nazanin" w:cs="B Nazanin" w:hint="cs"/>
          <w:b/>
          <w:bCs/>
          <w:sz w:val="26"/>
          <w:szCs w:val="26"/>
          <w:rtl/>
          <w:lang w:bidi="fa-IR"/>
        </w:rPr>
        <w:t xml:space="preserve">اضطراب صفتی، طرحواره‌های ناسازگار اولیه و رفتارهای مالی پرخطر</w:t>
      </w:r>
    </w:p>
    <w:p>
      <w:pPr>
        <w:bidi w:val="1"/>
        <w:spacing w:lineRule="exact" w:line="580" w:after="0"/>
        <w:jc w:val="both"/>
      </w:pPr>
      <w:r>
        <w:rPr>
          <w:rFonts w:ascii="B Nazanin" w:hAnsi="B Nazanin" w:cs="B Nazanin" w:hint="cs"/>
          <w:sz w:val="24"/>
          <w:szCs w:val="24"/>
          <w:rtl/>
          <w:lang w:bidi="fa-IR"/>
        </w:rPr>
        <w:t xml:space="preserve">در سطح فردی، اضطراب صفتی به دلیل ارتباط مستقیم با نحوه پردازش اطلاعات تهدیدآمیز و مدیریت عدم قطعیت، جایگاه ویژه‌ای در روانشناسی مالی دارد. بر اساس مدل کلاسیک اسپیلبرگر، افراد با اضطراب صفتی بالا دارای سیستم هشدار روانی بیش‌فعالی هستند که موقعیت‌های مبهم — مانند نوسانات طبیعی بازار — را تهدیدآمیز ادراک می‌کند و با نگرانی، تنش و برانگیختگی فیزیولوژیک بیشتری به آن‌ها پاسخ می‌دهد (اسپیلبرگر</w:t>
      </w:r>
      <w:r>
        <w:rPr>
          <w:rFonts w:ascii="B Nazanin" w:hAnsi="B Nazanin" w:cs="B Nazanin" w:hint="cs"/>
          <w:vertAlign w:val="superscript"/>
          <w:rtl/>
        </w:rPr>
        <w:footnoteReference w:id="53"/>
      </w:r>
      <w:r>
        <w:rPr>
          <w:rFonts w:ascii="B Nazanin" w:hAnsi="B Nazanin" w:cs="B Nazanin" w:hint="cs"/>
          <w:sz w:val="24"/>
          <w:szCs w:val="24"/>
          <w:rtl/>
          <w:lang w:bidi="fa-IR"/>
        </w:rPr>
        <w:t xml:space="preserve">، ۱۹۸۳). از منظر شناختی نیز، دیدگاه بک تأکید دارد که این افراد دارای طرحواره‌های خطری هستند که پردازش اطلاعات را به شکل سوگیرانه‌ای جهت می‌دهند (بک</w:t>
      </w:r>
      <w:r>
        <w:rPr>
          <w:rFonts w:ascii="B Nazanin" w:hAnsi="B Nazanin" w:cs="B Nazanin" w:hint="cs"/>
          <w:vertAlign w:val="superscript"/>
          <w:rtl/>
        </w:rPr>
        <w:footnoteReference w:id="54"/>
      </w:r>
      <w:r>
        <w:rPr>
          <w:rFonts w:ascii="B Nazanin" w:hAnsi="B Nazanin" w:cs="B Nazanin" w:hint="cs"/>
          <w:sz w:val="24"/>
          <w:szCs w:val="24"/>
          <w:rtl/>
          <w:lang w:bidi="fa-IR"/>
        </w:rPr>
        <w:t xml:space="preserve">، ۱۹۷۶).</w:t>
      </w:r>
    </w:p>
    <w:p>
      <w:pPr>
        <w:bidi w:val="1"/>
        <w:spacing w:lineRule="exact" w:line="580" w:after="0"/>
        <w:jc w:val="both"/>
      </w:pPr>
      <w:r>
        <w:rPr>
          <w:rFonts w:ascii="B Nazanin" w:hAnsi="B Nazanin" w:cs="B Nazanin" w:hint="cs"/>
          <w:sz w:val="24"/>
          <w:szCs w:val="24"/>
          <w:rtl/>
          <w:lang w:bidi="fa-IR"/>
        </w:rPr>
        <w:t xml:space="preserve">در سطح شناختی، اضطراب صفتی با سوگیری‌های نظام‌مند در پردازش اطلاعات تهدیدآمیز همراه است. شواهد عصب‌شناختی-شناختی نشان می‌دهند که در افراد مضطرب، سیستم توجهی به طور خودکار به سمت نشانه‌های بالقوه خطر جهت‌گیری می‌کند و منابع شناختی از پردازش اطلاعات خنثی یا مثبت منحرف می‌شوند (بیشاپ</w:t>
      </w:r>
      <w:r>
        <w:rPr>
          <w:rFonts w:ascii="B Nazanin" w:hAnsi="B Nazanin" w:cs="B Nazanin" w:hint="cs"/>
          <w:vertAlign w:val="superscript"/>
          <w:rtl/>
        </w:rPr>
        <w:footnoteReference w:id="55"/>
      </w:r>
      <w:r>
        <w:rPr>
          <w:rFonts w:ascii="B Nazanin" w:hAnsi="B Nazanin" w:cs="B Nazanin" w:hint="cs"/>
          <w:sz w:val="24"/>
          <w:szCs w:val="24"/>
          <w:rtl/>
          <w:lang w:bidi="fa-IR"/>
        </w:rPr>
        <w:t xml:space="preserve">، ۲۰۰۷). در بافت معامله‌گری، چنین نشانه‌هایی می‌توانند افت ناگهانی قیمت، اخبار منفی اقتصادی یا نوسان شدید سبد دارایی باشند؛ در این شرایط، معامله‌گر دارای اضطراب صفتی بالا، منابع شناختی محدود خود را به سرعت صرف پایش تهدید می‌کند و ظرفیت کمتری برای تحلیل منطقی و تصمیم‌گیری متوازن در اختیار دارد. علاوه بر این، الگوی پردازشی یادشده می‌تواند با تفسیر سوگیرانه موقعیت‌های مبهم به عنوان موقعیت‌های تهدیدآمیز همراه باشد (بک و کلارک</w:t>
      </w:r>
      <w:r>
        <w:rPr>
          <w:rFonts w:ascii="B Nazanin" w:hAnsi="B Nazanin" w:cs="B Nazanin" w:hint="cs"/>
          <w:vertAlign w:val="superscript"/>
          <w:rtl/>
        </w:rPr>
        <w:footnoteReference w:id="56"/>
      </w:r>
      <w:r>
        <w:rPr>
          <w:rFonts w:ascii="B Nazanin" w:hAnsi="B Nazanin" w:cs="B Nazanin" w:hint="cs"/>
          <w:sz w:val="24"/>
          <w:szCs w:val="24"/>
          <w:rtl/>
          <w:lang w:bidi="fa-IR"/>
        </w:rPr>
        <w:t xml:space="preserve">، ۱۹۹۷)؛ پدیده‌ای که در محیط معامله‌گری، خود را در واکنش‌های اغراق‌آمیز به نوسانات عادی بازار نشان می‌دهد.</w:t>
      </w:r>
    </w:p>
    <w:p>
      <w:pPr>
        <w:bidi w:val="1"/>
        <w:spacing w:lineRule="exact" w:line="580" w:after="0"/>
        <w:jc w:val="both"/>
      </w:pPr>
      <w:r>
        <w:rPr>
          <w:rFonts w:ascii="B Nazanin" w:hAnsi="B Nazanin" w:cs="B Nazanin" w:hint="cs"/>
          <w:sz w:val="24"/>
          <w:szCs w:val="24"/>
          <w:rtl/>
          <w:lang w:bidi="fa-IR"/>
        </w:rPr>
        <w:t xml:space="preserve">اضطراب صفتی همچنین با ماهیت بنیادین بازارهای مالی — یعنی عدم قطعیت درباره آینده — پیوندی عمیق دارد. شواهد نشان می‌دهند که یکی از مؤلفه‌های کلیدی اضطراب، دشواری در تحمل عدم قطعیت و پیش‌بینی مکرر تهدیدهای احتمالی آینده است؛ فرآیندی که توانایی فرد را برای کاهش مؤثر عدم قطعیت و مدیریت ریسک مختل می‌سازد (گروپ و نیچکه</w:t>
      </w:r>
      <w:r>
        <w:rPr>
          <w:rFonts w:ascii="B Nazanin" w:hAnsi="B Nazanin" w:cs="B Nazanin" w:hint="cs"/>
          <w:vertAlign w:val="superscript"/>
          <w:rtl/>
        </w:rPr>
        <w:footnoteReference w:id="57"/>
      </w:r>
      <w:r>
        <w:rPr>
          <w:rFonts w:ascii="B Nazanin" w:hAnsi="B Nazanin" w:cs="B Nazanin" w:hint="cs"/>
          <w:sz w:val="24"/>
          <w:szCs w:val="24"/>
          <w:rtl/>
          <w:lang w:bidi="fa-IR"/>
        </w:rPr>
        <w:t xml:space="preserve">، ۲۰۱۳). بر اساس نظریه کنترل توجه</w:t>
      </w:r>
      <w:r>
        <w:rPr>
          <w:rFonts w:ascii="B Nazanin" w:hAnsi="B Nazanin" w:cs="B Nazanin" w:hint="cs"/>
          <w:vertAlign w:val="superscript"/>
          <w:rtl/>
        </w:rPr>
        <w:footnoteReference w:id="9"/>
      </w:r>
      <w:r>
        <w:rPr>
          <w:rFonts w:ascii="B Nazanin" w:hAnsi="B Nazanin" w:cs="B Nazanin" w:hint="cs"/>
          <w:sz w:val="24"/>
          <w:szCs w:val="24"/>
          <w:rtl/>
          <w:lang w:bidi="fa-IR"/>
        </w:rPr>
        <w:t xml:space="preserve">، اضطراب با افزایش نفوذ سیستم توجهی محرک‌محور و کاهش کارایی سیستم هدف‌محور، کارکرد شناختی فرد را تنزل می‌دهد (آیزنک و همکاران</w:t>
      </w:r>
      <w:r>
        <w:rPr>
          <w:rFonts w:ascii="B Nazanin" w:hAnsi="B Nazanin" w:cs="B Nazanin" w:hint="cs"/>
          <w:vertAlign w:val="superscript"/>
          <w:rtl/>
        </w:rPr>
        <w:footnoteReference w:id="58"/>
      </w:r>
      <w:r>
        <w:rPr>
          <w:rFonts w:ascii="B Nazanin" w:hAnsi="B Nazanin" w:cs="B Nazanin" w:hint="cs"/>
          <w:sz w:val="24"/>
          <w:szCs w:val="24"/>
          <w:rtl/>
          <w:lang w:bidi="fa-IR"/>
        </w:rPr>
        <w:t xml:space="preserve">، ۲۰۰۷)؛ مکانیسمی که پیامد آن، اشغال منابع محدود حافظه کاری توسط نگرانی‌های مزاحم و تضعیف ظرفیت تحلیل‌های منطقی چندمرحله‌ای است (بدلی، آیزنک و اندرسون</w:t>
      </w:r>
      <w:r>
        <w:rPr>
          <w:rFonts w:ascii="B Nazanin" w:hAnsi="B Nazanin" w:cs="B Nazanin" w:hint="cs"/>
          <w:vertAlign w:val="superscript"/>
          <w:rtl/>
        </w:rPr>
        <w:footnoteReference w:id="59"/>
      </w:r>
      <w:r>
        <w:rPr>
          <w:rFonts w:ascii="B Nazanin" w:hAnsi="B Nazanin" w:cs="B Nazanin" w:hint="cs"/>
          <w:sz w:val="24"/>
          <w:szCs w:val="24"/>
          <w:rtl/>
          <w:lang w:bidi="fa-IR"/>
        </w:rPr>
        <w:t xml:space="preserve">، ۲۰۲۱). برای یک معامله‌گر، معنای این وضعیت روشن است: ضعف در همان ظرفیت‌هایی که معامله‌گری سودده بر آن‌ها استوار است.</w:t>
      </w:r>
    </w:p>
    <w:p>
      <w:pPr>
        <w:bidi w:val="1"/>
        <w:spacing w:lineRule="exact" w:line="580" w:after="0"/>
        <w:jc w:val="both"/>
      </w:pPr>
      <w:r>
        <w:rPr>
          <w:rFonts w:ascii="B Nazanin" w:hAnsi="B Nazanin" w:cs="B Nazanin" w:hint="cs"/>
          <w:sz w:val="24"/>
          <w:szCs w:val="24"/>
          <w:rtl/>
          <w:lang w:bidi="fa-IR"/>
        </w:rPr>
        <w:t xml:space="preserve">در لایه‌ای عمیق‌تر، نظریه طرحواره‌های ناسازگار اولیه چارچوبی تبیینی برای درک باورهای بنیادینی فراهم می‌آورد که در پسِ واکنش‌های لحظه‌ای معامله‌گران قرار دارند؛ الگوهایی هیجانی و شناختی، فراگیر و پایدار که در پی برآورده نشدن نیازهای هیجانی بنیادین در دوران کودکی شکل گرفته‌اند و مانند فیلترهایی تحریف‌گر، تفسیر فرد از موقعیت‌ها — از جمله موقعیت‌های مالی — را جهت می‌دهند (یانگ و همکاران</w:t>
      </w:r>
      <w:r>
        <w:rPr>
          <w:rFonts w:ascii="B Nazanin" w:hAnsi="B Nazanin" w:cs="B Nazanin" w:hint="cs"/>
          <w:vertAlign w:val="superscript"/>
          <w:rtl/>
        </w:rPr>
        <w:footnoteReference w:id="60"/>
      </w:r>
      <w:r>
        <w:rPr>
          <w:rFonts w:ascii="B Nazanin" w:hAnsi="B Nazanin" w:cs="B Nazanin" w:hint="cs"/>
          <w:sz w:val="24"/>
          <w:szCs w:val="24"/>
          <w:rtl/>
          <w:lang w:bidi="fa-IR"/>
        </w:rPr>
        <w:t xml:space="preserve">، ۲۰۰۳).</w:t>
      </w:r>
    </w:p>
    <w:p>
      <w:pPr>
        <w:bidi w:val="1"/>
        <w:spacing w:lineRule="exact" w:line="580" w:after="0"/>
        <w:jc w:val="both"/>
      </w:pPr>
      <w:r>
        <w:rPr>
          <w:rFonts w:ascii="B Nazanin" w:hAnsi="B Nazanin" w:cs="B Nazanin" w:hint="cs"/>
          <w:sz w:val="24"/>
          <w:szCs w:val="24"/>
          <w:rtl/>
          <w:lang w:bidi="fa-IR"/>
        </w:rPr>
        <w:t xml:space="preserve">این طرحواره‌ها از خاطرات، هیجانات، شناخت‌واره‌ها و احساسات بدنی تشکیل شده‌اند و دارای هسته‌ای هیجانی قدرتمند و دردناک هستند؛ باورهای برآمده از آن‌ها اغلب عمیق، مطلق و ناهشیارند و فرد آن‌ها نه به عنوان یک تفسیر، بلکه به عنوان حقیقتی بدیهی درباره خود و جهان تجربه می‌کند (آرنتز و جیکوب</w:t>
      </w:r>
      <w:r>
        <w:rPr>
          <w:rFonts w:ascii="B Nazanin" w:hAnsi="B Nazanin" w:cs="B Nazanin" w:hint="cs"/>
          <w:vertAlign w:val="superscript"/>
          <w:rtl/>
        </w:rPr>
        <w:footnoteReference w:id="61"/>
      </w:r>
      <w:r>
        <w:rPr>
          <w:rFonts w:ascii="B Nazanin" w:hAnsi="B Nazanin" w:cs="B Nazanin" w:hint="cs"/>
          <w:sz w:val="24"/>
          <w:szCs w:val="24"/>
          <w:rtl/>
          <w:lang w:bidi="fa-IR"/>
        </w:rPr>
        <w:t xml:space="preserve">، ۲۰۱۲). از سوی دیگر، طرحواره‌ها ساختارهایی منفعل نیستند؛ بلکه به طور فعال برای بقای خود تلاش می‌کنند و فرد را به سمت موقعیت‌ها و روابطی سوق می‌دهند که وجود آن‌ها را تأیید کند. همین ویژگی خودتداومی، توضیح می‌دهد که چرا یک معامله‌گر با وجود کسب تجربه‌های تازه، به طور مکرر در الگوهای واکنش هیجانی و تصمیم‌گیری مشابه گرفتار می‌ماند (یانگ و همکاران، ۲۰۰۳).</w:t>
      </w:r>
    </w:p>
    <w:p>
      <w:pPr>
        <w:bidi w:val="1"/>
        <w:spacing w:lineRule="exact" w:line="580" w:after="0"/>
        <w:jc w:val="both"/>
      </w:pPr>
      <w:r>
        <w:rPr>
          <w:rFonts w:ascii="B Nazanin" w:hAnsi="B Nazanin" w:cs="B Nazanin" w:hint="cs"/>
          <w:sz w:val="24"/>
          <w:szCs w:val="24"/>
          <w:rtl/>
          <w:lang w:bidi="fa-IR"/>
        </w:rPr>
        <w:t xml:space="preserve">پژوهش‌های گسترده، ارتباط معنادار طرحواره‌های ناسازگار اولیه با انواع رفتارهای خودآسیب‌رسان، به ویژه اعتیادهای رفتاری را نشان داده‌اند؛ رفتارهایی که با تکانشگری و جستجوی پاداش فوری مشخص می‌شوند. مطالعات انجام‌شده بر روی قماربازان آسیب‌شناختی — که رفتاری شباهت‌های بسیاری با معامله‌گری پرخطر دارد — حاکی از آن است که طرحواره‌های حوزه‌های «محدودیت‌های مختل» و «بریدگی و طرد» نقش کلیدی در پیش‌بینی این رفتارها ایفا می‌کنند (شوری و همکاران</w:t>
      </w:r>
      <w:r>
        <w:rPr>
          <w:rFonts w:ascii="B Nazanin" w:hAnsi="B Nazanin" w:cs="B Nazanin" w:hint="cs"/>
          <w:vertAlign w:val="superscript"/>
          <w:rtl/>
        </w:rPr>
        <w:footnoteReference w:id="62"/>
      </w:r>
      <w:r>
        <w:rPr>
          <w:rFonts w:ascii="B Nazanin" w:hAnsi="B Nazanin" w:cs="B Nazanin" w:hint="cs"/>
          <w:sz w:val="24"/>
          <w:szCs w:val="24"/>
          <w:rtl/>
          <w:lang w:bidi="fa-IR"/>
        </w:rPr>
        <w:t xml:space="preserve">، ۲۰۱۲؛ لیندبرگ و همکاران</w:t>
      </w:r>
      <w:r>
        <w:rPr>
          <w:rFonts w:ascii="B Nazanin" w:hAnsi="B Nazanin" w:cs="B Nazanin" w:hint="cs"/>
          <w:vertAlign w:val="superscript"/>
          <w:rtl/>
        </w:rPr>
        <w:footnoteReference w:id="63"/>
      </w:r>
      <w:r>
        <w:rPr>
          <w:rFonts w:ascii="B Nazanin" w:hAnsi="B Nazanin" w:cs="B Nazanin" w:hint="cs"/>
          <w:sz w:val="24"/>
          <w:szCs w:val="24"/>
          <w:rtl/>
          <w:lang w:bidi="fa-IR"/>
        </w:rPr>
        <w:t xml:space="preserve">، ۲۰۱۱). انتقال این شواهد به بافت بازارهای مالی تصویر روشنی ترسیم می‌کند: معامله‌گری که طرحواره‌های فعال در این حوزه‌ها را همراه دارد، در شرایط فشار بازار بیشتر مستعد ورود به معاملات کنترل‌نشده و بی‌اعتنایی به قواعد مدیریت ریسک است؛ هرچند آزمون دقیق این پیوند در جامعه معامله‌گران بازارهای مالی همچنان از شکاف‌های کمتر بررسی‌شده ادبیات محسوب می‌شود.</w:t>
      </w:r>
    </w:p>
    <w:p>
      <w:pPr>
        <w:bidi w:val="1"/>
        <w:spacing w:lineRule="exact" w:line="580" w:after="0"/>
        <w:jc w:val="both"/>
      </w:pPr>
      <w:r>
        <w:rPr>
          <w:rFonts w:ascii="B Nazanin" w:hAnsi="B Nazanin" w:cs="B Nazanin" w:hint="cs"/>
          <w:sz w:val="24"/>
          <w:szCs w:val="24"/>
          <w:rtl/>
          <w:lang w:bidi="fa-IR"/>
        </w:rPr>
        <w:t xml:space="preserve">در میان طرحواره‌های مرتبط با رفتار معاملاتی، طرحواره «خویشتن‌داری/خودانضباطی ناکافی» از جایگاه ویژه‌ای برخوردار است؛ ویژگی اصلی این طرحواره، دشواری در تحمل ناکامی، کنترل تکانه و ناتوانی در به تعویق انداختن لذت است (یانگ و همکاران، ۲۰۰۳). معامله‌گر دارای این طرحواره ممکن است دانش کافی درباره اصول مدیریت ریسک داشته باشد، اما در لحظات فشار بازار نتواند به آن اصول پایبند بماند؛ زیرا زیربنای روانشناختی پایبندی به قواعد — یعنی بازداری تکانه و تحمل ناراحتی کوتاه‌مدت — در او آسیب‌پذیر است. بنابراین عدم پایبندی به استراتژی معاملاتی از پیش تعیین‌شده و ورود به معاملات پرریسک فراتر از ظرفیت، لزوماً یک کاستی آموزشی نیست؛ این رفتار می‌تواند تجلی رفتاری یک طرحواره عمیق باشد (یانگ و همکاران، ۲۰۰۳).</w:t>
      </w:r>
    </w:p>
    <w:p>
      <w:pPr>
        <w:bidi w:val="1"/>
        <w:spacing w:lineRule="exact" w:line="580" w:after="0"/>
        <w:jc w:val="both"/>
      </w:pPr>
      <w:r>
        <w:rPr>
          <w:rFonts w:ascii="B Nazanin" w:hAnsi="B Nazanin" w:cs="B Nazanin" w:hint="cs"/>
          <w:sz w:val="24"/>
          <w:szCs w:val="24"/>
          <w:rtl/>
          <w:lang w:bidi="fa-IR"/>
        </w:rPr>
        <w:t xml:space="preserve">خروجی تعامل این عوامل درونی با محیط پرفشار بازار، در قالب رفتارهای مالی پرخطر تبلور می‌یابد؛ تصمیمات و اعمالی که در آن‌ها سطح ریسک پذیرفته‌شده نامتناسب با بازده احتمالی است و بیش از آنکه محصول تحلیل منطقی باشد، از هیجانات کنترل‌نشده، سوگیری‌های شناختی و تکانشگری نشأت می‌گیرد (بیکر و نوفسینگر</w:t>
      </w:r>
      <w:r>
        <w:rPr>
          <w:rFonts w:ascii="B Nazanin" w:hAnsi="B Nazanin" w:cs="B Nazanin" w:hint="cs"/>
          <w:vertAlign w:val="superscript"/>
          <w:rtl/>
        </w:rPr>
        <w:footnoteReference w:id="64"/>
      </w:r>
      <w:r>
        <w:rPr>
          <w:rFonts w:ascii="B Nazanin" w:hAnsi="B Nazanin" w:cs="B Nazanin" w:hint="cs"/>
          <w:sz w:val="24"/>
          <w:szCs w:val="24"/>
          <w:rtl/>
          <w:lang w:bidi="fa-IR"/>
        </w:rPr>
        <w:t xml:space="preserve">، ۲۰۱۰). ابعاد کلیدی این سازه در ادبیات مالی رفتاری چهار موردند: معامله‌گری بیش از حد</w:t>
      </w:r>
      <w:r>
        <w:rPr>
          <w:rFonts w:ascii="B Nazanin" w:hAnsi="B Nazanin" w:cs="B Nazanin" w:hint="cs"/>
          <w:vertAlign w:val="superscript"/>
          <w:rtl/>
        </w:rPr>
        <w:footnoteReference w:id="10"/>
      </w:r>
      <w:r>
        <w:rPr>
          <w:rFonts w:ascii="B Nazanin" w:hAnsi="B Nazanin" w:cs="B Nazanin" w:hint="cs"/>
          <w:sz w:val="24"/>
          <w:szCs w:val="24"/>
          <w:rtl/>
          <w:lang w:bidi="fa-IR"/>
        </w:rPr>
        <w:t xml:space="preserve"> (باربر و اودین</w:t>
      </w:r>
      <w:r>
        <w:rPr>
          <w:rFonts w:ascii="B Nazanin" w:hAnsi="B Nazanin" w:cs="B Nazanin" w:hint="cs"/>
          <w:vertAlign w:val="superscript"/>
          <w:rtl/>
        </w:rPr>
        <w:footnoteReference w:id="65"/>
      </w:r>
      <w:r>
        <w:rPr>
          <w:rFonts w:ascii="B Nazanin" w:hAnsi="B Nazanin" w:cs="B Nazanin" w:hint="cs"/>
          <w:sz w:val="24"/>
          <w:szCs w:val="24"/>
          <w:rtl/>
          <w:lang w:bidi="fa-IR"/>
        </w:rPr>
        <w:t xml:space="preserve">، ۲۰۰۰)؛ اثر گرایش</w:t>
      </w:r>
      <w:r>
        <w:rPr>
          <w:rFonts w:ascii="B Nazanin" w:hAnsi="B Nazanin" w:cs="B Nazanin" w:hint="cs"/>
          <w:vertAlign w:val="superscript"/>
          <w:rtl/>
        </w:rPr>
        <w:footnoteReference w:id="11"/>
      </w:r>
      <w:r>
        <w:rPr>
          <w:rFonts w:ascii="B Nazanin" w:hAnsi="B Nazanin" w:cs="B Nazanin" w:hint="cs"/>
          <w:sz w:val="24"/>
          <w:szCs w:val="24"/>
          <w:rtl/>
          <w:lang w:bidi="fa-IR"/>
        </w:rPr>
        <w:t xml:space="preserve"> (شفرین و استاتمن</w:t>
      </w:r>
      <w:r>
        <w:rPr>
          <w:rFonts w:ascii="B Nazanin" w:hAnsi="B Nazanin" w:cs="B Nazanin" w:hint="cs"/>
          <w:vertAlign w:val="superscript"/>
          <w:rtl/>
        </w:rPr>
        <w:footnoteReference w:id="66"/>
      </w:r>
      <w:r>
        <w:rPr>
          <w:rFonts w:ascii="B Nazanin" w:hAnsi="B Nazanin" w:cs="B Nazanin" w:hint="cs"/>
          <w:sz w:val="24"/>
          <w:szCs w:val="24"/>
          <w:rtl/>
          <w:lang w:bidi="fa-IR"/>
        </w:rPr>
        <w:t xml:space="preserve">، ۱۹۸۵)؛ رفتار گله‌ای</w:t>
      </w:r>
      <w:r>
        <w:rPr>
          <w:rFonts w:ascii="B Nazanin" w:hAnsi="B Nazanin" w:cs="B Nazanin" w:hint="cs"/>
          <w:vertAlign w:val="superscript"/>
          <w:rtl/>
        </w:rPr>
        <w:footnoteReference w:id="12"/>
      </w:r>
      <w:r>
        <w:rPr>
          <w:rFonts w:ascii="B Nazanin" w:hAnsi="B Nazanin" w:cs="B Nazanin" w:hint="cs"/>
          <w:sz w:val="24"/>
          <w:szCs w:val="24"/>
          <w:rtl/>
          <w:lang w:bidi="fa-IR"/>
        </w:rPr>
        <w:t xml:space="preserve"> (هوانگ و سالمون، ۲۰۰۴)؛ و تمرکز ناکافی سبد دارایی (گوتزمن و کومار</w:t>
      </w:r>
      <w:r>
        <w:rPr>
          <w:rFonts w:ascii="B Nazanin" w:hAnsi="B Nazanin" w:cs="B Nazanin" w:hint="cs"/>
          <w:vertAlign w:val="superscript"/>
          <w:rtl/>
        </w:rPr>
        <w:footnoteReference w:id="67"/>
      </w:r>
      <w:r>
        <w:rPr>
          <w:rFonts w:ascii="B Nazanin" w:hAnsi="B Nazanin" w:cs="B Nazanin" w:hint="cs"/>
          <w:sz w:val="24"/>
          <w:szCs w:val="24"/>
          <w:rtl/>
          <w:lang w:bidi="fa-IR"/>
        </w:rPr>
        <w:t xml:space="preserve">، ۲۰۰۸).</w:t>
      </w:r>
    </w:p>
    <w:p>
      <w:pPr>
        <w:bidi w:val="1"/>
        <w:spacing w:lineRule="exact" w:line="580" w:after="0"/>
        <w:jc w:val="both"/>
      </w:pPr>
      <w:r>
        <w:rPr>
          <w:rFonts w:ascii="B Nazanin" w:hAnsi="B Nazanin" w:cs="B Nazanin" w:hint="cs"/>
          <w:sz w:val="24"/>
          <w:szCs w:val="24"/>
          <w:rtl/>
          <w:lang w:bidi="fa-IR"/>
        </w:rPr>
        <w:t xml:space="preserve">برای هر یک از این ابعاد، شواهد تجربی پشتوانه‌ای قابل توجه وجود دارد. در بُعد معامله‌گری بیش از حد، پژوهش کلاسیک باربر و اودین (۲۰۰۰) نشان داد که معامله‌گران فردی به دلیل سوگیری بیش‌اطمینانی و تحمل هزینه‌های معاملاتی بالا، بازدهی به‌طور معناداری پایین‌تر از میانگین بازار کسب می‌کنند؛ در اینجا، حجم بالای معاملات نه یک ضرورت اطلاعاتی، بلکه رفتاری روانشناختی و پرهزینه است. در بُعد اثر گرایش نیز سرمایه‌گذاران تحت تأثیر نقطه مرجع و زیان‌گریزی مطرح‌شده در نظریه چشم‌انداز، تمایل دارند سهام سودده خود را زودهنگام بفروشند تا لذت شناسایی سود را تجربه کنند، اما سهام زیان‌ده را برای اجتناب از درد تحقق زیان، نگه دارند (شفرین و استاتمن، ۱۹۸۵)؛ الگویی که در بلندمدت بازدهی سبد را کاهش می‌دهد.</w:t>
      </w:r>
    </w:p>
    <w:p>
      <w:pPr>
        <w:bidi w:val="1"/>
        <w:spacing w:lineRule="exact" w:line="580" w:after="0"/>
        <w:jc w:val="both"/>
      </w:pPr>
      <w:r>
        <w:rPr>
          <w:rFonts w:ascii="B Nazanin" w:hAnsi="B Nazanin" w:cs="B Nazanin" w:hint="cs"/>
          <w:sz w:val="24"/>
          <w:szCs w:val="24"/>
          <w:rtl/>
          <w:lang w:bidi="fa-IR"/>
        </w:rPr>
        <w:t xml:space="preserve">در بُعد رفتار گله‌ای، شواهد نشان می‌دهند که این پدیده به ویژه در شرایط استرس بازار و نوسانات بالا تشدید می‌شود؛ در چنین شرایطی، افراد رفتار دیگران را منبع اطلاعات تلقی کرده و به تقلید اجتماعی روی می‌آورند؛ فرآیندی که می‌تواند به شکل‌گیری حباب‌های قیمتی کاذب و سقوط‌های ناگهانی منجر شود (هوانگ و سالمون، ۲۰۰۴). در بُعد تمرکز ناکافی سبد دارایی نیز سرمایه‌گذاران به دلیل سوگیری‌هایی مانند تمایل به آشنایی، سرمایه خود را در مجموعه محدودی از دارایی‌ها متمرکز می‌کنند و خود را در معرض ریسک‌های غیرمتنوع‌شده قرار می‌دهند (گوتزمن و کومار، ۲۰۰۸). مجموع این چهار بُعد، هسته اصلی سازه «رفتارهای مالی پرخطر» را در پژوهش حاضر تشکیل می‌دهد و چارچوب سنجش آن را نیز تعیین می‌کند.</w:t>
      </w:r>
    </w:p>
    <w:p>
      <w:pPr>
        <w:pStyle w:val="Heading3"/>
        <w:bidi w:val="1"/>
        <w:jc w:val="right"/>
      </w:pPr>
      <w:r>
        <w:rPr>
          <w:rFonts w:ascii="B Nazanin" w:hAnsi="B Nazanin" w:cs="B Nazanin" w:hint="cs"/>
          <w:b/>
          <w:bCs/>
          <w:sz w:val="26"/>
          <w:szCs w:val="26"/>
          <w:rtl/>
          <w:lang w:bidi="fa-IR"/>
        </w:rPr>
        <w:t xml:space="preserve">شکاف تبیینی: فقدان مدل میانجی‌گر در جامعه معامله‌گران</w:t>
      </w:r>
    </w:p>
    <w:p>
      <w:pPr>
        <w:bidi w:val="1"/>
        <w:spacing w:lineRule="exact" w:line="580" w:after="0"/>
        <w:jc w:val="both"/>
      </w:pPr>
      <w:r>
        <w:rPr>
          <w:rFonts w:ascii="B Nazanin" w:hAnsi="B Nazanin" w:cs="B Nazanin" w:hint="cs"/>
          <w:sz w:val="24"/>
          <w:szCs w:val="24"/>
          <w:rtl/>
          <w:lang w:bidi="fa-IR"/>
        </w:rPr>
        <w:t xml:space="preserve">با وجود این شواهد، یک شکاف تبیینی آشکار در ادبیات علمی وجود دارد. اغلب مطالعات به بررسی روابط دوجانبه پرداخته‌اند، اما سازوکار روانشناختی که نشان دهد چگونه یک ویژگی شخصیتی پایدار مانند اضطراب صفتی، از طریق یک فیلتر شناختی عمیق مانند طرحواره‌های ناسازگار اولیه، به رفتارهای مالی مشخص تبدیل می‌شود — به‌ویژه در جامعه معامله‌گران — به ندرت مورد بررسی قرار گرفته است. پژوهش حاضر برای پر کردن همین شکاف، مدل میانجی‌گری را بر پایه مدل استعداد-استرس</w:t>
      </w:r>
      <w:r>
        <w:rPr>
          <w:rFonts w:ascii="B Nazanin" w:hAnsi="B Nazanin" w:cs="B Nazanin" w:hint="cs"/>
          <w:vertAlign w:val="superscript"/>
          <w:rtl/>
        </w:rPr>
        <w:footnoteReference w:id="13"/>
      </w:r>
      <w:r>
        <w:rPr>
          <w:rFonts w:ascii="B Nazanin" w:hAnsi="B Nazanin" w:cs="B Nazanin" w:hint="cs"/>
          <w:sz w:val="24"/>
          <w:szCs w:val="24"/>
          <w:rtl/>
          <w:lang w:bidi="fa-IR"/>
        </w:rPr>
        <w:t xml:space="preserve"> (زاکرمن</w:t>
      </w:r>
      <w:r>
        <w:rPr>
          <w:rFonts w:ascii="B Nazanin" w:hAnsi="B Nazanin" w:cs="B Nazanin" w:hint="cs"/>
          <w:vertAlign w:val="superscript"/>
          <w:rtl/>
        </w:rPr>
        <w:footnoteReference w:id="68"/>
      </w:r>
      <w:r>
        <w:rPr>
          <w:rFonts w:ascii="B Nazanin" w:hAnsi="B Nazanin" w:cs="B Nazanin" w:hint="cs"/>
          <w:sz w:val="24"/>
          <w:szCs w:val="24"/>
          <w:rtl/>
          <w:lang w:bidi="fa-IR"/>
        </w:rPr>
        <w:t xml:space="preserve">، ۱۹۹۹) پیشنهاد می‌کند؛ مدلی که در آن اضطراب صفتی به‌عنوان استعداد آسیب‌پذیری، در تعامل با استرس‌های بازار فعال شده و از مجرای فعال‌سازی طرحواره‌ها، رفتار مالی نهایی را هدایت می‌کند. مسئله اصلی پژوهش نیز همین است: تبیین و آزمون تجربی همین نقش میانجی‌گر.</w:t>
      </w:r>
    </w:p>
    <w:p>
      <w:pPr>
        <w:bidi w:val="1"/>
        <w:spacing w:lineRule="exact" w:line="580" w:after="0"/>
        <w:jc w:val="both"/>
      </w:pPr>
      <w:r>
        <w:rPr>
          <w:rFonts w:ascii="B Nazanin" w:hAnsi="B Nazanin" w:cs="B Nazanin" w:hint="cs"/>
          <w:sz w:val="24"/>
          <w:szCs w:val="24"/>
          <w:rtl/>
          <w:lang w:bidi="fa-IR"/>
        </w:rPr>
        <w:t xml:space="preserve">برای تبیین این تبدیل، پژوهش حاضر به منطق مدل استعداد-استرس تکیه می‌کند (زاکرمن، ۱۹۹۹). بر اساس این مدل، اضطراب صفتی به عنوان یک آسیب‌پذیری پایدار، لزوماً به تنهایی و به طور مستقیم به رفتار مالی پرخطر نمی‌انجامد؛ بلکه استرس‌های بازار — نوسانات شدید، زیان‌های سنگین یا فشار تصمیم‌گیری‌های شتاب‌زده — این استعداد را فعال می‌کنند و طرحواره‌های ناسازگار فرد را از حالت خفته به حالت فعال درمی‌آورند. در این لحظه، طرحواره‌های فعال‌شده هستند که تفسیر معامله‌گر از موقعیت را شکل داده و از طریق سبک‌های مقابله‌ای ناسازگار — نظیر تسلیم در برابر طرحواره یا جبران افراطی — رفتار مالی نهایی را هدایت می‌کنند. به این ترتیب، طرحواره حلقه گمشده زنجیره تبدیل هیجان به عمل در بازارهای مالی محسوب می‌شود.</w:t>
      </w:r>
    </w:p>
    <w:p>
      <w:pPr>
        <w:bidi w:val="1"/>
        <w:spacing w:lineRule="exact" w:line="580" w:after="0"/>
        <w:jc w:val="both"/>
      </w:pPr>
      <w:r>
        <w:rPr>
          <w:rFonts w:ascii="B Nazanin" w:hAnsi="B Nazanin" w:cs="B Nazanin" w:hint="cs"/>
          <w:sz w:val="24"/>
          <w:szCs w:val="24"/>
          <w:rtl/>
          <w:lang w:bidi="fa-IR"/>
        </w:rPr>
        <w:t xml:space="preserve">تمرکز بر جامعه معامله‌گران بازارهای مالی نیز مبتنی بر یک ضرورت روش‌شناختی است: این افراد برخلاف جمعیت عمومی، به طور مداوم در موقعیت تصمیم‌گیری مالی واقعی با پیامدهای عینی و قابل اندازه‌گیری قرار دارند و واکنش‌های رفتاری آن‌ها به استرس، در بافتی واقعی قابل مطالعه است. آزمون تجربی مدل میانجی‌گری در این جامعه، نه تنها امکان ارزیابی مکانیسم نظری پیشنهادی را فراهم می‌آورد، بلکه می‌تواند مبنایی شواهد‌محور برای طراحی مداخلات روانشناختی ویژه همین گروه ایجاد کند. از این رو، مسئله پژوهش حاضر از سطح توصیف همبستگی‌ها فراتر رفته و به دنبال پاسخ به پرسش تبیینی «چگونه و از طریق چه فرآیندی» است؛ پرسشی که پاسخ آن، در گسترش ادبیات روانشناسی مالی و ارتقای سلامت مالی معامله‌گران سهمی مستقیم خواهد داشت.</w:t>
      </w:r>
    </w:p>
    <w:p>
      <w:pPr>
        <w:pStyle w:val="Heading2"/>
        <w:bidi w:val="1"/>
        <w:jc w:val="right"/>
      </w:pPr>
      <w:r>
        <w:rPr>
          <w:rFonts w:ascii="B Nazanin" w:hAnsi="B Nazanin" w:cs="B Nazanin" w:hint="cs"/>
          <w:b/>
          <w:bCs/>
          <w:sz w:val="28"/>
          <w:szCs w:val="28"/>
          <w:rtl/>
          <w:lang w:bidi="fa-IR"/>
        </w:rPr>
        <w:t xml:space="preserve">۱-۳. اهمیت و ضرورت پژوهش</w:t>
      </w:r>
    </w:p>
    <w:p>
      <w:pPr>
        <w:pStyle w:val="Heading3"/>
        <w:bidi w:val="1"/>
        <w:jc w:val="right"/>
      </w:pPr>
      <w:r>
        <w:rPr>
          <w:rFonts w:ascii="B Nazanin" w:hAnsi="B Nazanin" w:cs="B Nazanin" w:hint="cs"/>
          <w:b/>
          <w:bCs/>
          <w:sz w:val="26"/>
          <w:szCs w:val="26"/>
          <w:rtl/>
          <w:lang w:bidi="fa-IR"/>
        </w:rPr>
        <w:t xml:space="preserve">اهمیت نظری</w:t>
      </w:r>
    </w:p>
    <w:p>
      <w:pPr>
        <w:bidi w:val="1"/>
        <w:spacing w:lineRule="exact" w:line="580" w:after="0"/>
        <w:jc w:val="both"/>
      </w:pPr>
      <w:r>
        <w:rPr>
          <w:rFonts w:ascii="B Nazanin" w:hAnsi="B Nazanin" w:cs="B Nazanin" w:hint="cs"/>
          <w:sz w:val="24"/>
          <w:szCs w:val="24"/>
          <w:rtl/>
          <w:lang w:bidi="fa-IR"/>
        </w:rPr>
        <w:t xml:space="preserve">اهمیت بنیادی و ضرورت اجتناب‌ناپذیر اجرای پژوهش حاضر، از همگرایی و تلاقی سه منظر کلیدی و متمایز نظری، کاربردی و اجتماعی-فرهنگی نشأت می‌گیرد که هر یک ابعاد مختلفی از چالش‌های رفتاری در بازارهای مالی را پوشش می‌دهند. در گام نخست و از منظر «اهمیت نظری و دانشی»، این مطالعه با هدف شناسایی دقیق و پر کردن یک شکاف تبیینی مشخص، عمیق و مغفول‌مانده در ادبیات علمی موجود، از جایگاه و اهمیت قابل توجهی برخوردار است. اگرچه حجم گسترده‌ای از تحقیقات پیشین در حوزه‌های روانشناسی و مالی رفتاری، به بررسی روابط دوجانبه، خطی و همبستگی ساده میان ویژگی‌های شخصیتی (مانند روان‌رنجورخویی) و عملکرد سرمایه‌گذاری پرداخته‌اند، اما دانش موجود در مورد ماهیت پیچیده «فرآیند» و درک دقیق «سازوکار روانشناختی» واسطه‌ای که این متغیرهای بنیادین را به رفتارهای عینی و مشاهده‌پذیر در بازار پیوند می‌دهد، همچنان محدود و ناکافی است.</w:t>
      </w:r>
    </w:p>
    <w:p>
      <w:pPr>
        <w:bidi w:val="1"/>
        <w:spacing w:lineRule="exact" w:line="580" w:after="0"/>
        <w:jc w:val="both"/>
      </w:pPr>
      <w:r>
        <w:rPr>
          <w:rFonts w:ascii="B Nazanin" w:hAnsi="B Nazanin" w:cs="B Nazanin" w:hint="cs"/>
          <w:sz w:val="24"/>
          <w:szCs w:val="24"/>
          <w:rtl/>
          <w:lang w:bidi="fa-IR"/>
        </w:rPr>
        <w:t xml:space="preserve">این تحقیق با ارائه، تدوین و آزمون تجربی یک مدل جامع میانجی‌گری، تلاشی نظام‌مند برای عبور از سطح توصیف صرف پدیده‌ها و برداشتن گامی بلند به سوی «تبیین علیّتی» آن‌هاست. این رویکرد نوآورانه، با وارد کردن متغیرهای عمیق شناختی (طرحواره‌ها) به معادله تصمیم‌گیری مالی، نه تنها به ادبیات روانشناسی شخصیت عمق می‌بخشد و کاربرد آن را در زمینه‌های نوین و عملیاتی آزمون می‌کند، بلکه با ارائه شواهدی از نقش تعیین‌کننده سازه‌های بالینی در رفتارهای اقتصادی، مرزهای دانش مالی رفتاری را نیز گسترش می‌دهد. (لوریولا و لوین</w:t>
      </w:r>
      <w:r>
        <w:rPr>
          <w:rFonts w:ascii="B Nazanin" w:hAnsi="B Nazanin" w:cs="B Nazanin" w:hint="cs"/>
          <w:vertAlign w:val="superscript"/>
          <w:rtl/>
        </w:rPr>
        <w:footnoteReference w:id="69"/>
      </w:r>
      <w:r>
        <w:rPr>
          <w:rFonts w:ascii="B Nazanin" w:hAnsi="B Nazanin" w:cs="B Nazanin" w:hint="cs"/>
          <w:sz w:val="24"/>
          <w:szCs w:val="24"/>
          <w:rtl/>
          <w:lang w:bidi="fa-IR"/>
        </w:rPr>
        <w:t xml:space="preserve">، ۲۰۰۱)</w:t>
      </w:r>
    </w:p>
    <w:p>
      <w:pPr>
        <w:bidi w:val="1"/>
        <w:spacing w:lineRule="exact" w:line="580" w:after="0"/>
        <w:jc w:val="both"/>
      </w:pPr>
      <w:r>
        <w:rPr>
          <w:rFonts w:ascii="B Nazanin" w:hAnsi="B Nazanin" w:cs="B Nazanin" w:hint="cs"/>
          <w:sz w:val="24"/>
          <w:szCs w:val="24"/>
          <w:rtl/>
          <w:lang w:bidi="fa-IR"/>
        </w:rPr>
        <w:t xml:space="preserve">علاوه بر این، پژوهش حاضر با اتخاذ یک رویکرد بین‌رشته‌ای خلاقانه و گسترش جسورانه کاربرد مفاهیم بنیادین نظریه طرحواره‌درمانی به حوزه رفتارهای غیربالینی و اقتصادی، به ادبیات غنی روانشناسی بالینی و شناختی کمک شایانی می‌کند. این مطالعه با آزمون کارایی و قدرت تبیینی مدل‌های آسیب‌شناسی روانی (مانند مدل طرحواره‌های ناسازگار یانگ) در بافت چالش‌برانگیز و استرس‌زای بازارهای مالی، نشان می‌دهد که چگونه سازه‌های عمیق شخصیتی و باورهای ناکارآمد، نه تنها در زمینه‌های روابط بین‌فردی و سلامت روان، بلکه در تصمیم‌گیری‌های حیاتی مالی و مدیریت سرمایه نیز نقش‌آفرینی می‌کنند  (یانگ و همکاران، ۲۰۰۳)</w:t>
      </w:r>
    </w:p>
    <w:p>
      <w:pPr>
        <w:bidi w:val="1"/>
        <w:spacing w:lineRule="exact" w:line="580" w:after="0"/>
        <w:jc w:val="both"/>
      </w:pPr>
      <w:r>
        <w:rPr>
          <w:rFonts w:ascii="B Nazanin" w:hAnsi="B Nazanin" w:cs="B Nazanin" w:hint="cs"/>
          <w:sz w:val="24"/>
          <w:szCs w:val="24"/>
          <w:rtl/>
          <w:lang w:bidi="fa-IR"/>
        </w:rPr>
        <w:t xml:space="preserve">از سوی دیگر، این تحقیق با معرفی یک سازوکار روانشناختی عمیق و لایه‌بندی شده که فراتر از سوگیری‌های شناختی سطحی عمل می‌کند، به ادبیات رو به رشد اقتصاد رفتاری غنا و عمق می‌بخشد. در حالی که مدل‌های فعلی این حوزه عمدتاً بر توصیف خطاهای تصمیم‌گیری (مانند زیان‌گریزی) متمرکز هستند، این پژوهش با تبیین ریشه‌های شخصیتی و تحولی این رفتارها، درک ماهیت غیرعقلانی رفتار انسان در بازار را کامل‌تر کرده و بینش‌های جدیدی برای طراحی مداخلات اصلاحی فراهم می‌آورد (تیلر، ۲۰۱۶).</w:t>
      </w:r>
    </w:p>
    <w:p>
      <w:pPr>
        <w:bidi w:val="1"/>
        <w:spacing w:lineRule="exact" w:line="580" w:after="0"/>
        <w:jc w:val="both"/>
      </w:pPr>
      <w:r>
        <w:rPr>
          <w:rFonts w:ascii="B Nazanin" w:hAnsi="B Nazanin" w:cs="B Nazanin" w:hint="cs"/>
          <w:sz w:val="24"/>
          <w:szCs w:val="24"/>
          <w:rtl/>
          <w:lang w:bidi="fa-IR"/>
        </w:rPr>
        <w:t xml:space="preserve">از منظر دیگر، پژوهش حاضر پاسخی است به ضرورت همگرایی میان روانشناسی بالینی و اقتصاد مالی؛ همگرایی‌ای که پیشگامان اقتصاد رفتاری بر آن تأکید دارند، زیرا انحراف‌های نظام‌مند تصمیم‌گیری انسان نه خطاهایی گذرا، بلکه الگوهایی ریشه‌دار در شخصیت و شناخت او هستند (تیلر، ۲۰۱۶). وارد کردن سازه‌های عمیق بالینی، مانند طرحواره‌های ناسازگار اولیه، به تبیین این الگوها می‌تواند افق تازه‌ای در فهم رفتار مالی بگشاید و پایه تجربی لازم برای طراحی مداخلاتی را فراهم آورد که تاکنون عمدتاً به شکل آموزش‌های عمومی ارائه شده‌اند.</w:t>
      </w:r>
    </w:p>
    <w:p>
      <w:pPr>
        <w:pStyle w:val="Heading3"/>
        <w:bidi w:val="1"/>
        <w:jc w:val="right"/>
      </w:pPr>
      <w:r>
        <w:rPr>
          <w:rFonts w:ascii="B Nazanin" w:hAnsi="B Nazanin" w:cs="B Nazanin" w:hint="cs"/>
          <w:b/>
          <w:bCs/>
          <w:sz w:val="26"/>
          <w:szCs w:val="26"/>
          <w:rtl/>
          <w:lang w:bidi="fa-IR"/>
        </w:rPr>
        <w:t xml:space="preserve">اهمیت کاربردی (در سطح معامله‌گران و نهادهای مالی)</w:t>
      </w:r>
    </w:p>
    <w:p>
      <w:pPr>
        <w:bidi w:val="1"/>
        <w:spacing w:lineRule="exact" w:line="580" w:after="0"/>
        <w:jc w:val="both"/>
      </w:pPr>
      <w:r>
        <w:rPr>
          <w:rFonts w:ascii="B Nazanin" w:hAnsi="B Nazanin" w:cs="B Nazanin" w:hint="cs"/>
          <w:sz w:val="24"/>
          <w:szCs w:val="24"/>
          <w:rtl/>
          <w:lang w:bidi="fa-IR"/>
        </w:rPr>
        <w:t xml:space="preserve">فراتر از ابعاد تئوریک و کمک به گسترش مرزهای دانش نظری، یافته‌های این پژوهش دارای اهمیت کاربردی و عملیاتی ملموسی برای ذینفعان متعدد، از مشاوران مالی و سرمایه‌گذاری گرفته تا متخصصان سلامت روان و خود معامله‌گران است. در دنیای واقعی و پیچیده امروز، متخصصان روان‌درمانی و روانشناسان بالینی به طور فزاینده‌ای با طیف وسیعی از مراجعانی مواجه می‌شوند که مشکلات مالی، زیان‌های سنگین در بورس و اعتیادهای معاملاتی، بخش عمده و تعیین‌کننده‌ای از منبع استرس مزمن، اضطراب و آشفتگی روانی آن‌ها را تشکیل می‌دهد. درک دقیق ریشه‌های این رفتارها برای تدوین مداخلات موثر ضروری است.</w:t>
      </w:r>
    </w:p>
    <w:p>
      <w:pPr>
        <w:bidi w:val="1"/>
        <w:spacing w:lineRule="exact" w:line="580" w:after="0"/>
        <w:jc w:val="both"/>
      </w:pPr>
      <w:r>
        <w:rPr>
          <w:rFonts w:ascii="B Nazanin" w:hAnsi="B Nazanin" w:cs="B Nazanin" w:hint="cs"/>
          <w:sz w:val="24"/>
          <w:szCs w:val="24"/>
          <w:rtl/>
          <w:lang w:bidi="fa-IR"/>
        </w:rPr>
        <w:t xml:space="preserve">نتایج کاربردی این پژوهش، با شناسایی دقیق و مبتنی بر شواهد طرحواره‌های کلیدی و باورهای بنیادین ناکارآمدی که به طور نظام‌مند به رفتارهای مالی پرخطر دامن می‌زنند، می‌تواند مبنایی علمی و عملیاتی برای طراحی «ابزارهای غربالگری هدفمند» و توسعه «پروتکل‌های درمانی کوتاه‌مدت و متمرکز» (نظیر طرحواره‌درمانی متمرکز بر عملکرد مالی) فراهم آورد. این ابزارها به متخصصان کمک می‌کند تا افراد مستعد آسیب‌پذیری در برابر نوسانات بازار را پیش از وقوع بحران‌های مالی شناسایی و ایمن‌سازی کنند.</w:t>
      </w:r>
    </w:p>
    <w:p>
      <w:pPr>
        <w:bidi w:val="1"/>
        <w:spacing w:lineRule="exact" w:line="580" w:after="0"/>
        <w:jc w:val="both"/>
      </w:pPr>
      <w:r>
        <w:rPr>
          <w:rFonts w:ascii="B Nazanin" w:hAnsi="B Nazanin" w:cs="B Nazanin" w:hint="cs"/>
          <w:sz w:val="24"/>
          <w:szCs w:val="24"/>
          <w:rtl/>
          <w:lang w:bidi="fa-IR"/>
        </w:rPr>
        <w:t xml:space="preserve">از سوی دیگر، و شاید در مهم‌ترین سطح کاربرد، یافته‌های این پژوهش می‌تواند نقشی تحول‌آفرین در افزایش «خودآگاهی روانشناختی» و بینش در خود جامعه معامله‌گران ایفا کند. درک عمیق این واقعیت که چگونه ویژگی‌های شخصیتی پایدار و «تله‌های زندگی» (طرحواره‌ها) ممکن است به صورت ناخودآگاه و پنهان بر قضاوت‌ها و تصمیمات لحظه‌ای آن‌ها تأثیر بگذارد، اولین و مهم‌ترین گام برای توسعه مکانیزم‌های خودتنظیمی، طراحی سیستم‌های هشدار شخصی و تدوین «قوانین رفتاری سخت‌گیرانه» است که می‌تواند معامله‌گر را در برابر تصمیمات تکانشی، هیجانی و ویرانگر محافظت نماید (فنتون-اکریوی و همکاران</w:t>
      </w:r>
      <w:r>
        <w:rPr>
          <w:rFonts w:ascii="B Nazanin" w:hAnsi="B Nazanin" w:cs="B Nazanin" w:hint="cs"/>
          <w:vertAlign w:val="superscript"/>
          <w:rtl/>
        </w:rPr>
        <w:footnoteReference w:id="70"/>
      </w:r>
      <w:r>
        <w:rPr>
          <w:rFonts w:ascii="B Nazanin" w:hAnsi="B Nazanin" w:cs="B Nazanin" w:hint="cs"/>
          <w:sz w:val="24"/>
          <w:szCs w:val="24"/>
          <w:rtl/>
          <w:lang w:bidi="fa-IR"/>
        </w:rPr>
        <w:t xml:space="preserve">، ۲۰۱۲).</w:t>
      </w:r>
    </w:p>
    <w:p>
      <w:pPr>
        <w:bidi w:val="1"/>
        <w:spacing w:lineRule="exact" w:line="580" w:after="0"/>
        <w:jc w:val="both"/>
      </w:pPr>
      <w:r>
        <w:rPr>
          <w:rFonts w:ascii="B Nazanin" w:hAnsi="B Nazanin" w:cs="B Nazanin" w:hint="cs"/>
          <w:sz w:val="24"/>
          <w:szCs w:val="24"/>
          <w:rtl/>
          <w:lang w:bidi="fa-IR"/>
        </w:rPr>
        <w:t xml:space="preserve">علاوه بر ابعاد فردی و بالینی، نتایج کاربردی این پژوهش می‌تواند در سطح کلان‌تر و سازمانی، تحولی در رویکرد نهادهای مالی و آموزشی (نظیر کارگزاری‌ها، شرکت‌های تأمین سرمایه و آموزشگاه‌های معامله‌گری) ایجاد کند. این نهادها که نقش اصلی را در آموزش، مشاوره و ارائه پلتفرم‌های معاملاتی به عموم جامعه بر عهده دارند، می‌توانند با بهره‌گیری از شواهد علمی این تحقیق، سرفصل‌های آموزشی خود را فراتر از مباحث صرفاً فنی و تکنیکال گسترش داده و ماژول‌های تخصصی روانشناسی معامله‌گری و مدیریت هیجان را به برنامه‌های درسی و بسته‌های آموزشی خود بیفزایند.</w:t>
      </w:r>
    </w:p>
    <w:p>
      <w:pPr>
        <w:bidi w:val="1"/>
        <w:spacing w:lineRule="exact" w:line="580" w:after="0"/>
        <w:jc w:val="both"/>
      </w:pPr>
      <w:r>
        <w:rPr>
          <w:rFonts w:ascii="B Nazanin" w:hAnsi="B Nazanin" w:cs="B Nazanin" w:hint="cs"/>
          <w:sz w:val="24"/>
          <w:szCs w:val="24"/>
          <w:rtl/>
          <w:lang w:bidi="fa-IR"/>
        </w:rPr>
        <w:t xml:space="preserve">این اقدام استراتژیک، نه تنها کیفیت آموزش و مهارت‌افزایی سرمایه‌گذاران را ارتقا می‌بخشد، بلکه به عنوان گامی عملی در جهت ایفای مسئولیت اجتماعی شرکتی در قبال سلامت مالی، روانی و امنیت سرمایه مشتریان تلقی می‌گردد. با آگاه‌سازی فعالانه سرمایه‌گذاران نسبت به خطرات شناختی و تله‌های روانی، این نهادها می‌توانند به طور موثر از وقوع زیان‌های هیجانی و فاجعه‌بار جلوگیری کرده و به پایداری بلندمدت و سلامت کل اکوسیستم بازار سرمایه کمک نمایند (بیکر و نوفسینگر، ۲۰۱۰).</w:t>
      </w:r>
    </w:p>
    <w:p>
      <w:pPr>
        <w:bidi w:val="1"/>
        <w:spacing w:lineRule="exact" w:line="580" w:after="0"/>
        <w:jc w:val="both"/>
      </w:pPr>
      <w:r>
        <w:rPr>
          <w:rFonts w:ascii="B Nazanin" w:hAnsi="B Nazanin" w:cs="B Nazanin" w:hint="cs"/>
          <w:sz w:val="24"/>
          <w:szCs w:val="24"/>
          <w:rtl/>
          <w:lang w:bidi="fa-IR"/>
        </w:rPr>
        <w:t xml:space="preserve">فراتر از سطح فردی و سازمانی، یافته‌های این پژوهش می‌تواند در سیاست‌گذاری آموزشی نیز به کار آید. گزارش‌های بین‌المللی تأکید دارند که حمایت از سرمایه‌گذاران خرد، در کنار تنظیم‌گری بازار، نیازمند اقدامات نظام‌مند برای ارتقای سواد مالی و مهارت‌های معاملاتی است (سازمان همکاری و توسعه اقتصادی، ۲۰۲۱). با شناسایی طرحواره‌ها و ویژگی‌های شخصیتی همراه با رفتار پرخطر، پژوهش حاضر می‌تواند محتوایی برای طراحی ماژول‌های آموزشی هدفمند‌شده بر گروه‌های آسیب‌پذیر فراهم آورد؛ ماژول‌هایی که از آموزش صرفاً فنی فراتر رفته و بر مدیریت روانشناختی تصمیم‌گیری متمرکز باشند. چنین رویکردی می‌تواند هزینه‌های آموزشی را با هدف‌گیری مخاطب درست کاهش و اثربخشی مداخلات را افزایش دهد.</w:t>
      </w:r>
    </w:p>
    <w:p>
      <w:pPr>
        <w:pStyle w:val="Heading3"/>
        <w:bidi w:val="1"/>
        <w:jc w:val="right"/>
      </w:pPr>
      <w:r>
        <w:rPr>
          <w:rFonts w:ascii="B Nazanin" w:hAnsi="B Nazanin" w:cs="B Nazanin" w:hint="cs"/>
          <w:b/>
          <w:bCs/>
          <w:sz w:val="26"/>
          <w:szCs w:val="26"/>
          <w:rtl/>
          <w:lang w:bidi="fa-IR"/>
        </w:rPr>
        <w:t xml:space="preserve">اهمیت اجتماعی (در سطح سرمایه‌گذاران خرد و خانواده‌ها)</w:t>
      </w:r>
    </w:p>
    <w:p>
      <w:pPr>
        <w:bidi w:val="1"/>
        <w:spacing w:lineRule="exact" w:line="580" w:after="0"/>
        <w:jc w:val="both"/>
      </w:pPr>
      <w:r>
        <w:rPr>
          <w:rFonts w:ascii="B Nazanin" w:hAnsi="B Nazanin" w:cs="B Nazanin" w:hint="cs"/>
          <w:sz w:val="24"/>
          <w:szCs w:val="24"/>
          <w:rtl/>
          <w:lang w:bidi="fa-IR"/>
        </w:rPr>
        <w:t xml:space="preserve">در نهایت و در سطح کلان‌ترین لایه تحلیلی، اهمیت اجتماعی و زمینه‌ای این پژوهش، هنگامی که در متن شرایط زمانی پرشتاب، تحولات تکنولوژیک و ساختارهای اجتماعی پیچیده کنونی مورد بازخوانی قرار می‌گیرد، اهمیتی دوچندان و استراتژیک می‌یابد. در برهه‌ای حساس از تاریخ اقتصادی جهان، پدیده رشد انفجاری، بی‌سابقه و توده‌وار تعداد سرمایه‌گذاران خرد در سطح جهانی، به ویژه با ظهور پلتفرم‌های دموکراتیک معاملاتی، میلیون‌ها فرد فاقد تجربه و آموزش تخصصی را به طور ناگهانی وارد عرصه‌ای کرده است که تا پیش از این قلمرو انحصاری نخبگان مالی بود.</w:t>
      </w:r>
    </w:p>
    <w:p>
      <w:pPr>
        <w:bidi w:val="1"/>
        <w:spacing w:lineRule="exact" w:line="580" w:after="0"/>
        <w:jc w:val="both"/>
      </w:pPr>
      <w:r>
        <w:rPr>
          <w:rFonts w:ascii="B Nazanin" w:hAnsi="B Nazanin" w:cs="B Nazanin" w:hint="cs"/>
          <w:sz w:val="24"/>
          <w:szCs w:val="24"/>
          <w:rtl/>
          <w:lang w:bidi="fa-IR"/>
        </w:rPr>
        <w:t xml:space="preserve">این موج عظیم مشارکت عمومی، اگرچه فرصت‌های جدیدی برای خلق ثروت ایجاد کرده، اما همزمان میلیون‌ها انسان را بدون آمادگی و تاب‌آوری روانشناختی لازم، در خط مقدم جبهه ریسک‌های مالی سنگین و نوسانات بازار قرار داده است. گزارش‌های معتبر نشان می‌دهند که این گروه از سرمایه‌گذاران نوظهور، به دلیل فقدان مکانیزم‌های حفاظتی نهادی و سواد مالی کافی، بیش از سایر گروه‌ها در معرض زیان‌های جبران‌ناپذیر، استرس‌های مزمن و پیامدهای مخرب اجتماعی ناشی از تصمیمات هیجانی هستند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علاوه بر این، مطالعات بسیار جدید و جریان‌ساز که بر روی ویژگی‌های رفتاری نسل‌های جدید سرمایه‌گذار به‌ویژه نسل‌های هزاره متمرکز شده‌اند، نشان می‌دهند که این گروه‌های جمعیتی که اکنون بخش غالب فعالان بازار را تشکیل می‌دهند، دارای الگوهای شخصیتی و روانشناختی منحصر به فرد و آسیب‌پذیری هستند. این نسل‌ها که در عصر دیجیتال و جریان بی‌وقفه اطلاعات رشد کرده‌اند، سطوح بالاتری از اضطراب صفتی و حساسیت هیجانی را نسبت به نسل‌های پیشین تجربه می‌کنند که مستقیماً بر کیفیت تصمیم‌گیری‌های مالی آن‌ها اثرگذار است.</w:t>
      </w:r>
    </w:p>
    <w:p>
      <w:pPr>
        <w:bidi w:val="1"/>
        <w:spacing w:lineRule="exact" w:line="580" w:after="0"/>
        <w:jc w:val="both"/>
      </w:pPr>
      <w:r>
        <w:rPr>
          <w:rFonts w:ascii="B Nazanin" w:hAnsi="B Nazanin" w:cs="B Nazanin" w:hint="cs"/>
          <w:sz w:val="24"/>
          <w:szCs w:val="24"/>
          <w:rtl/>
          <w:lang w:bidi="fa-IR"/>
        </w:rPr>
        <w:t xml:space="preserve">یافته‌های این پژوهش‌ها حاکی از آن است که اضطراب صفتی بالا در این معامله‌گران جوان، نه تنها منجر به تصمیمات عجولانه می‌شود، بلکه پدیده‌ای به نام «فلج تصمیم‌گیری»  را رقم می‌زند؛ وضعیتی که در آن فرد به دلیل ترس از اشتباه و کمال‌گرایی افراطی، توانایی اقدام موثر در بازار را از دست داده و در چرخه‌ای از استرس و ناکارآمدی گرفتار می‌شود. بنابراین، شناخت و مدیریت این عوامل روانشناختی، برای حفظ سلامت این نسل حیاتی است (ماهاتو و همکاران، ۲۰۲۵)</w:t>
      </w:r>
    </w:p>
    <w:p>
      <w:pPr>
        <w:bidi w:val="1"/>
        <w:spacing w:lineRule="exact" w:line="580" w:after="0"/>
        <w:jc w:val="both"/>
      </w:pPr>
      <w:r>
        <w:rPr>
          <w:rFonts w:ascii="B Nazanin" w:hAnsi="B Nazanin" w:cs="B Nazanin" w:hint="cs"/>
          <w:sz w:val="24"/>
          <w:szCs w:val="24"/>
          <w:rtl/>
          <w:lang w:bidi="fa-IR"/>
        </w:rPr>
        <w:t xml:space="preserve">از منظر آسیب‌شناسی اجتماعی نیز، ظهور مفاهیم نوینی مانند «اختلال معامله‌گری» در ادبیات علمی سال ۲۰۲۵، نشان‌دهنده عمق نفوذ این چالش‌ها در بطن جامعه است. پژوهشگران هشدار می‌دهند که معامله‌گری افراطی برای بسیاری از افراد، دیگر نه یک فعالیت اقتصادی، بلکه راهکاری ناسازگار برای تنظیم هیجانات منفی و فرار از اضطراب‌های زندگی روزمره است که می‌تواند به اعتیادهای رفتاری مخرب منجر شود (گرال-برونک و همکاران، ۲۰۲۵).</w:t>
      </w:r>
    </w:p>
    <w:p>
      <w:pPr>
        <w:bidi w:val="1"/>
        <w:spacing w:lineRule="exact" w:line="580" w:after="0"/>
        <w:jc w:val="both"/>
      </w:pPr>
      <w:r>
        <w:rPr>
          <w:rFonts w:ascii="B Nazanin" w:hAnsi="B Nazanin" w:cs="B Nazanin" w:hint="cs"/>
          <w:sz w:val="24"/>
          <w:szCs w:val="24"/>
          <w:rtl/>
          <w:lang w:bidi="fa-IR"/>
        </w:rPr>
        <w:t xml:space="preserve">نقش تقویت‌کننده رسانه‌های اجتماعی در این میان نباید نادیده گرفته شود. این رسانه‌ها با ایجاد جریان بی‌وقفه‌ای از محتوای مرتبط با سودهای دیگران، ترس از دست دادن فرصت را در سرمایه‌گذاران جوان تشدید کرده و آن‌ها را به تصمیمات هیجانی و بدون برنامه سوق می‌دهند (اور و شوماخر، ۲۰۲۳). از آنجا که شواهد موجود نشان می‌دهند نسل‌های جدید سرمایه‌گذار سطوح بالاتری از اضطراب را نسبت به نسل‌های پیشین تجربه می‌کنند (ماهاتو و همکاران، ۲۰۲۵)، تلاقی این دو عامل — اضطراب زمینه‌ای و محرک‌های رسانه‌ای — آسیب‌پذیری مضاعفی ایجاد می‌کند که طراحی مداخلات پیشگیرانه روانشناختی ویژه دوران دیجیتال را ضروری می‌سازد. شناخت دقیق این تلاقی، از جمله ابعاد کاربردی‌ای است که پژوهش حاضر می‌تواند به روشن شدن آن کمک کند.</w:t>
      </w:r>
    </w:p>
    <w:p>
      <w:pPr>
        <w:pStyle w:val="Heading3"/>
        <w:bidi w:val="1"/>
        <w:jc w:val="right"/>
      </w:pPr>
      <w:r>
        <w:rPr>
          <w:rFonts w:ascii="B Nazanin" w:hAnsi="B Nazanin" w:cs="B Nazanin" w:hint="cs"/>
          <w:b/>
          <w:bCs/>
          <w:sz w:val="26"/>
          <w:szCs w:val="26"/>
          <w:rtl/>
          <w:lang w:bidi="fa-IR"/>
        </w:rPr>
        <w:t xml:space="preserve">ضرورت زمینه‌ای (بافت بازارهای مالی ایران)</w:t>
      </w:r>
    </w:p>
    <w:p>
      <w:pPr>
        <w:bidi w:val="1"/>
        <w:spacing w:lineRule="exact" w:line="580" w:after="0"/>
        <w:jc w:val="both"/>
      </w:pPr>
      <w:r>
        <w:rPr>
          <w:rFonts w:ascii="B Nazanin" w:hAnsi="B Nazanin" w:cs="B Nazanin" w:hint="cs"/>
          <w:sz w:val="24"/>
          <w:szCs w:val="24"/>
          <w:rtl/>
          <w:lang w:bidi="fa-IR"/>
        </w:rPr>
        <w:t xml:space="preserve">اما هنگامی که کانون توجه به طور مشخص بر بافت اجتماعی و اقتصادی خاص ایران معطوف می‌شود، ضرورت اجرای چنین پژوهش‌های آسیب‌شناسانه‌ای، ابعادی به مراتب گسترده‌تر، حیاتی‌تر و فوری‌تر به خود می‌گیرد. جامعه ایران طی دهه‌های اخیر با پدیده‌ای مزمن و ساختاری به نام «فشارهای اقتصادی مداوم» و نرخ تورم دو رقمی روبرو بوده است؛ شرایطی که در آن، حفظ قدرت خرید و ارزش واقعی دارایی‌ها به اصلی‌ترین دغدغه خانوارها تبدیل شده است. این محیط پرفشار، انگیزه‌ای قدرتمند و اجتناب‌ناپذیر را برای طیف وسیعی از اقشار جامعه (حتی افراد با درآمد متوسط و پایین) ایجاد کرده است تا برای بقای مالی، به سمت بازارهای سرمایه متنوع و اغلب پرریسک (نظیر بورس، طلا، ارز و رمزارزها) هجوم آورند.</w:t>
      </w:r>
    </w:p>
    <w:p>
      <w:pPr>
        <w:bidi w:val="1"/>
        <w:spacing w:lineRule="exact" w:line="580" w:after="0"/>
        <w:jc w:val="both"/>
      </w:pPr>
      <w:r>
        <w:rPr>
          <w:rFonts w:ascii="B Nazanin" w:hAnsi="B Nazanin" w:cs="B Nazanin" w:hint="cs"/>
          <w:sz w:val="24"/>
          <w:szCs w:val="24"/>
          <w:rtl/>
          <w:lang w:bidi="fa-IR"/>
        </w:rPr>
        <w:t xml:space="preserve">در چنین شرایطی که سرمایه‌گذاری نه به عنوان یک انتخاب برای افزایش ثروت، بلکه به عنوان یک استراتژی بقا برای فرار از فقر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بنابراین، شناخت دقیق و علمی عوامل خطر روانشناختی و شخصیتی در میان جامعه خاص معامله‌گران ایرانی، نه تنها از نظر آکادمیک و نظری ارزشمند است، بلکه برای سیاست‌گذاران، نهادهای مالی و متخصصان سلامت روان، به منظور ارائه راهکارهای پیشگیرانه، آموزشی و درمانی »بومی‌سازی‌شده« و متناسب با فرهنگ و اقتصاد ایران، یک ضرورت اجتماعی انکارناپذیر و فوری محسوب می‌شود (ستایش و همکاران، ۱۳۹۹).</w:t>
      </w:r>
    </w:p>
    <w:p>
      <w:pPr>
        <w:bidi w:val="1"/>
        <w:spacing w:lineRule="exact" w:line="580" w:after="0"/>
        <w:jc w:val="both"/>
      </w:pPr>
      <w:r>
        <w:rPr>
          <w:rFonts w:ascii="B Nazanin" w:hAnsi="B Nazanin" w:cs="B Nazanin" w:hint="cs"/>
          <w:sz w:val="24"/>
          <w:szCs w:val="24"/>
          <w:rtl/>
          <w:lang w:bidi="fa-IR"/>
        </w:rPr>
        <w:t xml:space="preserve">علاوه بر فشارهای اقتصادی، مطالعات بومی انجام شده در حوزه روانشناسی شخصیت و طرحواره‌درمانی، نشان‌دهنده وجود الگوهای شناختی خاصی در میان جمعیت جوان و تحصیل‌کرده ایرانی است که می‌تواند زمینه‌ساز آسیب‌پذیری بیشتر در بازارهای مالی باشد. پژوهش‌های معتبر داخلی حاکی از آن است که شیوع طرحواره‌های ناسازگار اولیه، به‌ویژه در حوزه‌های حساسیت‌زایی نظیر «بریدگی و طرد» و «اضطراب اجتماعی»، در میان دانشجویان و قشر جوان ایرانی قابل توجه است. این یافته‌ها هشدار می‌دهند که ورود این گروه جمعیتی به بازار سرمایه، بدون حل‌وفصل تعارضات شناختی و هیجانی زیربنایی، می‌تواند به انتقال مستقیم اضطراب‌های بین‌فردی به محیط تصمیم‌گیری مالی و تشدید رفتارهای اجتنابی یا جبرانی در معامله‌گری منجر شود (نوری و هاشمیان، ۱۳۹۶)</w:t>
      </w:r>
    </w:p>
    <w:p>
      <w:pPr>
        <w:bidi w:val="1"/>
        <w:spacing w:lineRule="exact" w:line="580" w:after="0"/>
        <w:jc w:val="both"/>
      </w:pPr>
      <w:r>
        <w:rPr>
          <w:rFonts w:ascii="B Nazanin" w:hAnsi="B Nazanin" w:cs="B Nazanin" w:hint="cs"/>
          <w:sz w:val="24"/>
          <w:szCs w:val="24"/>
          <w:rtl/>
          <w:lang w:bidi="fa-IR"/>
        </w:rPr>
        <w:t xml:space="preserve">همچنین، شواهد تجربی به دست آمده از مطالعات میدانی بر روی رفتار سرمایه‌گذاران حقیقی در بورس اوراق بهادار تهران، مؤید این واقعیت است که در بازار ایران، متغیرهای روانشناختی و شخصیتی سهم بسیار تعیین‌کننده‌تری نسبت به متغیرهای جمعیت‌شناختی (مانند سن یا جنسیت) در تبیین تفاوت‌های فردی در ریسک‌پذیری ایفا می‌کنند. به عبارت دیگر، تحمل ریسک مالی و تمایل به رفتارهای پرخطر در میان معامله‌گران ایرانی، بیش از آنکه تابع منطق اقتصادی باشد، تحت تأثیر مستقیم ویژگی‌های شخصیتی و هیجانی آن‌ها قرار دارد که ضرورت مداخله‌های روانشناختی را دوچندان می‌سازد (طالبی و همکاران، ۱۳۹۸)</w:t>
      </w:r>
    </w:p>
    <w:p>
      <w:pPr>
        <w:bidi w:val="1"/>
        <w:spacing w:lineRule="exact" w:line="580" w:after="0"/>
        <w:jc w:val="both"/>
      </w:pPr>
      <w:r>
        <w:rPr>
          <w:rFonts w:ascii="B Nazanin" w:hAnsi="B Nazanin" w:cs="B Nazanin" w:hint="cs"/>
          <w:sz w:val="24"/>
          <w:szCs w:val="24"/>
          <w:rtl/>
          <w:lang w:bidi="fa-IR"/>
        </w:rPr>
        <w:t xml:space="preserve">از سوی دیگر، بافت خاص فرهنگی و اجتماعی حاکم بر بازارهای مالی ایران، بستر مساعدی را برای بروز پدیده «رفتار گله‌ای» و پیروی کورکورانه از هیجانات جمعی فراهم آورده است. مطالعات میدانی بر روی سرمایه‌گذاران حقیقی بورس اوراق بهادار تهران، به وضوح نشان داده‌اند که در شرایط نوسانی، ویژگی‌های شخصیتی زمینه‌ای نظیر روان‌رنجورخویی و تمایل به ریسک، محرک‌های اصلی بروز رفتار توده‌وار هستند که این امر می‌تواند منجر به شکل‌گیری حباب‌های قیمتی کاذب و سقوط‌های ناگهانی شود. در این میان، نقش منابع اطلاعاتی غیررسمی (مانند کانال‌های تلگرامی و شایعات بازار) در جهت‌دهی به تصمیمات معامله‌گران مضطرب ایرانی، بسیار پررنگ‌تر از اخبار و تحلیل‌های رسمی برآورد شده است؛ واقعیتی که ضرورت مداخله‌های آموزشی مبتنی بر سواد رسانه‌ای و مدیریت روانشناختی شایعات را برجسته می‌سازد (ستایش و همکاران، ۱۳۹۹؛ بهدیو و همکاران، ۱۳۹۸)</w:t>
      </w:r>
    </w:p>
    <w:p>
      <w:pPr>
        <w:bidi w:val="1"/>
        <w:spacing w:lineRule="exact" w:line="580" w:after="0"/>
        <w:jc w:val="both"/>
      </w:pPr>
      <w:r>
        <w:rPr>
          <w:rFonts w:ascii="B Nazanin" w:hAnsi="B Nazanin" w:cs="B Nazanin" w:hint="cs"/>
          <w:sz w:val="24"/>
          <w:szCs w:val="24"/>
          <w:rtl/>
          <w:lang w:bidi="fa-IR"/>
        </w:rPr>
        <w:t xml:space="preserve">نکته دیگر در تبیین ضرورت این پژوهش در بافت ایران، ماهیت موجی ورود به بازارهای سرمایه است. در سال‌های اخیر، همزمان با هر تشدید فشار تورمی و نوسان ارزی، موج تازه‌ای از سرمایه‌گذاران خرد وارد بازار سرمایه شده‌اند که بسیاری از آن‌ها بدون آموزش تخصصی و آمادگی روانشناختی، با نوسانات بازار مواجه شده‌اند (بهدیو و همکاران، ۱۳۹۸). بار هیجانی برخاسته از این فرآیند، وقتی با رواج منابع اطلاعاتی غیررسمی و شایعات همراه می‌شود، به تشدید رفتار توده‌وار و شکل‌گیری حباب‌های قیمتی کاذب می‌انجامد (ستایش و همکاران، ۱۳۹۹). تداوم این چرخه بدون شناسایی علمی عوامل روانشناختی زمینه‌ساز، به معنای تکرار زیان‌های مالی گسترده است؛ از همین رو، پژوهش حاضر ضرورتی به‌موقع و فوری در بافت ایرانی محسوب می‌شود.</w:t>
      </w:r>
    </w:p>
    <w:p>
      <w:pPr>
        <w:pStyle w:val="Heading3"/>
        <w:bidi w:val="1"/>
        <w:jc w:val="right"/>
      </w:pPr>
      <w:r>
        <w:rPr>
          <w:rFonts w:ascii="B Nazanin" w:hAnsi="B Nazanin" w:cs="B Nazanin" w:hint="cs"/>
          <w:b/>
          <w:bCs/>
          <w:sz w:val="26"/>
          <w:szCs w:val="26"/>
          <w:rtl/>
          <w:lang w:bidi="fa-IR"/>
        </w:rPr>
        <w:t xml:space="preserve">جمع‌بندی اهمیت و ضرورت پژوهش (پر کردن شکاف تبیینی)</w:t>
      </w:r>
    </w:p>
    <w:p>
      <w:pPr>
        <w:bidi w:val="1"/>
        <w:spacing w:lineRule="exact" w:line="580" w:after="0"/>
        <w:jc w:val="both"/>
      </w:pPr>
      <w:r>
        <w:rPr>
          <w:rFonts w:ascii="B Nazanin" w:hAnsi="B Nazanin" w:cs="B Nazanin" w:hint="cs"/>
          <w:sz w:val="24"/>
          <w:szCs w:val="24"/>
          <w:rtl/>
          <w:lang w:bidi="fa-IR"/>
        </w:rPr>
        <w:t xml:space="preserve">در جمع‌بندی نهایی و به باور و استدلال پژوهشگر، این مطالعه پتانسیل آن را دارد که »یک نقشه راه روانشناختی« چندلایه و فرآیندی ترسیم کند؛ نقشه‌ای که مسیر اثرگذاری پیچیده و غیرمستقیم یک ویژگی شخصیتی بنیادین و دیرپا نظیر اضطراب صفتی را بر شکل‌گیری و بروز رفتارهای مالی عینی و پرخطر، از مجرای یک فرآیند شناختی واسطه‌ای و تعیین‌کننده به نام طرحواره‌های ناسازگار، تبیین و شفاف‌سازی نماید. این رویکرد تحلیلی از سطح توصیف همبستگی‌های ساده و ایستا فراتر می‌رود و دینامیک درونی و پویای تعامل میان شخصیت، شناخت و رفتار را در بافت واقعی و چالش‌برانگیز تصمیم‌گیری‌های مالی آشکار می‌سازد. دستاورد چنین درک عمیق و چندبعدی، هم برای جامعه علمی چشمگیر خواهد بود — از طریق یکپارچه‌سازی نظریه‌های گسسته روانشناسی بالینی و اقتصاد رفتاری — و هم برای جامعه عملگرا، با فراهم کردن ابزارهای عملی، پروتکل‌های مداخله‌ای و راهکارهای پیشگیرانه. این پژوهش کانون توجه را از پرسش توصیفی "چه چیزی رخ می‌دهد؟" به پرسش تبیینی "چگونه و چرا رخ می‌دهد؟" منتقل می‌کند؛ گامی که به حل معمای رفتار انسان در شرایط فشار مالی کمک می‌کند و نشان می‌دهد چرا افراد با وجود دانش اقتصادی، در لحظات بحرانی تصمیماتی می‌گیرند که به زیان خودشان تمام می‌شود و چگونه می‌توان با مداخلات هدفمند، به آن‌ها برای اتخاذ تصمیمات عقلانی‌تر و سالم‌تر یاری رساند.</w:t>
      </w:r>
    </w:p>
    <w:p>
      <w:pPr>
        <w:bidi w:val="1"/>
        <w:spacing w:lineRule="exact" w:line="580" w:after="0"/>
        <w:jc w:val="both"/>
      </w:pPr>
      <w:r>
        <w:rPr>
          <w:rFonts w:ascii="B Nazanin" w:hAnsi="B Nazanin" w:cs="B Nazanin" w:hint="cs"/>
          <w:sz w:val="24"/>
          <w:szCs w:val="24"/>
          <w:rtl/>
          <w:lang w:bidi="fa-IR"/>
        </w:rPr>
        <w:t xml:space="preserve">مجموع ملاحظات نظری، کاربردی، اجتماعی و زمینه‌ای مطرح‌شده در این بخش، ضرورت اجرای پژوهش حاضر را از زوایای مکمل یکدیگر نشان می‌دهد. از منظر نظری، آزمون مدل میانجی‌گری پیشنهادی می‌تواند شکاف تبیینی موجود در ادبیات را پر کند و به درک چگونگی تبدیل یک ویژگی شخصیتی پایدار به رفتار مالی عینی بینجامد؛ از منظر کاربردی و اجتماعی نیز، یافته‌های آن می‌تواند پایه‌ای شواهد‌محور برای طراحی ابزارهای غربالگری، پروتکل‌های درمانی کوتاه‌مدت و ماژول‌های آموزشی روانشناسی معامله‌گری فراهم آورد؛ و در بافت بازارهای مالی ایران، این ضرورت به دلیل فشارهای تورمی مزمن و ورود موجی سرمایه‌گذاران فاقد آمادگی، فوریتی دوچندان می‌یابد. بر همین اساس، پژوهش حاضر با تمرکز بر نقش میانجی‌گر طرحواره‌های ناسازگار اولیه، در صدد است هم به پیشرفت دانش در این حوزه کمک کند و هم پاسخی عملی به نیازهای جامعه معامله‌گران ارائه دهد.</w:t>
      </w:r>
    </w:p>
    <w:p>
      <w:pPr>
        <w:pStyle w:val="Heading2"/>
        <w:bidi w:val="1"/>
        <w:jc w:val="right"/>
      </w:pPr>
      <w:r>
        <w:rPr>
          <w:rFonts w:ascii="B Nazanin" w:hAnsi="B Nazanin" w:cs="B Nazanin" w:hint="cs"/>
          <w:b/>
          <w:bCs/>
          <w:sz w:val="28"/>
          <w:szCs w:val="28"/>
          <w:rtl/>
          <w:lang w:bidi="fa-IR"/>
        </w:rPr>
        <w:t xml:space="preserve">۱-۴. اهداف پژوهش</w:t>
      </w:r>
    </w:p>
    <w:p>
      <w:pPr>
        <w:bidi w:val="1"/>
        <w:spacing w:lineRule="exact" w:line="580" w:after="0"/>
        <w:jc w:val="both"/>
      </w:pPr>
      <w:r>
        <w:rPr>
          <w:rFonts w:ascii="B Nazanin" w:hAnsi="B Nazanin" w:cs="B Nazanin" w:hint="cs"/>
          <w:sz w:val="24"/>
          <w:szCs w:val="24"/>
          <w:rtl/>
          <w:lang w:bidi="fa-IR"/>
        </w:rPr>
        <w:t xml:space="preserve">اهداف پژوهش حاضر در راستای مدل مفهومی آن تدوین شده است؛ بر این اساس، هدف اصلی به نقش میانجی‌گر طرحواره‌های ناسازگار اولیه در رابطه میان اضطراب صفتی و رفتارهای مالی پرخطر معطوف است و هر یک از اهداف فرعی نیز یکی از روابط دوجانبه تشکیل‌دهنده مسیرهای این مدل را هدف می‌گیرند.</w:t>
      </w:r>
    </w:p>
    <w:p>
      <w:pPr>
        <w:pStyle w:val="Heading3"/>
        <w:bidi w:val="1"/>
        <w:jc w:val="right"/>
      </w:pPr>
      <w:r>
        <w:rPr>
          <w:rFonts w:ascii="B Nazanin" w:hAnsi="B Nazanin" w:cs="B Nazanin" w:hint="cs"/>
          <w:b/>
          <w:bCs/>
          <w:sz w:val="26"/>
          <w:szCs w:val="26"/>
          <w:rtl/>
          <w:lang w:bidi="fa-IR"/>
        </w:rPr>
        <w:t xml:space="preserve">۱-۴-۱. هدف اصلی</w:t>
      </w:r>
    </w:p>
    <w:p>
      <w:pPr>
        <w:bidi w:val="1"/>
        <w:spacing w:lineRule="exact" w:line="580" w:after="0"/>
        <w:jc w:val="both"/>
      </w:pPr>
      <w:r>
        <w:rPr>
          <w:rFonts w:ascii="B Nazanin" w:hAnsi="B Nazanin" w:cs="B Nazanin" w:hint="cs"/>
          <w:sz w:val="24"/>
          <w:szCs w:val="24"/>
          <w:rtl/>
          <w:lang w:bidi="fa-IR"/>
        </w:rPr>
        <w:t xml:space="preserve">تعیین نقش میانجی‌گر طرحواره‌های ناسازگار اولیه در رابطه بین اضطراب صفتی و رفتارهای مالی پرخطر.</w:t>
      </w:r>
    </w:p>
    <w:p>
      <w:pPr>
        <w:pStyle w:val="Heading3"/>
        <w:bidi w:val="1"/>
        <w:jc w:val="right"/>
      </w:pPr>
      <w:r>
        <w:rPr>
          <w:rFonts w:ascii="B Nazanin" w:hAnsi="B Nazanin" w:cs="B Nazanin" w:hint="cs"/>
          <w:b/>
          <w:bCs/>
          <w:sz w:val="26"/>
          <w:szCs w:val="26"/>
          <w:rtl/>
          <w:lang w:bidi="fa-IR"/>
        </w:rPr>
        <w:t xml:space="preserve">۱-۴-۲. اهداف فرعی</w:t>
      </w:r>
    </w:p>
    <w:p>
      <w:pPr>
        <w:bidi w:val="1"/>
        <w:spacing w:lineRule="exact" w:line="580" w:after="0"/>
        <w:jc w:val="both"/>
      </w:pPr>
      <w:r>
        <w:rPr>
          <w:rFonts w:ascii="B Nazanin" w:hAnsi="B Nazanin" w:cs="B Nazanin" w:hint="cs"/>
          <w:sz w:val="24"/>
          <w:szCs w:val="24"/>
          <w:rtl/>
          <w:lang w:bidi="fa-IR"/>
        </w:rPr>
        <w:t xml:space="preserve">۱. تعیین رابطه بین اضطراب صفتی و رفتارهای مالی پرخطر.</w:t>
      </w:r>
    </w:p>
    <w:p>
      <w:pPr>
        <w:bidi w:val="1"/>
        <w:spacing w:lineRule="exact" w:line="580" w:after="0"/>
        <w:jc w:val="both"/>
      </w:pPr>
      <w:r>
        <w:rPr>
          <w:rFonts w:ascii="B Nazanin" w:hAnsi="B Nazanin" w:cs="B Nazanin" w:hint="cs"/>
          <w:sz w:val="24"/>
          <w:szCs w:val="24"/>
          <w:rtl/>
          <w:lang w:bidi="fa-IR"/>
        </w:rPr>
        <w:t xml:space="preserve">۲. تعیین رابطه بین اضطراب صفتی و طرحواره‌های ناسازگار اولیه.</w:t>
      </w:r>
    </w:p>
    <w:p>
      <w:pPr>
        <w:bidi w:val="1"/>
        <w:spacing w:lineRule="exact" w:line="580" w:after="0"/>
        <w:jc w:val="both"/>
      </w:pPr>
      <w:r>
        <w:rPr>
          <w:rFonts w:ascii="B Nazanin" w:hAnsi="B Nazanin" w:cs="B Nazanin" w:hint="cs"/>
          <w:sz w:val="24"/>
          <w:szCs w:val="24"/>
          <w:rtl/>
          <w:lang w:bidi="fa-IR"/>
        </w:rPr>
        <w:t xml:space="preserve">۳. تعیین رابطه بین طرحواره‌های ناسازگار اولیه و رفتارهای مالی پرخطر.</w:t>
      </w:r>
    </w:p>
    <w:p>
      <w:pPr>
        <w:pStyle w:val="Heading2"/>
        <w:bidi w:val="1"/>
        <w:jc w:val="right"/>
      </w:pPr>
      <w:r>
        <w:rPr>
          <w:rFonts w:ascii="B Nazanin" w:hAnsi="B Nazanin" w:cs="B Nazanin" w:hint="cs"/>
          <w:b/>
          <w:bCs/>
          <w:sz w:val="28"/>
          <w:szCs w:val="28"/>
          <w:rtl/>
          <w:lang w:bidi="fa-IR"/>
        </w:rPr>
        <w:t xml:space="preserve">۱-۵. فرضیه‌های پژوهش</w:t>
      </w:r>
    </w:p>
    <w:p>
      <w:pPr>
        <w:bidi w:val="1"/>
        <w:spacing w:lineRule="exact" w:line="580" w:after="0"/>
        <w:jc w:val="both"/>
      </w:pPr>
      <w:r>
        <w:rPr>
          <w:rFonts w:ascii="B Nazanin" w:hAnsi="B Nazanin" w:cs="B Nazanin" w:hint="cs"/>
          <w:sz w:val="24"/>
          <w:szCs w:val="24"/>
          <w:rtl/>
          <w:lang w:bidi="fa-IR"/>
        </w:rPr>
        <w:t xml:space="preserve">فرضیه‌های پژوهش بر پایه مدل میانجی‌گری سه‌متغیره پژوهش و در امتداد منطق مدل استعداد-استرس (زاکرمن، ۱۹۹۹) تدوین شده‌اند. در این مدل، اضطراب صفتی نقطه آغاز، طرحواره‌های ناسازگار اولیه مجرای انتقال اثر اضطراب به رفتار، و رفتارهای مالی پرخطر پیامد نهایی فرآیند هستند. بر همین اساس، فرضیه نخست نقش میانجی‌گر طرحواره‌ها را هدف می‌گیرد و سه فرضیه پس از آن، روابط دوجانبه تشکیل‌دهنده مسیرهای مدل را می‌سنجند.</w:t>
      </w:r>
    </w:p>
    <w:p>
      <w:pPr>
        <w:bidi w:val="1"/>
        <w:spacing w:lineRule="exact" w:line="580" w:after="0"/>
        <w:jc w:val="both"/>
      </w:pPr>
      <w:r>
        <w:rPr>
          <w:rFonts w:ascii="B Nazanin" w:hAnsi="B Nazanin" w:cs="B Nazanin" w:hint="cs"/>
          <w:sz w:val="24"/>
          <w:szCs w:val="24"/>
          <w:rtl/>
          <w:lang w:bidi="fa-IR"/>
        </w:rPr>
        <w:t xml:space="preserve">۱. طرحواره‌های ناسازگار اولیه در رابطه بین اضطراب صفتی و رفتارهای مالی پرخطر، نقش میانجی‌گر معناداری دارند.</w:t>
      </w:r>
    </w:p>
    <w:p>
      <w:pPr>
        <w:bidi w:val="1"/>
        <w:spacing w:lineRule="exact" w:line="580" w:after="0"/>
        <w:jc w:val="both"/>
      </w:pPr>
      <w:r>
        <w:rPr>
          <w:rFonts w:ascii="B Nazanin" w:hAnsi="B Nazanin" w:cs="B Nazanin" w:hint="cs"/>
          <w:sz w:val="24"/>
          <w:szCs w:val="24"/>
          <w:rtl/>
          <w:lang w:bidi="fa-IR"/>
        </w:rPr>
        <w:t xml:space="preserve">۲. بین اضطراب صفتی و رفتارهای مالی پرخطر، رابطه مثبت و معناداری وجود دارد.</w:t>
      </w:r>
    </w:p>
    <w:p>
      <w:pPr>
        <w:bidi w:val="1"/>
        <w:spacing w:lineRule="exact" w:line="580" w:after="0"/>
        <w:jc w:val="both"/>
      </w:pPr>
      <w:r>
        <w:rPr>
          <w:rFonts w:ascii="B Nazanin" w:hAnsi="B Nazanin" w:cs="B Nazanin" w:hint="cs"/>
          <w:sz w:val="24"/>
          <w:szCs w:val="24"/>
          <w:rtl/>
          <w:lang w:bidi="fa-IR"/>
        </w:rPr>
        <w:t xml:space="preserve">۳. بین اضطراب صفتی و طرحواره‌های ناسازگار اولیه، رابطه مثبت و معناداری وجود دارد.</w:t>
      </w:r>
    </w:p>
    <w:p>
      <w:pPr>
        <w:bidi w:val="1"/>
        <w:spacing w:lineRule="exact" w:line="580" w:after="0"/>
        <w:jc w:val="both"/>
      </w:pPr>
      <w:r>
        <w:rPr>
          <w:rFonts w:ascii="B Nazanin" w:hAnsi="B Nazanin" w:cs="B Nazanin" w:hint="cs"/>
          <w:sz w:val="24"/>
          <w:szCs w:val="24"/>
          <w:rtl/>
          <w:lang w:bidi="fa-IR"/>
        </w:rPr>
        <w:t xml:space="preserve">۴. بین طرحواره‌های ناسازگار اولیه و رفتارهای مالی پرخطر، رابطه مثبت و معناداری وجود دارد.</w:t>
      </w:r>
    </w:p>
    <w:p>
      <w:pPr>
        <w:pStyle w:val="Heading2"/>
        <w:bidi w:val="1"/>
        <w:jc w:val="right"/>
      </w:pPr>
      <w:r>
        <w:rPr>
          <w:rFonts w:ascii="B Nazanin" w:hAnsi="B Nazanin" w:cs="B Nazanin" w:hint="cs"/>
          <w:b/>
          <w:bCs/>
          <w:sz w:val="28"/>
          <w:szCs w:val="28"/>
          <w:rtl/>
          <w:lang w:bidi="fa-IR"/>
        </w:rPr>
        <w:t xml:space="preserve">۱-۶. تعاریف مفهومی و عملیاتی متغیرهای پژوهش</w:t>
      </w:r>
    </w:p>
    <w:p>
      <w:pPr>
        <w:pStyle w:val="Heading3"/>
        <w:bidi w:val="1"/>
        <w:jc w:val="right"/>
      </w:pPr>
      <w:r>
        <w:rPr>
          <w:rFonts w:ascii="B Nazanin" w:hAnsi="B Nazanin" w:cs="B Nazanin" w:hint="cs"/>
          <w:b/>
          <w:bCs/>
          <w:sz w:val="26"/>
          <w:szCs w:val="26"/>
          <w:rtl/>
          <w:lang w:bidi="fa-IR"/>
        </w:rPr>
        <w:t xml:space="preserve">۱-۶-۱. اضطراب صفتی</w:t>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اضطراب صفتی یک ویژگی شخصیتی پایدار است که تمایل فرد به درک موقعیت‌های مبهم یا چالش‌برانگیز به عنوان تهدیدآمیز و پاسخ به آن‌ها با اضطراب، تنش، نگرانی و برانگیختگی فیزیولوژیک شدیدتر را نشان می‌دهد. بر اساس نظریه حالت-صفت اسپیلبرگر، اضطراب صفتی به یک سیستم هشدار روانیِ بیش‌فعال اشاره دارد که در طول زمان پایدار است و پایه‌ی پاسخ‌های اضطرابی (حالت اضطراب) فرد در موقعیت‌های مختلف را تشکیل می‌دهد (اسپیلبرگر، ۱۹۸۳).</w:t>
      </w:r>
    </w:p>
    <w:p>
      <w:pPr>
        <w:bidi w:val="1"/>
        <w:spacing w:lineRule="exact" w:line="580" w:after="0"/>
        <w:jc w:val="both"/>
      </w:pPr>
      <w:r>
        <w:rPr>
          <w:rFonts w:ascii="B Nazanin" w:hAnsi="B Nazanin" w:cs="B Nazanin" w:hint="cs"/>
          <w:sz w:val="24"/>
          <w:szCs w:val="24"/>
          <w:rtl/>
          <w:lang w:bidi="fa-IR"/>
        </w:rPr>
        <w:t xml:space="preserve">اضطراب صفتی در ادبیات روانشناسی بازارهای مالی از توجه ویژه‌ای برخوردار شده است؛ زیرا ویژگی‌ای پایدار و قابل سنجش است که مستقیماً با نحوه پردازش عدم قطعیت و تهدید توسط فرد ارتباط دارد. شواهد نشان می‌دهند که افراد مضطرب به طور کلی به اجتناب از ریسک گرایش دارند و حتی در شرایطی که ارزش مورد انتظار گزینه‌ها یکسان است، گزینه‌های کم‌خطرتر را برمی‌گزینند؛ گرایشی که در رفتار مالی واقعی می‌تواند به شکل سبدهای محافظه‌کارانه یا اجتناب از تصمیم‌گیری نمود یابد (مانر و اشمیت</w:t>
      </w:r>
      <w:r>
        <w:rPr>
          <w:rFonts w:ascii="B Nazanin" w:hAnsi="B Nazanin" w:cs="B Nazanin" w:hint="cs"/>
          <w:vertAlign w:val="superscript"/>
          <w:rtl/>
        </w:rPr>
        <w:footnoteReference w:id="71"/>
      </w:r>
      <w:r>
        <w:rPr>
          <w:rFonts w:ascii="B Nazanin" w:hAnsi="B Nazanin" w:cs="B Nazanin" w:hint="cs"/>
          <w:sz w:val="24"/>
          <w:szCs w:val="24"/>
          <w:rtl/>
          <w:lang w:bidi="fa-IR"/>
        </w:rPr>
        <w:t xml:space="preserve">، ۲۰۰۶). با این حال، در شرایط فشار بازار، همین اجتناب می‌تواند به شکلی ناگهانی به واکنش‌های تکانشی برای فرار از تنش تبدیل شود. بنابراین، اضطراب صفتی را می‌توان یکی از متغیرهای فردی کلیدی در تبیین تنوع رفتار معامله‌گران دانست.</w:t>
      </w:r>
    </w:p>
    <w:p>
      <w:pPr>
        <w:bidi w:val="1"/>
        <w:spacing w:lineRule="exact" w:line="580" w:after="0"/>
        <w:jc w:val="both"/>
      </w:pPr>
      <w:r>
        <w:rPr>
          <w:rFonts w:ascii="B Nazanin" w:hAnsi="B Nazanin" w:cs="B Nazanin" w:hint="cs"/>
          <w:sz w:val="24"/>
          <w:szCs w:val="24"/>
          <w:rtl/>
          <w:lang w:bidi="fa-IR"/>
        </w:rPr>
        <w:t xml:space="preserve">نکته مهم در فهم مفهومی این سازه، تمایز میان دو سطح «حالت» و «صفت» در نظریه اسپیلبرگر است. اضطراب حالتی به واکنش هیجانی گذرا و وابسته به موقعیت اطلاق می‌شود که با تنش و برانگیختگی فیزیولوژیک همراه است و با رفع موقعیت فروکش می‌کند؛ اما اضطراب صفتی، تفاوت فردی پایداری در فراوانی و شدت تجربه این حالت‌هاست و تعیین می‌کند که فرد با چه بسامدی در برابر عوامل استرس‌زا، واکنش اضطرابی نشان دهد (اسپیلبرگر، ۱۹۸۳). بر اساس این دیدگاه، معامله‌گر با اضطراب صفتی بالا، در مواجهه با نوسانات بازار، اپیزودهای مکررتر و شدیدتری از اضطراب حالتی را نسبت به دیگران تجربه می‌کند و در عمل، به طور مداوم با سطح پایه‌ای بالاتری از تنش روانی وارد فرآیند تصمیم‌گیری می‌شود؛ وضعیتی که تمام کارکردهای تحلیلی و رفتاری او را تحت تأثیر قرار می‌دهد.</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پژوهش حاضر، منظور از اضطراب صفتی، نمره‌ای است که آزمودنی از پاسخگویی به ۲۰ گویه بخش دوم فرم پرسشنامه استاندارد اضطراب حالت-صفت اسپیلبرگر</w:t>
      </w:r>
      <w:r>
        <w:rPr>
          <w:rFonts w:ascii="B Nazanin" w:hAnsi="B Nazanin" w:cs="B Nazanin" w:hint="cs"/>
          <w:vertAlign w:val="superscript"/>
          <w:rtl/>
        </w:rPr>
        <w:footnoteReference w:id="14"/>
      </w:r>
      <w:r>
        <w:rPr>
          <w:rFonts w:ascii="B Nazanin" w:hAnsi="B Nazanin" w:cs="B Nazanin" w:hint="cs"/>
          <w:sz w:val="24"/>
          <w:szCs w:val="24"/>
          <w:rtl/>
          <w:lang w:bidi="fa-IR"/>
        </w:rPr>
        <w:t xml:space="preserve"> کسب می‌کند. نمرات بالاتر در این مقیاس، نشان‌دهنده سطح بالاتر اضطراب صفتی است. نمره‌گذاری گویه‌های این فرم بر اساس مقیاس ۴ درجه‌ای لیکرت (از ۱=تقریباً هرگز تا ۴=تقریباً همیشه) انجام می‌شود و دامنه نمره کل بین ۲۰ تا ۸۰ است. پایایی درونی این ابزار در مطالعات متعدد با ضرایب آلفای کرونباخ بالا تأیید شده است (اسپیلبرگر، ۱۹۸۳) و در ایران نیز پژوهش بشارت و همکاران (۱۳۹۵) ساختار عاملی آن را در نمونه‌های ایرانی مجدداً تأیید کرده است؛ پایایی نسخه فارسی این ابزار در پژوهش بشارت و همکاران (۱۳۹۵) با آلفای کرونباخ ۰٫۸۹ گزارش شده است.</w:t>
      </w:r>
    </w:p>
    <w:p>
      <w:pPr>
        <w:pStyle w:val="Heading3"/>
        <w:bidi w:val="1"/>
        <w:jc w:val="right"/>
      </w:pPr>
      <w:r>
        <w:rPr>
          <w:rFonts w:ascii="B Nazanin" w:hAnsi="B Nazanin" w:cs="B Nazanin" w:hint="cs"/>
          <w:b/>
          <w:bCs/>
          <w:sz w:val="26"/>
          <w:szCs w:val="26"/>
          <w:rtl/>
          <w:lang w:bidi="fa-IR"/>
        </w:rPr>
        <w:t xml:space="preserve">۱-۶-۲. طرحواره‌های ناسازگار اولیه</w:t>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طرحواره‌های ناسازگار اولیه، الگوهای هیجانی و شناختی عمیق، فراگیر و خود-آسیب‌رسانی هستند که در دوران کودکی یا نوجوانی شکل گرفته و در سراسر زندگی فرد تداوم می‌یابند. این الگوها که از خاطرات، هیجانات، شناخت‌واره‌ها و احساسات بدنی تشکیل شده‌اند، باورهای بنیادین و ناکارآمدی درباره خود و رابطه با دیگران هستند که از ناکامی در ارضای نیازهای هیجانی اساسی (مانند امنیت و دلبستگی) نشأت می‌گیرند (یانگ، کلوسکو و ویشار</w:t>
      </w:r>
      <w:r>
        <w:rPr>
          <w:rFonts w:ascii="B Nazanin" w:hAnsi="B Nazanin" w:cs="B Nazanin" w:hint="cs"/>
          <w:vertAlign w:val="superscript"/>
          <w:rtl/>
        </w:rPr>
        <w:footnoteReference w:id="72"/>
      </w:r>
      <w:r>
        <w:rPr>
          <w:rFonts w:ascii="B Nazanin" w:hAnsi="B Nazanin" w:cs="B Nazanin" w:hint="cs"/>
          <w:sz w:val="24"/>
          <w:szCs w:val="24"/>
          <w:rtl/>
          <w:lang w:bidi="fa-IR"/>
        </w:rPr>
        <w:t xml:space="preserve">، ۲۰۰۳).</w:t>
      </w:r>
    </w:p>
    <w:p>
      <w:pPr>
        <w:bidi w:val="1"/>
        <w:spacing w:lineRule="exact" w:line="580" w:after="0"/>
        <w:jc w:val="both"/>
      </w:pPr>
      <w:r>
        <w:rPr>
          <w:rFonts w:ascii="B Nazanin" w:hAnsi="B Nazanin" w:cs="B Nazanin" w:hint="cs"/>
          <w:sz w:val="24"/>
          <w:szCs w:val="24"/>
          <w:rtl/>
          <w:lang w:bidi="fa-IR"/>
        </w:rPr>
        <w:t xml:space="preserve">طرحواره‌های ناسازگار اولیه در حوزه‌هایی سازمان می‌یابند که هسته مشترک آن‌ها ناکامی در ارضای نیازهای هیجانی بنیادین است؛ نیاز هایی مانند امنیت، دلبستگی، خودمختاری، پذیرش و محبت که هرگاه در محیط خانواده به طور مزمن برآورده نشوند، زمینه‌ساز شکل‌گیری طرحواره‌ها در حوزه‌هایی نظیر «بریدگی و طرد» و «محدودیت‌های مختل» می‌شوند (یانگ و همکاران، ۲۰۰۳). این طرحواره‌ها در بیشتر افراد، در حالت خفته باقی می‌مانند و در مواجهه با موقعیت‌های فعال‌ساز — به ویژه موقعیت‌های استرس‌زا و پرفشار — فعال می‌شوند؛ فعال‌سازی‌ای که ادراک، تفسیر و حافظه فرد از موقعیت را رنگ‌آمیزی کرده و رفتار او را جهت می‌دهد (آرنتز و جیکوب، ۲۰۱۲). در بافت معامله‌گری، یک زیان مالی یا نوسان شدید می‌تواند نقش چنین فعال‌سازی را ایفا کند و به جای واکنش متوازن، واکنش‌های هیجانی و رفتاری طرحواره‌محور را برانگیزد.</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این پژوهش، منظور از طرحواره‌های ناسازگار اولیه، نمره‌ای است که آزمودنی از پرسشنامه طرحواره یانگ-فرم کوتاه</w:t>
      </w:r>
      <w:r>
        <w:rPr>
          <w:rFonts w:ascii="B Nazanin" w:hAnsi="B Nazanin" w:cs="B Nazanin" w:hint="cs"/>
          <w:vertAlign w:val="superscript"/>
          <w:rtl/>
        </w:rPr>
        <w:footnoteReference w:id="15"/>
      </w:r>
      <w:r>
        <w:rPr>
          <w:rFonts w:ascii="B Nazanin" w:hAnsi="B Nazanin" w:cs="B Nazanin" w:hint="cs"/>
          <w:sz w:val="24"/>
          <w:szCs w:val="24"/>
          <w:rtl/>
          <w:lang w:bidi="fa-IR"/>
        </w:rPr>
        <w:t xml:space="preserve"> که دارای ۷۵ گویه و ۱۵ خرده‌مقیاس است، به دست می‌آورد. نمره‌گذاری گویه‌ها بر اساس مقیاس ۶ درجه‌ای لیکرت (از ۱=کاملاً درباره من نادرست است تا ۶=کاملاً مرا توصیف می‌کند) انجام می‌شود؛ برای هر طرحواره نمره‌ای بین ۵ تا ۳۰ به دست می‌آید و نمره بالاتر، نشان‌دهنده شدت بیشتر آن طرحواره است (یانگ</w:t>
      </w:r>
      <w:r>
        <w:rPr>
          <w:rFonts w:ascii="B Nazanin" w:hAnsi="B Nazanin" w:cs="B Nazanin" w:hint="cs"/>
          <w:vertAlign w:val="superscript"/>
          <w:rtl/>
        </w:rPr>
        <w:footnoteReference w:id="73"/>
      </w:r>
      <w:r>
        <w:rPr>
          <w:rFonts w:ascii="B Nazanin" w:hAnsi="B Nazanin" w:cs="B Nazanin" w:hint="cs"/>
          <w:sz w:val="24"/>
          <w:szCs w:val="24"/>
          <w:rtl/>
          <w:lang w:bidi="fa-IR"/>
        </w:rPr>
        <w:t xml:space="preserve">، ۱۹۹۸). پایایی نسخه فارسی این پرسشنامه در پژوهش یوسفی (۱۳۹۶) با ضرایب آلفای ۰٫۶۸ تا ۰٫۸۵ برای خرده‌مقیاس‌ها گزارش شده و روایی سازه آن در نمونه غیربالینی قابل قبول بوده است (یوسفی، ۱۳۹۶).</w:t>
      </w:r>
    </w:p>
    <w:p>
      <w:pPr>
        <w:pStyle w:val="Heading3"/>
        <w:bidi w:val="1"/>
        <w:jc w:val="right"/>
      </w:pPr>
      <w:r>
        <w:rPr>
          <w:rFonts w:ascii="B Nazanin" w:hAnsi="B Nazanin" w:cs="B Nazanin" w:hint="cs"/>
          <w:b/>
          <w:bCs/>
          <w:sz w:val="26"/>
          <w:szCs w:val="26"/>
          <w:rtl/>
          <w:lang w:bidi="fa-IR"/>
        </w:rPr>
        <w:t xml:space="preserve">۱-۶-۳. رفتارهای مالی پرخطر</w:t>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رفتارهای مالی پرخطر، به مجموعه‌ای از تصمیمات و اعمالی اطلاق می‌شود که در آن‌ها، سطح ریسک پذیرفته‌شده، نامتناسب با بازده احتمالی بوده و اغلب از هیجانات کنترل‌نشده، سوگیری‌های شناختی و تکانشگری نشأت می‌گیرد، تا اینکه محصول یک تحلیل منطقی و محاسبه‌شده باشد (بیکر و نوفسینگر، ۲۰۱۰). این متغیر، در این پژوهش، از طریق مفهوم "تحمل ریسک مالی" سنجیده می‌شود.</w:t>
      </w:r>
    </w:p>
    <w:p>
      <w:pPr>
        <w:bidi w:val="1"/>
        <w:spacing w:lineRule="exact" w:line="580" w:after="0"/>
        <w:jc w:val="both"/>
      </w:pPr>
      <w:r>
        <w:rPr>
          <w:rFonts w:ascii="B Nazanin" w:hAnsi="B Nazanin" w:cs="B Nazanin" w:hint="cs"/>
          <w:sz w:val="24"/>
          <w:szCs w:val="24"/>
          <w:rtl/>
          <w:lang w:bidi="fa-IR"/>
        </w:rPr>
        <w:t xml:space="preserve">در ادبیات مالی رفتاری، سازه رفتارهای مالی پرخطر با چهار بُعد اصلی شناسایی و سنجیده می‌شود: «معامله‌گری بیش از حد» که به انجام معاملات فراتر از ضرورت اطلاعاتی و برخاسته از بیش‌اطمینانی اشاره دارد؛ «اثر گرایش» که تمایل به فروش زودهنگام دارایی‌های سودده و نگهداری طولانی‌مدت دارایی‌های زیان‌ده است؛ «رفتار گله‌ای» که تقلید از دیگر معامله‌گران به جای اتکا بر تحلیل شخصی، به ویژه در شرایط پرنوسان، محسوب می‌شود؛ و «تمرکز ناکافی سبد دارایی» که از سوگیری‌هایی مانند تمایل به آشنایی نشأت می‌گیرد (بیکر و نوفسینگر، ۲۰۱۰؛ باربر و اودین، ۲۰۰۰؛ شفرین و استاتمن، ۱۹۸۵؛ هوانگ و سالمون، ۲۰۰۴؛ گوتزمن و کومار، ۲۰۰۸). در پژوهش حاضر، این مجموعه از ابعاد در قالب سازه تحمل ریسک مالی اندازه‌گیری می‌شود.</w:t>
      </w:r>
    </w:p>
    <w:p>
      <w:pPr>
        <w:bidi w:val="1"/>
        <w:spacing w:lineRule="exact" w:line="580" w:after="0"/>
        <w:jc w:val="both"/>
      </w:pPr>
      <w:r>
        <w:rPr>
          <w:rFonts w:ascii="B Nazanin" w:hAnsi="B Nazanin" w:cs="B Nazanin" w:hint="cs"/>
          <w:sz w:val="24"/>
          <w:szCs w:val="24"/>
          <w:rtl/>
          <w:lang w:bidi="fa-IR"/>
        </w:rPr>
        <w:t xml:space="preserve">تحمل ریسک مالی</w:t>
      </w:r>
      <w:r>
        <w:rPr>
          <w:rFonts w:ascii="B Nazanin" w:hAnsi="B Nazanin" w:cs="B Nazanin" w:hint="cs"/>
          <w:vertAlign w:val="superscript"/>
          <w:rtl/>
        </w:rPr>
        <w:footnoteReference w:id="16"/>
      </w:r>
      <w:r>
        <w:rPr>
          <w:rFonts w:ascii="B Nazanin" w:hAnsi="B Nazanin" w:cs="B Nazanin" w:hint="cs"/>
          <w:sz w:val="24"/>
          <w:szCs w:val="24"/>
          <w:rtl/>
          <w:lang w:bidi="fa-IR"/>
        </w:rPr>
        <w:t xml:space="preserve"> به بیشینه سطح عدم قطعیتی اطلاق می‌شود که یک سرمایه‌گذار در اتخاذ تصمیم‌های مالی مایل به پذیرش آن است و میزان آمادگی روانشناختی فرد برای مواجهه با پیامدهای نامطلوب احتمالی را منعکس می‌کند. در این تعریف، تفکیک میان ظرفیت عینی ریسک — که به منابع و شرایط اقتصادی فرد بستگی دارد — و تحمل ذهنی ریسک — که ویژگی‌ای ادراکی و شخصیتی است — اهمیت بنیادین دارد؛ ناهماهنگی میان این دو سطح، به‌ویژه زمانی که تحمل ذهنی از ظرفیت عینی فراتر رود، یکی از زمینه‌های اصلی تصمیم‌های مالی آسیب‌زا محسوب می‌شود (گرابل و لایتون</w:t>
      </w:r>
      <w:r>
        <w:rPr>
          <w:rFonts w:ascii="B Nazanin" w:hAnsi="B Nazanin" w:cs="B Nazanin" w:hint="cs"/>
          <w:vertAlign w:val="superscript"/>
          <w:rtl/>
        </w:rPr>
        <w:footnoteReference w:id="74"/>
      </w:r>
      <w:r>
        <w:rPr>
          <w:rFonts w:ascii="B Nazanin" w:hAnsi="B Nazanin" w:cs="B Nazanin" w:hint="cs"/>
          <w:sz w:val="24"/>
          <w:szCs w:val="24"/>
          <w:rtl/>
          <w:lang w:bidi="fa-IR"/>
        </w:rPr>
        <w:t xml:space="preserve">، ۱۹۹۹). البته اگرچه تحمل ریسک یک نگرش و رفتار پرخطر یک عمل است، شواهد گسترده پژوهشی از روایی پیش‌بین بالای این مقیاس برای رفتار واقعی مالی حمایت می‌کنند؛ از این رو، مقیاس یادشده شاخص نیابتی قابل اعتمادی برای سنجش تمایل به رفتارهای مالی پرخطر به شمار می‌رود (گرابل</w:t>
      </w:r>
      <w:r>
        <w:rPr>
          <w:rFonts w:ascii="B Nazanin" w:hAnsi="B Nazanin" w:cs="B Nazanin" w:hint="cs"/>
          <w:vertAlign w:val="superscript"/>
          <w:rtl/>
        </w:rPr>
        <w:footnoteReference w:id="75"/>
      </w:r>
      <w:r>
        <w:rPr>
          <w:rFonts w:ascii="B Nazanin" w:hAnsi="B Nazanin" w:cs="B Nazanin" w:hint="cs"/>
          <w:sz w:val="24"/>
          <w:szCs w:val="24"/>
          <w:rtl/>
          <w:lang w:bidi="fa-IR"/>
        </w:rPr>
        <w:t xml:space="preserve">، ۲۰۱۷).</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این پژوهش، منظور از رفتارهای مالی پرخطر، نمره‌ای است که آزمودنی از مقیاس ۱۳ سوالی تحمل ریسک مالی گرابل و لایتون (۱۹۹۹) کسب می‌کند. نمرات بالاتر در این مقیاس، نشان‌دهنده تمایل بیشتر به پذیرش ریسک و در نتیجه، بروز بیشتر رفتارهای مالی پرخطر است. نمره کل این مقیاس بین ۱۳ تا ۴۵ محاسبه می‌شود. روایی پیش‌بین بالای این مقیاس برای رفتار مالی واقعی در پژوهش‌های متعدد تأیید شده است (گرابل، ۲۰۱۷) و در ایران نیز توسط طالبی و همکاران (۱۳۹۸) بر روی نمونه‌ای از سرمایه‌گذاران بورس تهران اعتباریابی شده است؛ در همین هنجاریابی، پایایی مقیاس با آلفای کرونباخ ۰٫۷۹ گزارش و ساختار عاملی آن نیز تأیید شده است.</w:t>
      </w:r>
    </w:p>
    <w:p>
      <w:pPr>
        <w:pStyle w:val="Heading2"/>
        <w:bidi w:val="1"/>
        <w:jc w:val="right"/>
      </w:pPr>
      <w:r>
        <w:rPr>
          <w:rFonts w:ascii="B Nazanin" w:hAnsi="B Nazanin" w:cs="B Nazanin" w:hint="cs"/>
          <w:b/>
          <w:bCs/>
          <w:sz w:val="28"/>
          <w:szCs w:val="28"/>
          <w:rtl/>
          <w:lang w:bidi="fa-IR"/>
        </w:rPr>
        <w:t xml:space="preserve">۱-۷. سازمان‌بندی رساله</w:t>
      </w:r>
    </w:p>
    <w:p>
      <w:pPr>
        <w:bidi w:val="1"/>
        <w:spacing w:lineRule="exact" w:line="580" w:after="0"/>
        <w:jc w:val="both"/>
      </w:pPr>
      <w:r>
        <w:rPr>
          <w:rFonts w:ascii="B Nazanin" w:hAnsi="B Nazanin" w:cs="B Nazanin" w:hint="cs"/>
          <w:sz w:val="24"/>
          <w:szCs w:val="24"/>
          <w:rtl/>
          <w:lang w:bidi="fa-IR"/>
        </w:rPr>
        <w:t xml:space="preserve">این رساله در پنج فصل تنظیم شده است؛ فصل‌هایی مجزا و متناسب با فرآیند منطقی اجرای پژوهش. فصل اول به عنوان چارچوب کلی پژوهش، شامل بیان مسأله، اهمیت و ضرورت، اهداف، فرضیه‌ها و تعاریف مفهومی و عملیاتی متغیرهاست. فصل دوم به مبانی نظری و پیشینه پژوهش اختصاص دارد. در بخش مبانی نظری، ابتدا ادبیات اضطراب صفتی با تأکید بر سازوکارهای شناختی و توجهی مرور می‌شود؛ سپس ادبیات طرحواره‌های ناسازگار اولیه و نظریه طرحواره، و پس از آن ادبیات رفتارهای مالی پرخطر شامل اقتصاد رفتاری و سازه تحمل ریسک مالی. در پایان این بخش، مدل مفهومی پژوهش ارائه می‌شود و بخش پیشینه نیز مطالعات تجربی داخلی و خارجی مرتبط را پوشش می‌دهد. فصل سوم، روش‌شناسی پژوهش را در قالب طرح توصیفی-همبستگی کاربردی تبیین می‌کند و به جامعه آماری و روش نمونه‌گیری، ابزارهای اندازه‌گیری، روایی و پایایی، روش اجرا، روش‌های تحلیل داده‌ها شامل همبستگی پیرسون و مدل‌سازی معادلات ساختاری و ملاحظات اخلاقی می‌پردازد. فصل چهارم یافته‌های پژوهش را در دو بخش توصیفی و استنباطی ارائه می‌دهد؛ یافته‌های استنباطی شامل ماتریس همبستگی میان سه متغیر برای آزمون فرضیه‌های فرعی و نتایج آزمون مدل میانجی‌گری برای فرضیه اصلی است. فصل پنجم نیز به بحث و تبیین یافته‌ها در چارچوب مدل استعداد-استرس، بررسی همسویی و ناهمسویی آن‌ها با پیشینه پژوهشی، کاربردهای عملی، محدودیت‌ها و پیشنهادهای پژوهشی و کاربردی اختصاص دارد. در مجموع، فصل‌های پنج‌گانه رساله به ترتیب از چرایی و چیستی پژوهش آغاز می‌شوند، به چگونگی اجرا و یافته‌های آن می‌رسند و در نهایت به تبیین نظری یافته‌ها و ارائه کاربردهای عملی نتایج ختم می‌گردند.</w:t>
      </w:r>
    </w:p>
    <w:p>
      <w:pPr>
        <w:sectPr>
          <w:footerReference w:type="default" r:id="rId12"/>
          <w:footerReference w:type="first" r:id="rId13"/>
          <w:footnotePr>
            <w:numFmt w:val="hindi"/>
            <w:numRestart w:val="eachPage"/>
          </w:footnotePr>
          <w:pgSz w:w="11906" w:h="16838"/>
          <w:pgMar w:top="1701" w:right="2268" w:bottom="1417" w:left="1417" w:header="720" w:footer="567" w:gutter="0"/>
          <w:pgNumType w:numFmt="hindi" w:start="1"/>
          <w:cols w:space="720"/>
          <w:titlePg/>
          <w:bidi/>
          <w:docGrid w:linePitch="360"/>
        </w:sectPr>
      </w:pPr>
    </w:p>
    <w:p>
      <w:pPr>
        <w:bidi w:val="1"/>
        <w:spacing w:lineRule="exact" w:line="580" w:before="480" w:after="180"/>
        <w:jc w:val="center"/>
        <w:outlineLvl w:val="0"/>
      </w:pPr>
      <w:r>
        <w:rPr>
          <w:rFonts w:ascii="B Nazanin" w:hAnsi="B Nazanin" w:cs="B Nazanin" w:hint="cs"/>
          <w:b/>
          <w:bCs/>
          <w:sz w:val="56"/>
          <w:szCs w:val="56"/>
          <w:rtl/>
          <w:lang w:bidi="fa-IR"/>
        </w:rPr>
        <w:t xml:space="preserve">فصل دوم</w:t>
      </w:r>
    </w:p>
    <w:p>
      <w:pPr>
        <w:bidi w:val="1"/>
        <w:spacing w:lineRule="exact" w:line="580" w:before="120" w:after="480"/>
        <w:jc w:val="center"/>
      </w:pPr>
      <w:r>
        <w:rPr>
          <w:rFonts w:ascii="B Nazanin" w:hAnsi="B Nazanin" w:cs="B Nazanin" w:hint="cs"/>
          <w:b/>
          <w:bCs/>
          <w:sz w:val="52"/>
          <w:szCs w:val="52"/>
          <w:rtl/>
          <w:lang w:bidi="fa-IR"/>
        </w:rPr>
        <w:t xml:space="preserve">مبانی نظری و پیشینه پژوهش</w:t>
      </w:r>
    </w:p>
    <w:p>
      <w:pPr>
        <w:pStyle w:val="Heading2"/>
        <w:bidi w:val="1"/>
        <w:jc w:val="right"/>
      </w:pPr>
      <w:r>
        <w:rPr>
          <w:rFonts w:ascii="B Nazanin" w:hAnsi="B Nazanin" w:cs="B Nazanin" w:hint="cs"/>
          <w:b/>
          <w:bCs/>
          <w:sz w:val="28"/>
          <w:szCs w:val="28"/>
          <w:rtl/>
          <w:lang w:bidi="fa-IR"/>
        </w:rPr>
        <w:t xml:space="preserve">۲-۱ مقدمه</w:t>
      </w:r>
    </w:p>
    <w:p>
      <w:pPr>
        <w:bidi w:val="1"/>
        <w:spacing w:lineRule="exact" w:line="580" w:after="0"/>
        <w:jc w:val="both"/>
      </w:pPr>
      <w:r>
        <w:rPr>
          <w:rFonts w:ascii="B Nazanin" w:hAnsi="B Nazanin" w:cs="B Nazanin" w:hint="cs"/>
          <w:sz w:val="24"/>
          <w:szCs w:val="24"/>
          <w:rtl/>
          <w:lang w:bidi="fa-IR"/>
        </w:rPr>
        <w:t xml:space="preserve">فصل حاضر به مرور جامع مبانی نظری و پیشینه تجربی متغیرهای اصلی مطالعه حاضر اختصاص دارد. در مدل مفهومی این مطالعه، اضطراب صفتی به‌عنوان متغیر مستقل، رفتارهای مالی پرخطر به‌عنوان متغیر وابسته و طرحواره‌های ناسازگار اولیه به‌عنوان متغیر میانجی در نظر گرفته شده‌اند. مبانی نظری پژوهش ریشه در رویکردهای شناختی دارد؛ در دیدگاه بک، رویدادها به‌خودی‌خود موجب شکل‌گیری هیجان‌ها نمی‌شوند، بلکه تفسیر و ارزیابی فرد از آن رویدادهاست که واکنش‌های هیجانی را می‌سازد (بک، ۱۹۷۶). بر این اساس، اضطراب صفتی را می‌توان نوعی آسیب‌پذیری شناختی-هیجانی پایدار دانست که بر شیوه پردازش اطلاعات و تصمیم‌گیری اثر می‌گذارد. از سوی دیگر، طرحواره‌های ناسازگار اولیه در مدل یانگ، الگوهایی فراگیر و عمیق هستند که در جریان رشد اولیه شکل گرفته‌اند و ادراک فرد از خود و محیط را در بزرگسالی نیز هدایت می‌کنند (یانگ و همکاران، ۲۰۰۳). مرور این چارچوب‌های نظری و یافته‌های تجربی برخاسته از آن‌ها به تبیین دقیق‌تر مکانیسم‌های شناختی و هیجانی حاکم بر تصمیم‌گیری معامله‌گران بازارهای مالی</w:t>
      </w:r>
      <w:r>
        <w:rPr>
          <w:rFonts w:ascii="B Nazanin" w:hAnsi="B Nazanin" w:cs="B Nazanin" w:hint="cs"/>
          <w:vertAlign w:val="superscript"/>
          <w:rtl/>
        </w:rPr>
        <w:footnoteReference w:id="17"/>
      </w:r>
      <w:r>
        <w:rPr>
          <w:rFonts w:ascii="B Nazanin" w:hAnsi="B Nazanin" w:cs="B Nazanin" w:hint="cs"/>
          <w:sz w:val="24"/>
          <w:szCs w:val="24"/>
          <w:rtl/>
          <w:lang w:bidi="fa-IR"/>
        </w:rPr>
        <w:t xml:space="preserve"> کمک می‌کند؛ گروهی که به‌طور مداوم در شرایط عدم قطعیت و فشار روانی دست به تصمیم‌گیری می‌زنند.</w:t>
      </w:r>
    </w:p>
    <w:p>
      <w:pPr>
        <w:bidi w:val="1"/>
        <w:spacing w:lineRule="exact" w:line="580" w:after="0"/>
        <w:jc w:val="both"/>
      </w:pPr>
      <w:r>
        <w:rPr>
          <w:rFonts w:ascii="B Nazanin" w:hAnsi="B Nazanin" w:cs="B Nazanin" w:hint="cs"/>
          <w:sz w:val="24"/>
          <w:szCs w:val="24"/>
          <w:rtl/>
          <w:lang w:bidi="fa-IR"/>
        </w:rPr>
        <w:t xml:space="preserve">ساختار فصل حاضر مسیر مشخصی را طی می‌کند. نخست در بخش‌های ۲-۲-۱ تا ۲-۲-۳، تعاریف، نظریه‌ها و ابعاد هر یک از متغیرهای پژوهش به‌طور مجزا بررسی می‌شود. در ادامه، در بخش ۲-۲-۴ روابط بین متغیرها و مدل نظری میانجی‌گری تحلیل می‌گردد؛ از جمله روابط دوجانبه میان اضطراب صفتی و رفتارهای مالی پرخطر و نقش طرحواره‌های ناسازگار اولیه در تبیین این روابط. سپس در بخش ۲-۳ پیشینه پژوهشی داخلی و خارجی مرور می‌شود و مدل میانجی‌گری پژوهش در پرتو آن به تصویر درمی‌آید؛ هدف، مشخص‌شدن شکاف پژوهشی</w:t>
      </w:r>
      <w:r>
        <w:rPr>
          <w:rFonts w:ascii="B Nazanin" w:hAnsi="B Nazanin" w:cs="B Nazanin" w:hint="cs"/>
          <w:vertAlign w:val="superscript"/>
          <w:rtl/>
        </w:rPr>
        <w:footnoteReference w:id="18"/>
      </w:r>
      <w:r>
        <w:rPr>
          <w:rFonts w:ascii="B Nazanin" w:hAnsi="B Nazanin" w:cs="B Nazanin" w:hint="cs"/>
          <w:sz w:val="24"/>
          <w:szCs w:val="24"/>
          <w:rtl/>
          <w:lang w:bidi="fa-IR"/>
        </w:rPr>
        <w:t xml:space="preserve"> موجود در ادبیات و روشن‌ترشدن ضرورت انجام پژوهش حاضر است. در مرور پیشینه تجربی، اولویت با مطالعاتی است که در جمعیت معامله‌گران انجام شده‌اند یا یافته‌های آن‌ها قابلیت تعمیم به این جمعیت را دارد؛ بدین ترتیب، مسیر منطقی فصل از مفاهیم بنیادین به‌سوی مدل مفهومی نهایی پژوهش پیش می‌رود.</w:t>
      </w:r>
    </w:p>
    <w:p>
      <w:pPr>
        <w:pStyle w:val="Heading2"/>
        <w:bidi w:val="1"/>
        <w:jc w:val="right"/>
      </w:pPr>
      <w:r>
        <w:rPr>
          <w:rFonts w:ascii="B Nazanin" w:hAnsi="B Nazanin" w:cs="B Nazanin" w:hint="cs"/>
          <w:b/>
          <w:bCs/>
          <w:sz w:val="28"/>
          <w:szCs w:val="28"/>
          <w:rtl/>
          <w:lang w:bidi="fa-IR"/>
        </w:rPr>
        <w:t xml:space="preserve">۲-۲ مبانی نظری</w:t>
      </w:r>
    </w:p>
    <w:p>
      <w:pPr>
        <w:pStyle w:val="Heading3"/>
        <w:bidi w:val="1"/>
        <w:jc w:val="right"/>
      </w:pPr>
      <w:r>
        <w:rPr>
          <w:rFonts w:ascii="B Nazanin" w:hAnsi="B Nazanin" w:cs="B Nazanin" w:hint="cs"/>
          <w:b/>
          <w:bCs/>
          <w:sz w:val="26"/>
          <w:szCs w:val="26"/>
          <w:rtl/>
          <w:lang w:bidi="fa-IR"/>
        </w:rPr>
        <w:t xml:space="preserve">۲-۲-۱ اضطراب صفتی</w:t>
      </w:r>
    </w:p>
    <w:p>
      <w:pPr>
        <w:bidi w:val="1"/>
        <w:spacing w:lineRule="exact" w:line="580" w:after="0"/>
        <w:jc w:val="both"/>
      </w:pPr>
      <w:r>
        <w:rPr>
          <w:rFonts w:ascii="B Nazanin" w:hAnsi="B Nazanin" w:cs="B Nazanin" w:hint="cs"/>
          <w:sz w:val="24"/>
          <w:szCs w:val="24"/>
          <w:rtl/>
          <w:lang w:bidi="fa-IR"/>
        </w:rPr>
        <w:t xml:space="preserve">بر اساس چارچوب نظری و مدل کلاسیک و معتبری که توسط چارلز اسپیلبرگر ارائه شده است، برای درک دقیق ماهیت اضطراب، باید تمایز مفهومی مهمی بین دو بعد آن قائل شد: نخست، «اضطراب حالتی» که یک واکنش هیجانی گذرا، موقتی و کاملاً وابسته به شدت خطر آنی موقعیت است؛ و دوم، «اضطراب صفتی» که یک ویژگی شخصیتی پایدار، ریشه‌دار و نوعی تفاوت فردی در استعداد یا تمایل ذاتی برای تجربه کردن حالات اضطرابی است. به عبارت دقیق‌تر، افرادی که دارای سطوح بالایی از اضطراب صفتی هستند، مجهز به یک «سیستم هشدار روانی» بیش‌فعال و حساس هستند؛ آن‌ها به طور نظام‌مند دارای آستانه پایین‌تری برای تحریک‌پذیری بوده و تمایل دارند موقعیت‌های مبهم، خنثی و حتی عینی غیرخطرناک (مانند نوسانات طبیعی بازار) را به عنوان موقعیت‌های تهدیدآمیز و فاجعه‌بار ادراک کنند و در پاسخ به آن‌ها، با سطوح بالاتری از نگرانی ذهنی، تنش و برانگیختگی فیزیولوژیک واکنش نشان دهند (اسپیلبرگر، ۱۹۸۳).</w:t>
      </w:r>
    </w:p>
    <w:p>
      <w:pPr>
        <w:bidi w:val="1"/>
        <w:spacing w:lineRule="exact" w:line="580" w:after="0"/>
        <w:jc w:val="both"/>
      </w:pPr>
      <w:r>
        <w:rPr>
          <w:rFonts w:ascii="B Nazanin" w:hAnsi="B Nazanin" w:cs="B Nazanin" w:hint="cs"/>
          <w:sz w:val="24"/>
          <w:szCs w:val="24"/>
          <w:rtl/>
          <w:lang w:bidi="fa-IR"/>
        </w:rPr>
        <w:t xml:space="preserve">این استعداد روانشناختی برای تجربه کردن اضطراب، صرفاً یک مفهوم انتزاعی نیست؛ ریشه‌های عمیق عصب‌شناختی دارد. مطالعات نوین تصویربرداری مغزی نشان داده‌اند که اضطراب صفتی با یک عدم تعادل عملکردی و پایدار در مدارهای کلیدی پردازش هیجانی مغز، به ویژه مدار حیاتی آمیگدال-پیش‌پیشانی، ارتباط تنگاتنگی دارد. در این ساختار عصبی، آمیگدال به عنوان مرکز هشداردهنده خطر و پردازش ترس، در افراد با اضطراب صفتی بالا، دارای فعالیت بیش از حد معمول و حساسیت بالا است؛ در حالی که قشر پیش‌پیشانی که مسئولیت تنظیم هیجانات، کنترل تکانه‌ها و استدلال منطقی را بر عهده دارد، توانایی کافی برای مهار و بازداری این فعالیت آمیگدالی را از خود نشان نمی‌دهد.</w:t>
      </w:r>
    </w:p>
    <w:p>
      <w:pPr>
        <w:bidi w:val="1"/>
        <w:spacing w:lineRule="exact" w:line="580" w:after="0"/>
        <w:jc w:val="both"/>
      </w:pPr>
      <w:r>
        <w:rPr>
          <w:rFonts w:ascii="B Nazanin" w:hAnsi="B Nazanin" w:cs="B Nazanin" w:hint="cs"/>
          <w:sz w:val="24"/>
          <w:szCs w:val="24"/>
          <w:rtl/>
          <w:lang w:bidi="fa-IR"/>
        </w:rPr>
        <w:t xml:space="preserve">این وضعیت عصب‌شناختی، منجر به شکل‌گیری یک «سوگیری توجهی» مشخص و نیرومند به سمت پردازش محرک‌های تهدیدآمیز می‌گردد؛ به این معنا که سیستم توجهی فرد به طور خودکار و سریع، بر روی هر گونه نشانه بالقوه خطر (مانند نوسان منفی قیمت یا اخبار بد اقتصادی) متمرکز شده و منابع شناختی را از پردازش سایر اطلاعات خنثی یا مثبت منحرف می‌کند. در نتیجه، فرد در یک حالت گوش‌به‌زنگی دائمی و آماده‌باش برای مقابله با خطر قرار می‌گیرد که اگرچه از نظر تکاملی برای بقا مفید است، اما در محیط پیچیده بازار مالی، به مانعی جدی برای تصمیم‌گیری عقلانی و بی‌طرفانه تبدیل می‌شود (بیشاپ، ۲۰۰۷)</w:t>
      </w:r>
    </w:p>
    <w:p>
      <w:pPr>
        <w:bidi w:val="1"/>
        <w:spacing w:lineRule="exact" w:line="580" w:after="0"/>
        <w:jc w:val="both"/>
      </w:pPr>
      <w:r>
        <w:rPr>
          <w:rFonts w:ascii="B Nazanin" w:hAnsi="B Nazanin" w:cs="B Nazanin" w:hint="cs"/>
          <w:sz w:val="24"/>
          <w:szCs w:val="24"/>
          <w:rtl/>
          <w:lang w:bidi="fa-IR"/>
        </w:rPr>
        <w:t xml:space="preserve">این پویایی مغزی مختل‌شده در افراد با اضطراب صفتی بالا، یک ویژگی کلیدی و مشخصه روانشناختی دیگری را نیز به همراه دارد: حالت آینده‌محوری و درگیری مداوم ذهنی با سناریوهای منفی احتمالی. بر خلاف ترس که واکنشی هیجانی به یک خطر آنی و ملموس است، اضطراب ماهیتی پیش‌نگرانه دارد و با تمرکز وسواسی بر پیش‌بینی و عدم قطعیت درباره تهدیدات مبهمی که ممکن است در آینده رخ دهند، مشخص می‌شود. در بافت بازار مالی، این حالت به صورت یک اشتغال ذهنی مداوم و ناتوان‌کننده درباره "چه می‌شود اگر بازار سقوط کند؟" یا "اگر تحلیل من اشتباه باشد؟" نمود می‌یابد.</w:t>
      </w:r>
    </w:p>
    <w:p>
      <w:pPr>
        <w:bidi w:val="1"/>
        <w:spacing w:lineRule="exact" w:line="580" w:after="0"/>
        <w:jc w:val="both"/>
      </w:pPr>
      <w:r>
        <w:rPr>
          <w:rFonts w:ascii="B Nazanin" w:hAnsi="B Nazanin" w:cs="B Nazanin" w:hint="cs"/>
          <w:sz w:val="24"/>
          <w:szCs w:val="24"/>
          <w:rtl/>
          <w:lang w:bidi="fa-IR"/>
        </w:rPr>
        <w:t xml:space="preserve">این تمرکز بیش از حد بر تهدیدات آتی، منجر به شکل‌گیری پدیده‌ای می‌شود که در ادبیات روانشناسی به عنوان «عدم تحمل عدم قطعیت» شناخته می‌شود؛ وضعیتی که توانایی فرد را برای پردازش منطقی احتمالات و مدیریت موثر ریسک به شدت مختل می‌سازد. در واقع، فرد مضطرب به جای تلاش برای کاهش عدم قطعیت از طریق تحلیل عینی داده‌ها و کسب اطلاعات بیشتر، مسیر دیگری می‌پیماید: انرژی شناختی خود را صرف نگرانی درباره ناشناخته‌ها و تلاش بی‌حاصل برای کنترل تمام متغیرهای غیرقابل کنترل می‌کند. نتیجه این فرآیند، بروز اختلال در عملکرد اجرایی مغز، اجتناب از تصمیم‌گیری‌های ضروری (فلج تحلیل) یا اتخاذ تصمیمات عجولانه و هیجانی صرفاً برای فرار از ابهام و کاهش تنش درونی است (گروپ و نیچکه، ۲۰۱۳).</w:t>
      </w:r>
    </w:p>
    <w:p>
      <w:pPr>
        <w:bidi w:val="1"/>
        <w:spacing w:lineRule="exact" w:line="580" w:after="0"/>
        <w:jc w:val="both"/>
      </w:pPr>
      <w:r>
        <w:rPr>
          <w:rFonts w:ascii="B Nazanin" w:hAnsi="B Nazanin" w:cs="B Nazanin" w:hint="cs"/>
          <w:sz w:val="24"/>
          <w:szCs w:val="24"/>
          <w:rtl/>
          <w:lang w:bidi="fa-IR"/>
        </w:rPr>
        <w:t xml:space="preserve">این اختلال عصب‌شناختی و هیجانی، پیامدهای شناختی مشخص و قابل اندازه‌گیری دارد که مکانیسم اثرگذاری آن بر عملکرد، به بهترین و دقیق‌ترین شکل توسط چارچوب نظری قدرتمندی به نام «نظریه کنترل توجه» تبیین و تشریح می‌شود. طبق این نظریه که توسط آیزنک و همکاران توسعه یافته است، اضطراب لزوماً کیفیت عملکرد (اثربخشی) را کاهش نمی‌دهد، بلکه با ایجاد اختلال در توازن سیستم‌های پردازش اطلاعات، کارایی شناختی مغز را مختل می‌سازد.</w:t>
      </w:r>
    </w:p>
    <w:p>
      <w:pPr>
        <w:bidi w:val="1"/>
        <w:spacing w:lineRule="exact" w:line="580" w:after="0"/>
        <w:jc w:val="both"/>
      </w:pPr>
      <w:r>
        <w:rPr>
          <w:rFonts w:ascii="B Nazanin" w:hAnsi="B Nazanin" w:cs="B Nazanin" w:hint="cs"/>
          <w:sz w:val="24"/>
          <w:szCs w:val="24"/>
          <w:rtl/>
          <w:lang w:bidi="fa-IR"/>
        </w:rPr>
        <w:t xml:space="preserve">بر اساس این مدل، اضطراب تعادل میان دو سیستم اصلی توجه در مغز را برهم می‌زند: از یک سو، باعث افزایش نفوذ و غلبه سیستم توجهی «محرک-محور« (پایین-به-بالا) می‌شود؛ سیستمی که مسئول پایش محیط و واکنش سریع و خودکار به محرک‌های برجسته، ناگهانی و تهدیدآمیز است. و از سوی دیگر، موجب کاهش کارایی و تضعیف سیستم توجهی «هدف-محور« (بالا-به-پایین) می‌گردد؛ سیستمی ارادی و آگاهانه که مسئولیت تمرکز پایدار بر اهداف بلندمدت، برنامه‌ریزی استراتژیک و نادیده گرفتن عوامل مزاحم را بر عهده دارد. در نتیجه این عدم تعادل، فرد مضطرب به راحتی تسلیم حواس‌پرتی‌های محیطی شده و توانایی خود را برای حفظ تمرکز بر روی استراتژی اصلی و هدف نهایی از دست می‌دهد. (آیزنک و همکاران، ۲۰۰۷)</w:t>
      </w:r>
    </w:p>
    <w:p>
      <w:pPr>
        <w:bidi w:val="1"/>
        <w:spacing w:lineRule="exact" w:line="580" w:after="0"/>
        <w:jc w:val="both"/>
      </w:pPr>
      <w:r>
        <w:rPr>
          <w:rFonts w:ascii="B Nazanin" w:hAnsi="B Nazanin" w:cs="B Nazanin" w:hint="cs"/>
          <w:sz w:val="24"/>
          <w:szCs w:val="24"/>
          <w:rtl/>
          <w:lang w:bidi="fa-IR"/>
        </w:rPr>
        <w:t xml:space="preserve">این پدیده که در روانشناسی شناختی از آن به عنوان » ربایش توجه«توسط محرک‌های برجسته، ناگهانی و تهدیدآمیز یاد می‌شود، پیامد مستقیم و مخربی بر عملکرد شناختی فرد دارد: اشغال ظرفیت محدود و حیاتی حافظه کاری. به طور دقیق‌تر، این فرایند منابع «مجری مرکزی» را که به عنوان اتاق فرمان سیستم شناختی عمل می‌کند، به خود اختصاص می‌دهد و آن‌ها را از پردازش اطلاعات مرتبط با هدف اصلی (معامله‌گری سودده) منحرف می‌سازد.</w:t>
      </w:r>
    </w:p>
    <w:p>
      <w:pPr>
        <w:bidi w:val="1"/>
        <w:spacing w:lineRule="exact" w:line="580" w:after="0"/>
        <w:jc w:val="both"/>
      </w:pPr>
      <w:r>
        <w:rPr>
          <w:rFonts w:ascii="B Nazanin" w:hAnsi="B Nazanin" w:cs="B Nazanin" w:hint="cs"/>
          <w:sz w:val="24"/>
          <w:szCs w:val="24"/>
          <w:rtl/>
          <w:lang w:bidi="fa-IR"/>
        </w:rPr>
        <w:t xml:space="preserve">مجری مرکزی، همان سیستم پیشرفته و پیچیده‌ای است که مسئولیت تخصیص هوشمندانه منابع توجهی، کنترل تکانه‌ها، استدلال انتزاعی و انجام تحلیل‌های منطقی و چندمرحله‌ای را بر عهده دارد. عملکرد بی‌نقص و کارآمد این سیستم، برای انجام یک تحلیل مالی حساب‌شده، پردازش همزمان متغیرهای متعدد بازار و اتخاذ تصمیمات استراتژیک در شرایط پیچیده، ضروری و حیاتی است. اما زمانی که ظرفیت محدود این سیستم توسط نگرانی‌های مزاحم، افکار نشخوارکننده و پایش وسواس‌گونه تهدیدات اشغال می‌شود، توانایی فرد برای تفکر عمیق و تصمیم‌گیری عقلانی به شدت کاهش می‌یابد و او را مستعد خطاهای شناختی و رفتارهای تکانشی می‌سازد (بدلی و همکاران</w:t>
      </w:r>
      <w:r>
        <w:rPr>
          <w:rFonts w:ascii="B Nazanin" w:hAnsi="B Nazanin" w:cs="B Nazanin" w:hint="cs"/>
          <w:vertAlign w:val="superscript"/>
          <w:rtl/>
        </w:rPr>
        <w:footnoteReference w:id="76"/>
      </w:r>
      <w:r>
        <w:rPr>
          <w:rFonts w:ascii="B Nazanin" w:hAnsi="B Nazanin" w:cs="B Nazanin" w:hint="cs"/>
          <w:sz w:val="24"/>
          <w:szCs w:val="24"/>
          <w:rtl/>
          <w:lang w:bidi="fa-IR"/>
        </w:rPr>
        <w:t xml:space="preserve">، ۲۰۲۱).</w:t>
      </w:r>
    </w:p>
    <w:p>
      <w:pPr>
        <w:bidi w:val="1"/>
        <w:spacing w:lineRule="exact" w:line="580" w:after="0"/>
        <w:jc w:val="both"/>
      </w:pPr>
      <w:r>
        <w:rPr>
          <w:rFonts w:ascii="B Nazanin" w:hAnsi="B Nazanin" w:cs="B Nazanin" w:hint="cs"/>
          <w:sz w:val="24"/>
          <w:szCs w:val="24"/>
          <w:rtl/>
          <w:lang w:bidi="fa-IR"/>
        </w:rPr>
        <w:t xml:space="preserve">در میان انبوه هیجانات و تجربیات انسانی، اضطراب به دلیل ماهیت دوگانه و متناقض خود، جایگاهی منحصر به فرد دارد. این هیجان، از یک سو به مثابه یک سیستم هشدار تکاملی عمل کرده و انسان را برای مواجهه با خطرات احتمالی آینده آماده می‌سازد، اما از سوی دیگر، در صورتی که از حد بهینه فراتر رود، می‌تواند به نیرویی فلج‌کننده و مخرب تبدیل شود که فرآیندهای شناختی و تصمیم‌گیری منطقی را به شدت مختل می‌کند (بیشاپ، ۲۰۰۷). درک ماهیت چندوجهی اضطراب، به ویژه در زمینه‌های پرفشاری مانند بازارهای مالی که با عدم قطعیت ذاتی گره خورده‌اند، برای تبیین رفتارهای مالی معامله‌گران از اهمیت ویژه‌ای برخوردار است (لوریولا و لوین، ۲۰۰۱).</w:t>
      </w:r>
    </w:p>
    <w:p>
      <w:pPr>
        <w:bidi w:val="1"/>
        <w:spacing w:lineRule="exact" w:line="580" w:after="0"/>
        <w:jc w:val="both"/>
      </w:pPr>
      <w:r>
        <w:rPr>
          <w:rFonts w:ascii="B Nazanin" w:hAnsi="B Nazanin" w:cs="B Nazanin" w:hint="cs"/>
          <w:sz w:val="24"/>
          <w:szCs w:val="24"/>
          <w:rtl/>
          <w:lang w:bidi="fa-IR"/>
        </w:rPr>
        <w:t xml:space="preserve">از منظر ریشه‌شناسی، واژه اضطراب</w:t>
      </w:r>
      <w:r>
        <w:rPr>
          <w:rFonts w:ascii="B Nazanin" w:hAnsi="B Nazanin" w:cs="B Nazanin" w:hint="cs"/>
          <w:vertAlign w:val="superscript"/>
          <w:rtl/>
        </w:rPr>
        <w:footnoteReference w:id="19"/>
      </w:r>
      <w:r>
        <w:rPr>
          <w:rFonts w:ascii="B Nazanin" w:hAnsi="B Nazanin" w:cs="B Nazanin" w:hint="cs"/>
          <w:sz w:val="24"/>
          <w:szCs w:val="24"/>
          <w:rtl/>
          <w:lang w:bidi="fa-IR"/>
        </w:rPr>
        <w:t xml:space="preserve"> ریشه در کلمه لاتین</w:t>
      </w:r>
      <w:r>
        <w:rPr>
          <w:rFonts w:ascii="Times New Roman" w:hAnsi="Times New Roman" w:cs="Times New Roman"/>
          <w:sz w:val="22"/>
          <w:szCs w:val="22"/>
          <w:lang w:val="en-US"/>
        </w:rPr>
        <w:t xml:space="preserve"> Angere </w:t>
      </w:r>
      <w:r>
        <w:rPr>
          <w:rFonts w:ascii="B Nazanin" w:hAnsi="B Nazanin" w:cs="B Nazanin" w:hint="cs"/>
          <w:sz w:val="24"/>
          <w:szCs w:val="24"/>
          <w:rtl/>
          <w:lang w:bidi="fa-IR"/>
        </w:rPr>
        <w:t xml:space="preserve">به معنای «فشردن»، «منقبض کردن» یا «خفه کردن» دارد. این ریشه، توصیفی دقیق از تجربه جسمانی اضطراب است که اغلب با احساس فشار در قفسه سینه، تنگی نفس و یک حس ناخوشایند درونی همراه بوده و نشان‌دهنده ماهیت روان‌تنی این هیجان است (بارلو</w:t>
      </w:r>
      <w:r>
        <w:rPr>
          <w:rFonts w:ascii="B Nazanin" w:hAnsi="B Nazanin" w:cs="B Nazanin" w:hint="cs"/>
          <w:vertAlign w:val="superscript"/>
          <w:rtl/>
        </w:rPr>
        <w:footnoteReference w:id="77"/>
      </w:r>
      <w:r>
        <w:rPr>
          <w:rFonts w:ascii="B Nazanin" w:hAnsi="B Nazanin" w:cs="B Nazanin" w:hint="cs"/>
          <w:sz w:val="24"/>
          <w:szCs w:val="24"/>
          <w:rtl/>
          <w:lang w:bidi="fa-IR"/>
        </w:rPr>
        <w:t xml:space="preserve">، ۲۰۰۲).</w:t>
      </w:r>
    </w:p>
    <w:p>
      <w:pPr>
        <w:bidi w:val="1"/>
        <w:spacing w:lineRule="exact" w:line="580" w:after="0"/>
        <w:jc w:val="both"/>
      </w:pPr>
      <w:r>
        <w:rPr>
          <w:rFonts w:ascii="B Nazanin" w:hAnsi="B Nazanin" w:cs="B Nazanin" w:hint="cs"/>
          <w:sz w:val="24"/>
          <w:szCs w:val="24"/>
          <w:rtl/>
          <w:lang w:bidi="fa-IR"/>
        </w:rPr>
        <w:t xml:space="preserve">در ادبیات روانشناسی، اضطراب به عنوان یک واکنش هیجانی پیچیده و آینده‌نگر تعریف می‌شود که در پاسخ به یک تهدید مبهم و ناشناخته رخ می‌دهد. برخلاف ترس که واکنشی به یک خطر مشخص و عینی در زمان حال است، اضطراب ذاتاً معطوف به پیش‌بینی رویدادهای منفی در آینده است (گروپ و نیچکه، ۲۰۱۳). انجمن روانشناسی آمریکا اضطراب را سازه‌ای چندبعدی می‌داند که شامل سه مؤلفه اصلی در هم تنیده است:</w:t>
      </w:r>
    </w:p>
    <w:p>
      <w:pPr>
        <w:bidi w:val="1"/>
        <w:spacing w:lineRule="exact" w:line="580" w:after="0"/>
        <w:jc w:val="both"/>
      </w:pPr>
      <w:r>
        <w:rPr>
          <w:rFonts w:ascii="B Nazanin" w:hAnsi="B Nazanin" w:cs="B Nazanin" w:hint="cs"/>
          <w:sz w:val="24"/>
          <w:szCs w:val="24"/>
          <w:rtl/>
          <w:lang w:bidi="fa-IR"/>
        </w:rPr>
        <w:t xml:space="preserve">مؤلفه شناختی (نگرانی): شامل زنجیره‌ای از افکار منفی، تردیدها و پیش‌بینی‌های فاجعه‌آمیز درباره آینده، مانند «اگر وارد این معامله شوم، تمام سرمایه‌ام را از دست خواهم داد» (بورکووک</w:t>
      </w:r>
      <w:r>
        <w:rPr>
          <w:rFonts w:ascii="B Nazanin" w:hAnsi="B Nazanin" w:cs="B Nazanin" w:hint="cs"/>
          <w:vertAlign w:val="superscript"/>
          <w:rtl/>
        </w:rPr>
        <w:footnoteReference w:id="78"/>
      </w:r>
      <w:r>
        <w:rPr>
          <w:rFonts w:ascii="B Nazanin" w:hAnsi="B Nazanin" w:cs="B Nazanin" w:hint="cs"/>
          <w:sz w:val="24"/>
          <w:szCs w:val="24"/>
          <w:rtl/>
          <w:lang w:bidi="fa-IR"/>
        </w:rPr>
        <w:t xml:space="preserve">، ۱۹۹۴).</w:t>
      </w:r>
    </w:p>
    <w:p>
      <w:pPr>
        <w:bidi w:val="1"/>
        <w:spacing w:lineRule="exact" w:line="580" w:after="0"/>
        <w:jc w:val="both"/>
      </w:pPr>
      <w:r>
        <w:rPr>
          <w:rFonts w:ascii="B Nazanin" w:hAnsi="B Nazanin" w:cs="B Nazanin" w:hint="cs"/>
          <w:sz w:val="24"/>
          <w:szCs w:val="24"/>
          <w:rtl/>
          <w:lang w:bidi="fa-IR"/>
        </w:rPr>
        <w:t xml:space="preserve">مؤلفه فیزیولوژیک (برانگیختگی جسمانی): شامل فعال شدن سیستم عصبی سمپاتیک که منجر به علائمی نظیر افزایش ضربان قلب، تعریق، لرزش و تنش عضلانی و اختلالات گوارشی می‌شود. این علائم، خود می‌توانند به منبع جدیدی برای نگرانی تبدیل شده و یک چرخه معیوب اضطرابی ایجاد کنند. (کاپلان و سادوک</w:t>
      </w:r>
      <w:r>
        <w:rPr>
          <w:rFonts w:ascii="B Nazanin" w:hAnsi="B Nazanin" w:cs="B Nazanin" w:hint="cs"/>
          <w:vertAlign w:val="superscript"/>
          <w:rtl/>
        </w:rPr>
        <w:footnoteReference w:id="79"/>
      </w:r>
      <w:r>
        <w:rPr>
          <w:rFonts w:ascii="B Nazanin" w:hAnsi="B Nazanin" w:cs="B Nazanin" w:hint="cs"/>
          <w:sz w:val="24"/>
          <w:szCs w:val="24"/>
          <w:rtl/>
          <w:lang w:bidi="fa-IR"/>
        </w:rPr>
        <w:t xml:space="preserve">، ۲۰۱۵).</w:t>
      </w:r>
    </w:p>
    <w:p>
      <w:pPr>
        <w:bidi w:val="1"/>
        <w:spacing w:lineRule="exact" w:line="580" w:after="0"/>
        <w:jc w:val="both"/>
      </w:pPr>
      <w:r>
        <w:rPr>
          <w:rFonts w:ascii="B Nazanin" w:hAnsi="B Nazanin" w:cs="B Nazanin" w:hint="cs"/>
          <w:sz w:val="24"/>
          <w:szCs w:val="24"/>
          <w:rtl/>
          <w:lang w:bidi="fa-IR"/>
        </w:rPr>
        <w:t xml:space="preserve">مؤلفه رفتاری (اجتناب): شامل تمایل به فرار یا دوری از موقعیت‌ها، افراد یا تصمیماتی که اضطراب را برمی‌انگیزند، و همچنین انجام اعمالی برای کاهش حس خطر (رفتارهای ایمنی‌طلب). برای یک معامله‌گر، این رفتارها می‌تواند شامل اجتناب کامل از بازار، یا رفتارهای ایمنی‌طلب مانند چک کردن وسواسی قیمت‌ها، تنظیم حد ضررهای بسیار نزدیک به نقطه ورود، یا جستجوی دائمی تأیید از دیگران باشد. (مانر و اشمیت، ۲۰۰۶).</w:t>
      </w:r>
    </w:p>
    <w:p>
      <w:pPr>
        <w:bidi w:val="1"/>
        <w:spacing w:lineRule="exact" w:line="580" w:after="0"/>
        <w:jc w:val="both"/>
      </w:pPr>
      <w:r>
        <w:rPr>
          <w:rFonts w:ascii="B Nazanin" w:hAnsi="B Nazanin" w:cs="B Nazanin" w:hint="cs"/>
          <w:sz w:val="24"/>
          <w:szCs w:val="24"/>
          <w:rtl/>
          <w:lang w:bidi="fa-IR"/>
        </w:rPr>
        <w:t xml:space="preserve">از دیدگاه تکاملی، اضطراب یک میراث ارزشمند برای بقای بشر است. این هیجان با فعال کردن سیستم «جنگ یا گریز»، بدن را برای واکنش سریع به خطرات احتمالی آماده می‌کند. مقدار بهینه‌ای از اضطراب که به آن «اضطراب سازنده» نیز گفته می‌شود،  می‌تواند منجر به افزایش هوشیاری، تمرکز، برنامه‌ریزی دقیق‌تر و بهبود عملکرد شود. این پدیده در قالب قانون یرکز-دادسون توضیح داده می‌شود که بیان می‌کند عملکرد تا یک نقطه بهینه با افزایش برانگیختگی (اضطراب) بهبود می‌یابد، اما پس از آن نقطه، افزایش بیشتر اضطراب منجر به اشغال منابع شناختی و افت شدید عملکرد تصمیم‌گیری می‌شود (آیزنک و همکاران، ۲۰۰۷). در محیط پیچیده بازارهای مالی، عبور از این نقطه بهینه به معنای ورود به منطقه «فلج تحلیلی» (ناتوانی در تصمیم‌گیری به دلیل تحلیل بیش از حد) یا «تصمیم‌گیری تکانشی» (اقدام شتاب‌زده برای فرار از حس ناخوشایند اضطراب) است (میت</w:t>
      </w:r>
      <w:r>
        <w:rPr>
          <w:rFonts w:ascii="B Nazanin" w:hAnsi="B Nazanin" w:cs="B Nazanin" w:hint="cs"/>
          <w:vertAlign w:val="superscript"/>
          <w:rtl/>
        </w:rPr>
        <w:footnoteReference w:id="80"/>
      </w:r>
      <w:r>
        <w:rPr>
          <w:rFonts w:ascii="B Nazanin" w:hAnsi="B Nazanin" w:cs="B Nazanin" w:hint="cs"/>
          <w:sz w:val="24"/>
          <w:szCs w:val="24"/>
          <w:rtl/>
          <w:lang w:bidi="fa-IR"/>
        </w:rPr>
        <w:t xml:space="preserve">، ۲۰۰۷).</w:t>
      </w:r>
    </w:p>
    <w:p>
      <w:pPr>
        <w:pStyle w:val="Heading4"/>
        <w:bidi w:val="1"/>
        <w:jc w:val="right"/>
      </w:pPr>
      <w:r>
        <w:rPr>
          <w:rFonts w:ascii="B Nazanin" w:hAnsi="B Nazanin" w:cs="B Nazanin" w:hint="cs"/>
          <w:b/>
          <w:bCs/>
          <w:sz w:val="24"/>
          <w:szCs w:val="24"/>
          <w:rtl/>
          <w:lang w:bidi="fa-IR"/>
        </w:rPr>
        <w:t xml:space="preserve">۲-۲-۱-۱ تمایزهای مفهومی کلیدی</w:t>
      </w:r>
    </w:p>
    <w:p>
      <w:pPr>
        <w:bidi w:val="1"/>
        <w:spacing w:lineRule="exact" w:line="580" w:after="0"/>
        <w:jc w:val="both"/>
      </w:pPr>
      <w:r>
        <w:rPr>
          <w:rFonts w:ascii="B Nazanin" w:hAnsi="B Nazanin" w:cs="B Nazanin" w:hint="cs"/>
          <w:sz w:val="24"/>
          <w:szCs w:val="24"/>
          <w:rtl/>
          <w:lang w:bidi="fa-IR"/>
        </w:rPr>
        <w:t xml:space="preserve">برای درک عمیق ماهیت اضطراب و نقش آن در رفتارهای پیچیده‌ای همچون تصمیم‌گیری مالی، لازم است ابتدا دو تمایز مفهومی بنیادین را روشن سازیم. اولین تمایز، تفاوت بین هیجان «ترس» و «اضطراب» است و دومین تمایز، مرزبندی بین «اضطراب بهنجار» و «اضطراب مرضی» است. این تفکیک‌ها، چارچوبی برای فهم این موضوع فراهم می‌آورند که چگونه یک واکنش هیجانی طبیعی می‌تواند به یک عامل مخرب و آسیب‌زا در عملکرد فرد، به ویژه در عرصه پرچالش معامله‌گری، تبدیل شود.</w:t>
      </w:r>
    </w:p>
    <w:p>
      <w:pPr>
        <w:bidi w:val="1"/>
        <w:spacing w:lineRule="exact" w:line="580" w:after="0"/>
        <w:jc w:val="both"/>
      </w:pPr>
      <w:r>
        <w:rPr>
          <w:rFonts w:ascii="B Nazanin" w:hAnsi="B Nazanin" w:cs="B Nazanin" w:hint="cs"/>
          <w:b/>
          <w:bCs/>
          <w:sz w:val="24"/>
          <w:szCs w:val="24"/>
          <w:rtl/>
          <w:lang w:bidi="fa-IR"/>
        </w:rPr>
        <w:t xml:space="preserve">تفاوت ترس و اضطراب.</w:t>
      </w:r>
    </w:p>
    <w:p>
      <w:pPr>
        <w:bidi w:val="1"/>
        <w:spacing w:lineRule="exact" w:line="580" w:after="0"/>
        <w:jc w:val="both"/>
      </w:pPr>
      <w:r>
        <w:rPr>
          <w:rFonts w:ascii="B Nazanin" w:hAnsi="B Nazanin" w:cs="B Nazanin" w:hint="cs"/>
          <w:sz w:val="24"/>
          <w:szCs w:val="24"/>
          <w:rtl/>
          <w:lang w:bidi="fa-IR"/>
        </w:rPr>
        <w:t xml:space="preserve">گرچه در زبان روزمره، واژگان ترس و اضطراب اغلب به جای یکدیگر به کار می‌روند، اما در روانشناسی، این دو، سازه‌هایی کاملاً متمایز با مدارهای عصبی متفاوت هستند. اصلی‌ترین تفاوت آن‌ها در منبع و زمان‌بندی تهدید ادراک‌شده نهفته است (بارلو، ۲۰۰۲؛ هارتلی و فلپس</w:t>
      </w:r>
      <w:r>
        <w:rPr>
          <w:rFonts w:ascii="B Nazanin" w:hAnsi="B Nazanin" w:cs="B Nazanin" w:hint="cs"/>
          <w:vertAlign w:val="superscript"/>
          <w:rtl/>
        </w:rPr>
        <w:footnoteReference w:id="81"/>
      </w:r>
      <w:r>
        <w:rPr>
          <w:rFonts w:ascii="B Nazanin" w:hAnsi="B Nazanin" w:cs="B Nazanin" w:hint="cs"/>
          <w:sz w:val="24"/>
          <w:szCs w:val="24"/>
          <w:rtl/>
          <w:lang w:bidi="fa-IR"/>
        </w:rPr>
        <w:t xml:space="preserve">، ۲۰۱۲).</w:t>
      </w:r>
    </w:p>
    <w:p>
      <w:pPr>
        <w:bidi w:val="1"/>
        <w:spacing w:lineRule="exact" w:line="580" w:after="0"/>
        <w:jc w:val="both"/>
      </w:pPr>
      <w:r>
        <w:rPr>
          <w:rFonts w:ascii="B Nazanin" w:hAnsi="B Nazanin" w:cs="B Nazanin" w:hint="cs"/>
          <w:sz w:val="24"/>
          <w:szCs w:val="24"/>
          <w:rtl/>
          <w:lang w:bidi="fa-IR"/>
        </w:rPr>
        <w:t xml:space="preserve">منبع تهدید: ترس، واکنشی هیجانی به یک خطر مشخص، عینی و قریب‌الوقوع در زمان حال است. برای مثال، مواجهه با یک حیوان درنده یا مشاهده سقوط ناگهانی و شدید شاخص بورس، واکنش ترس را برمی‌انگیزد. در مقابل، اضطراب واکنشی به یک تهدید مبهم، درونی و معطوف به آینده است. معامله‌گری که نگران احتمال وقوع یک بحران مالی در ماه‌های آینده است یا از امکان شکست در معاملات بعدی خود هراسان است، در حال تجربه اضطراب است، نه ترس (گروپ و نیچکه، ۲۰۱۳). به عبارت دیگر، ترس پاسخی به یک خطر واقعی و حاضر است، در حالی که اضطراب پاسخی به یک «چه می‌شود اگر...» است.</w:t>
      </w:r>
    </w:p>
    <w:p>
      <w:pPr>
        <w:bidi w:val="1"/>
        <w:spacing w:lineRule="exact" w:line="580" w:after="0"/>
        <w:jc w:val="both"/>
      </w:pPr>
      <w:r>
        <w:rPr>
          <w:rFonts w:ascii="B Nazanin" w:hAnsi="B Nazanin" w:cs="B Nazanin" w:hint="cs"/>
          <w:sz w:val="24"/>
          <w:szCs w:val="24"/>
          <w:rtl/>
          <w:lang w:bidi="fa-IR"/>
        </w:rPr>
        <w:t xml:space="preserve">جهت‌گیری زمانی: این تفاوت در منبع، مستقیماً به جهت‌گیری زمانی این دو هیجان منجر می‌شود. ترس، یک هیجان حال-محور است که سیستم «جنگ یا گریز» را برای بقای فوری فعال می‌کند. اما اضطراب، یک حالت هیجانی آینده-محور است که فرد را در یک وضعیت «آماده‌باش و گوش‌به‌زنگی» مزمن برای مواجهه با خطرات احتمالی آینده قرار می‌دهد. این حالت گوش‌به‌زنگی، اگرچه می‌تواند سازگارانه باشد، اما در صورت تداوم، منابع شناختی فرد را به شدت تحلیل برده و او را مستعد سوگیری در پردازش اطلاعات می‌کند (بیشاپ، ۲۰۰۷).</w:t>
      </w:r>
    </w:p>
    <w:p>
      <w:pPr>
        <w:bidi w:val="1"/>
        <w:spacing w:lineRule="exact" w:line="580" w:after="0"/>
        <w:jc w:val="both"/>
      </w:pPr>
      <w:r>
        <w:rPr>
          <w:rFonts w:ascii="B Nazanin" w:hAnsi="B Nazanin" w:cs="B Nazanin" w:hint="cs"/>
          <w:sz w:val="24"/>
          <w:szCs w:val="24"/>
          <w:rtl/>
          <w:lang w:bidi="fa-IR"/>
        </w:rPr>
        <w:t xml:space="preserve">مدار عصبی: از منظر عصب‌شناختی، ترس پاسخی سریع و خودکار است که عمدتاً توسط آمیگدال مدیریت می‌شود تا واکنش فوری برای بقا را ممکن سازد. در مقابل، اضطراب فرآیندی پیچیده‌تر است که شامل فعالیت پایدار در هسته بستر استریا ترمینالیس</w:t>
      </w:r>
      <w:r>
        <w:rPr>
          <w:rFonts w:ascii="B Nazanin" w:hAnsi="B Nazanin" w:cs="B Nazanin" w:hint="cs"/>
          <w:vertAlign w:val="superscript"/>
          <w:rtl/>
        </w:rPr>
        <w:footnoteReference w:id="20"/>
      </w:r>
      <w:r>
        <w:rPr>
          <w:rFonts w:ascii="B Nazanin" w:hAnsi="B Nazanin" w:cs="B Nazanin" w:hint="cs"/>
          <w:sz w:val="24"/>
          <w:szCs w:val="24"/>
          <w:rtl/>
          <w:lang w:bidi="fa-IR"/>
        </w:rPr>
        <w:t xml:space="preserve"> و تعامل گسترده با قشر پیش‌پیشانی (مرکز برنامه‌ریزی و تفکر انتزاعی) می‌شود (گروپ و نیچکه، ۲۰۱۳). این تمایز بسیار کلیدی است؛ زیرا نشان می‌دهد اضطراب، برخلاف ترس، به شدت با فرآیندهای شناختی عالی مانند قضاوت، تحلیل و پیش‌بینی گره خورده و به همین دلیل پتانسیل بالایی برای ایجاد سوگیری در این فرآیندها دارد..</w:t>
      </w:r>
    </w:p>
    <w:p>
      <w:pPr>
        <w:bidi w:val="1"/>
        <w:spacing w:lineRule="exact" w:line="580" w:after="0"/>
        <w:jc w:val="both"/>
      </w:pPr>
      <w:r>
        <w:rPr>
          <w:rFonts w:ascii="B Nazanin" w:hAnsi="B Nazanin" w:cs="B Nazanin" w:hint="cs"/>
          <w:b/>
          <w:bCs/>
          <w:sz w:val="24"/>
          <w:szCs w:val="24"/>
          <w:rtl/>
          <w:lang w:bidi="fa-IR"/>
        </w:rPr>
        <w:t xml:space="preserve">تفاوت اضطراب بهنجار و مرضی.</w:t>
      </w:r>
    </w:p>
    <w:p>
      <w:pPr>
        <w:bidi w:val="1"/>
        <w:spacing w:lineRule="exact" w:line="580" w:after="0"/>
        <w:jc w:val="both"/>
      </w:pPr>
      <w:r>
        <w:rPr>
          <w:rFonts w:ascii="B Nazanin" w:hAnsi="B Nazanin" w:cs="B Nazanin" w:hint="cs"/>
          <w:sz w:val="24"/>
          <w:szCs w:val="24"/>
          <w:rtl/>
          <w:lang w:bidi="fa-IR"/>
        </w:rPr>
        <w:t xml:space="preserve">اضطراب، به خودی خود، یک اختلال نیست؛ بلکه یک هیجان طبیعی و ضروری برای زندگی است. مرز بین اضطراب بهنجار (سازگارانه) و مرضی (ناسازگارانه) با سه معیار اصلی تعیین می‌شود: شدت، مدت و اختلال در عملکرد.</w:t>
      </w:r>
    </w:p>
    <w:p>
      <w:pPr>
        <w:bidi w:val="1"/>
        <w:spacing w:lineRule="exact" w:line="580" w:after="0"/>
        <w:jc w:val="both"/>
      </w:pPr>
      <w:r>
        <w:rPr>
          <w:rFonts w:ascii="B Nazanin" w:hAnsi="B Nazanin" w:cs="B Nazanin" w:hint="cs"/>
          <w:sz w:val="24"/>
          <w:szCs w:val="24"/>
          <w:rtl/>
          <w:lang w:bidi="fa-IR"/>
        </w:rPr>
        <w:t xml:space="preserve">شدت و مدت: اضطراب بهنجار، واکنشی متناسب با موقعیت است و با برطرف شدن عامل تهدید، فروکش می‌کند. برای مثال، احساس دلهره پیش از یک ارائه مهم، کاملاً طبیعی است. اما اضطراب مرضی، واکنشی نامتناسب، شدید و طولانی‌مدت است. این حالت پایدار، نتیجه چیزی است که بارلو (۲۰۰۲) آن را «هشدار کاذب» می‌نامد؛ در این وضعیت، سیستم اضطراب بدن در غیاب یک تهدید واقعی فعال شده و فرد را در یک حالت برانگیختگی مزمن نگه می‌دارد.که حتی در غیاب یک محرک واقعی نیز ادامه می‌یابد. فردی که هفته‌ها پس از یک زیان کوچک در بازار، همچنان دچار بی‌خوابی و نگرانی فلج‌کننده است، اضطراب مرضی را تجربه می‌کند.</w:t>
      </w:r>
    </w:p>
    <w:p>
      <w:pPr>
        <w:bidi w:val="1"/>
        <w:spacing w:lineRule="exact" w:line="580" w:after="0"/>
        <w:jc w:val="both"/>
      </w:pPr>
      <w:r>
        <w:rPr>
          <w:rFonts w:ascii="B Nazanin" w:hAnsi="B Nazanin" w:cs="B Nazanin" w:hint="cs"/>
          <w:sz w:val="24"/>
          <w:szCs w:val="24"/>
          <w:rtl/>
          <w:lang w:bidi="fa-IR"/>
        </w:rPr>
        <w:t xml:space="preserve">اختلال در عملکرد: مهم‌ترین شاخص برای تمایز این دو، میزان تأثیر مخرب بر زندگی روزمره فرد است. اضطراب زمانی مرضی تلقی می‌شود که به طور معناداری عملکرد شغلی، تحصیلی یا اجتماعی فرد را مختل کند (انجمن روانپزشکی آمریکا</w:t>
      </w:r>
      <w:r>
        <w:rPr>
          <w:rFonts w:ascii="B Nazanin" w:hAnsi="B Nazanin" w:cs="B Nazanin" w:hint="cs"/>
          <w:vertAlign w:val="superscript"/>
          <w:rtl/>
        </w:rPr>
        <w:footnoteReference w:id="82"/>
      </w:r>
      <w:r>
        <w:rPr>
          <w:rFonts w:ascii="B Nazanin" w:hAnsi="B Nazanin" w:cs="B Nazanin" w:hint="cs"/>
          <w:sz w:val="24"/>
          <w:szCs w:val="24"/>
          <w:rtl/>
          <w:lang w:bidi="fa-IR"/>
        </w:rPr>
        <w:t xml:space="preserve">، ۲۰۱۳). برای یک معامله‌گر، این اختلال می‌تواند خود را به شکل «فلج تحلیلی» (ناتوانی درتمرکز و تصمیم‌گیری) (گامبتی و گیوسبرتی</w:t>
      </w:r>
      <w:r>
        <w:rPr>
          <w:rFonts w:ascii="B Nazanin" w:hAnsi="B Nazanin" w:cs="B Nazanin" w:hint="cs"/>
          <w:vertAlign w:val="superscript"/>
          <w:rtl/>
        </w:rPr>
        <w:footnoteReference w:id="83"/>
      </w:r>
      <w:r>
        <w:rPr>
          <w:rFonts w:ascii="B Nazanin" w:hAnsi="B Nazanin" w:cs="B Nazanin" w:hint="cs"/>
          <w:sz w:val="24"/>
          <w:szCs w:val="24"/>
          <w:rtl/>
          <w:lang w:bidi="fa-IR"/>
        </w:rPr>
        <w:t xml:space="preserve">، ۲۰۱۲).، «اجتناب از بازار» (ترس از انجام هرگونه معامله) یا برعکس(لو و همکاران</w:t>
      </w:r>
      <w:r>
        <w:rPr>
          <w:rFonts w:ascii="B Nazanin" w:hAnsi="B Nazanin" w:cs="B Nazanin" w:hint="cs"/>
          <w:vertAlign w:val="superscript"/>
          <w:rtl/>
        </w:rPr>
        <w:footnoteReference w:id="84"/>
      </w:r>
      <w:r>
        <w:rPr>
          <w:rFonts w:ascii="B Nazanin" w:hAnsi="B Nazanin" w:cs="B Nazanin" w:hint="cs"/>
          <w:sz w:val="24"/>
          <w:szCs w:val="24"/>
          <w:rtl/>
          <w:lang w:bidi="fa-IR"/>
        </w:rPr>
        <w:t xml:space="preserve">، ۲۰۰۵).، «رفتارهای تکانشی و پرخطر» (برای فرار از حس ناخوشایند اضطراب) نشان دهد. در واقع، اضطراب از یک «ابزار» مفید به یک «مانع» بزرگ در مسیر تصمیم‌گیری عقلانی تبدیل می‌شود.</w:t>
      </w:r>
    </w:p>
    <w:p>
      <w:pPr>
        <w:pStyle w:val="Heading4"/>
        <w:bidi w:val="1"/>
        <w:jc w:val="right"/>
      </w:pPr>
      <w:r>
        <w:rPr>
          <w:rFonts w:ascii="B Nazanin" w:hAnsi="B Nazanin" w:cs="B Nazanin" w:hint="cs"/>
          <w:b/>
          <w:bCs/>
          <w:sz w:val="24"/>
          <w:szCs w:val="24"/>
          <w:rtl/>
          <w:lang w:bidi="fa-IR"/>
        </w:rPr>
        <w:t xml:space="preserve">۲-۲-۱-۲ مبانی زیست‌شناختی و عصب‌شناختی اضطراب</w:t>
      </w:r>
    </w:p>
    <w:p>
      <w:pPr>
        <w:bidi w:val="1"/>
        <w:spacing w:lineRule="exact" w:line="580" w:after="0"/>
        <w:jc w:val="both"/>
      </w:pPr>
      <w:r>
        <w:rPr>
          <w:rFonts w:ascii="B Nazanin" w:hAnsi="B Nazanin" w:cs="B Nazanin" w:hint="cs"/>
          <w:sz w:val="24"/>
          <w:szCs w:val="24"/>
          <w:rtl/>
          <w:lang w:bidi="fa-IR"/>
        </w:rPr>
        <w:t xml:space="preserve">دیدگاه‌های روانشناختی، چارچوبی برای فهم تجربه و تفسیر اضطراب فراهم می‌کنند، اما پیشرفت‌های چشمگیر در علوم اعصاب در دهه‌های اخیر، این امکان را فراهم آورده است که به «سخت‌افزار» بیولوژیک این هیجان بتوان نگاهی عمیق‌تر انداخت. درک مبانی زیست‌شناختی نشان می‌دهد که چرا برخی افراد به طور ذاتی مستعد اضطراب بیشتری هستند و چگونه این استعداد در سطح مدارهای مغزی، انتقال‌دهنده‌های عصبی و واکنش‌های فیزیولوژیک، به یک واقعیت ملموس تبدیل می‌شود.</w:t>
      </w:r>
    </w:p>
    <w:p>
      <w:pPr>
        <w:bidi w:val="1"/>
        <w:spacing w:lineRule="exact" w:line="580" w:after="0"/>
        <w:jc w:val="both"/>
      </w:pPr>
      <w:r>
        <w:rPr>
          <w:rFonts w:ascii="B Nazanin" w:hAnsi="B Nazanin" w:cs="B Nazanin" w:hint="cs"/>
          <w:b/>
          <w:bCs/>
          <w:sz w:val="24"/>
          <w:szCs w:val="24"/>
          <w:rtl/>
          <w:lang w:bidi="fa-IR"/>
        </w:rPr>
        <w:t xml:space="preserve">ساختارهای مغزی درگیر در اضطراب.</w:t>
      </w:r>
    </w:p>
    <w:p>
      <w:pPr>
        <w:bidi w:val="1"/>
        <w:spacing w:lineRule="exact" w:line="580" w:after="0"/>
        <w:jc w:val="both"/>
      </w:pPr>
      <w:r>
        <w:rPr>
          <w:rFonts w:ascii="B Nazanin" w:hAnsi="B Nazanin" w:cs="B Nazanin" w:hint="cs"/>
          <w:sz w:val="24"/>
          <w:szCs w:val="24"/>
          <w:rtl/>
          <w:lang w:bidi="fa-IR"/>
        </w:rPr>
        <w:t xml:space="preserve">اضطراب محصول فعالیت یک بخش مجزا از مغز نیست، بلکه نتیجه تعامل پیچیده در شبکه‌ای از ساختارهای مغزی است که به آن «شبکه ترس» یا «شبکه اضطراب» می‌گویند. سه بخش کلیدی در این شبکه عبارتند از:</w:t>
      </w:r>
    </w:p>
    <w:p>
      <w:pPr>
        <w:bidi w:val="1"/>
        <w:spacing w:lineRule="exact" w:line="580" w:after="0"/>
        <w:jc w:val="both"/>
      </w:pPr>
      <w:r>
        <w:rPr>
          <w:rFonts w:ascii="B Nazanin" w:hAnsi="B Nazanin" w:cs="B Nazanin" w:hint="cs"/>
          <w:sz w:val="24"/>
          <w:szCs w:val="24"/>
          <w:rtl/>
          <w:lang w:bidi="fa-IR"/>
        </w:rPr>
        <w:t xml:space="preserve">آمیگدال: این ساختار بادامی‌شکل در عمق لوب گیجگاهی، به عنوان «آژیر خطر» یا «سیستم تشخیص تهدید» مغز عمل می‌کند. آمیگدال به طور مداوم اطلاعات ورودی از حواس را برای یافتن نشانه‌های خطر اسکن کرده و قادر است پیش از آنکه اطلاعات به قشر مغز (مرکز تفکر آگاهانه) برسد، یک واکنش سریع و خودکار ترس را فعال کند (بیشاپ، ۲۰۰۷). در افراد با اضطراب صفتی بالا، آمیگدال بیش‌فعال است؛ یعنی آستانه تحریک آن پایین‌تر بوده و حتی به محرک‌های خنثی یا مبهم نیز به گونه‌ای واکنش نشان می‌دهد که گویی یک تهدید واقعی هستند. این پدیده توضیح می‌دهد چرا یک نوسان عادی در نمودار قیمت می‌تواند در یک معامله‌گر مضطرب، یک واکنش هیجانی شدید و آنی ایجاد کند.</w:t>
      </w:r>
    </w:p>
    <w:p>
      <w:pPr>
        <w:bidi w:val="1"/>
        <w:spacing w:lineRule="exact" w:line="580" w:after="0"/>
        <w:jc w:val="both"/>
      </w:pPr>
      <w:r>
        <w:rPr>
          <w:rFonts w:ascii="B Nazanin" w:hAnsi="B Nazanin" w:cs="B Nazanin" w:hint="cs"/>
          <w:sz w:val="24"/>
          <w:szCs w:val="24"/>
          <w:rtl/>
          <w:lang w:bidi="fa-IR"/>
        </w:rPr>
        <w:t xml:space="preserve">قشر پیش‌پیشانی: این بخش، که در جلوی مغز قرار دارد، «مدیرعامل» اجرایی مغز است و مسئول کارکردهایی نظیر برنامه‌ریزی، تصمیم‌گیری منطقی، کنترل تکانه و تنظیم هیجان است. یکی از وظایف اصلی قشر پیش‌پیشانی، اعمال کنترل «بالا به پایین» بر آمیگدال و تعدیل واکنش‌های هیجانی است. در یک مغز سالم، زمانی که آمیگدال سیگنال خطر را صادر می‌کند، قشر پیش‌پیشانی به سرعت موقعیت را ارزیابی کرده و در صورت غیرواقعی بودن تهدید، به آمیگدال دستور «آرام باش» می‌دهد. اما پژوهش‌های تصویربرداری عصبی نشان داده‌اند که در افراد مضطرب، این ارتباط دوطرفه مختل است؛ فعالیت بیش از حد آمیگدال، عملکرد قشر پیش‌پیشانی را «می‌رباید» و توانایی فرد برای تفکر منطقی و تنظیم هیجان را به شدت کاهش می‌دهد (هارتلی و فلپس، ۲۰۱۲؛ دی مارتینو و همکاران</w:t>
      </w:r>
      <w:r>
        <w:rPr>
          <w:rFonts w:ascii="B Nazanin" w:hAnsi="B Nazanin" w:cs="B Nazanin" w:hint="cs"/>
          <w:vertAlign w:val="superscript"/>
          <w:rtl/>
        </w:rPr>
        <w:footnoteReference w:id="85"/>
      </w:r>
      <w:r>
        <w:rPr>
          <w:rFonts w:ascii="B Nazanin" w:hAnsi="B Nazanin" w:cs="B Nazanin" w:hint="cs"/>
          <w:sz w:val="24"/>
          <w:szCs w:val="24"/>
          <w:rtl/>
          <w:lang w:bidi="fa-IR"/>
        </w:rPr>
        <w:t xml:space="preserve">، ۲۰۰۶).</w:t>
      </w:r>
    </w:p>
    <w:p>
      <w:pPr>
        <w:bidi w:val="1"/>
        <w:spacing w:lineRule="exact" w:line="580" w:after="0"/>
        <w:jc w:val="both"/>
      </w:pPr>
      <w:r>
        <w:rPr>
          <w:rFonts w:ascii="B Nazanin" w:hAnsi="B Nazanin" w:cs="B Nazanin" w:hint="cs"/>
          <w:sz w:val="24"/>
          <w:szCs w:val="24"/>
          <w:rtl/>
          <w:lang w:bidi="fa-IR"/>
        </w:rPr>
        <w:t xml:space="preserve">هیپوکامپ: این ساختار که در مجاورت آمیگدال قرار دارد، نقشی کلیدی در شکل‌گیری و بازیابی حافظه، به ویژه حافظه مرتبط با زمینه (کانتکست) ایفا می‌کند. هیپوکامپ به مغز کمک می‌کند تا تشخیص دهد که یک محرک خاص در چه زمینه‌ای خطرناک و در چه زمینه‌ای ایمن است. اختلال در عملکرد هیپوکامپ می‌تواند منجر به «تعمیم بیش از حد ترس» شود؛ به این معنا که فرد اضطراب آموخته‌شده در یک موقعیت خاص (مثلاً زیان در بازار سهام) را به موقعیت‌های مشابه اما ایمن (مثلاً هر نوع سرمایه‌گذاری دیگر) نیز تعمیم می‌دهد.</w:t>
      </w:r>
    </w:p>
    <w:p>
      <w:pPr>
        <w:bidi w:val="1"/>
        <w:spacing w:lineRule="exact" w:line="580" w:after="0"/>
        <w:jc w:val="both"/>
      </w:pPr>
      <w:r>
        <w:rPr>
          <w:rFonts w:ascii="B Nazanin" w:hAnsi="B Nazanin" w:cs="B Nazanin" w:hint="cs"/>
          <w:b/>
          <w:bCs/>
          <w:sz w:val="24"/>
          <w:szCs w:val="24"/>
          <w:rtl/>
          <w:lang w:bidi="fa-IR"/>
        </w:rPr>
        <w:t xml:space="preserve">نقش انتقال‌دهنده‌های عصبی.</w:t>
      </w:r>
    </w:p>
    <w:p>
      <w:pPr>
        <w:bidi w:val="1"/>
        <w:spacing w:lineRule="exact" w:line="580" w:after="0"/>
        <w:jc w:val="both"/>
      </w:pPr>
      <w:r>
        <w:rPr>
          <w:rFonts w:ascii="B Nazanin" w:hAnsi="B Nazanin" w:cs="B Nazanin" w:hint="cs"/>
          <w:sz w:val="24"/>
          <w:szCs w:val="24"/>
          <w:rtl/>
          <w:lang w:bidi="fa-IR"/>
        </w:rPr>
        <w:t xml:space="preserve">ارتباط بین این ساختارهای مغزی از طریق مواد شیمیایی به نام انتقال‌دهنده‌های عصبی برقرار می‌شود. عدم تعادل در سه سیستم اصلی انتقال‌دهنده عصبی، ارتباط تنگاتنگی با اضطراب دارد:</w:t>
      </w:r>
    </w:p>
    <w:p>
      <w:pPr>
        <w:bidi w:val="1"/>
        <w:spacing w:lineRule="exact" w:line="580" w:after="0"/>
        <w:jc w:val="both"/>
      </w:pPr>
      <w:r>
        <w:rPr>
          <w:rFonts w:ascii="B Nazanin" w:hAnsi="B Nazanin" w:cs="B Nazanin" w:hint="cs"/>
          <w:sz w:val="24"/>
          <w:szCs w:val="24"/>
          <w:rtl/>
          <w:lang w:bidi="fa-IR"/>
        </w:rPr>
        <w:t xml:space="preserve">سیستم گابا: گابا اصلی‌ترین انتقال‌دهنده عصبی مهارکننده در مغز است و مانند «ترمز» سیستم عصبی عمل می‌کند. کاهش فعالیت گابا یا حساسیت کم گیرنده‌های آن، منجر به برانگیختگی و فعالیت عصبی کنترل‌نشده می‌شود که در سطح ذهنی به صورت اضطراب تجربه می‌گردد. بسیاری از داروهای ضداضطراب رایج، مانند بنزودیازپین‌ها، با تقویت اثر گابا عمل می‌کنند.</w:t>
      </w:r>
    </w:p>
    <w:p>
      <w:pPr>
        <w:bidi w:val="1"/>
        <w:spacing w:lineRule="exact" w:line="580" w:after="0"/>
        <w:jc w:val="both"/>
      </w:pPr>
      <w:r>
        <w:rPr>
          <w:rFonts w:ascii="B Nazanin" w:hAnsi="B Nazanin" w:cs="B Nazanin" w:hint="cs"/>
          <w:sz w:val="24"/>
          <w:szCs w:val="24"/>
          <w:rtl/>
          <w:lang w:bidi="fa-IR"/>
        </w:rPr>
        <w:t xml:space="preserve">سیستم سروتونین: این سیستم نقشی بسیار پیچیده در تنظیم خلق، خواب و اضطراب دارد. شواهد متعددی نشان می‌دهند که اختلال در عملکرد سروتونین با اضطراب و افسردگی مرتبط است. داروهای مهارکننده بازجذب سروتونین</w:t>
      </w:r>
      <w:r>
        <w:rPr>
          <w:rFonts w:ascii="B Nazanin" w:hAnsi="B Nazanin" w:cs="B Nazanin" w:hint="cs"/>
          <w:vertAlign w:val="superscript"/>
          <w:rtl/>
        </w:rPr>
        <w:footnoteReference w:id="21"/>
      </w:r>
      <w:r>
        <w:rPr>
          <w:rFonts w:ascii="B Nazanin" w:hAnsi="B Nazanin" w:cs="B Nazanin" w:hint="cs"/>
          <w:sz w:val="24"/>
          <w:szCs w:val="24"/>
          <w:rtl/>
          <w:lang w:bidi="fa-IR"/>
        </w:rPr>
        <w:t xml:space="preserve"> که خط اول درمان بسیاری از اختلالات اضطرابی هستند، با افزایش سطح سروتونین در سیناپس‌ها عمل می‌کنند. پژوهش‌های ژنتیکی نیز نشان داده‌اند که برخی از واریانت‌های ژن انتقال‌دهنده سروتونین</w:t>
      </w:r>
      <w:r>
        <w:rPr>
          <w:rFonts w:ascii="Times New Roman" w:hAnsi="Times New Roman" w:cs="Times New Roman"/>
          <w:sz w:val="22"/>
          <w:szCs w:val="22"/>
          <w:lang w:val="en-US"/>
        </w:rPr>
        <w:t xml:space="preserve"> (5-HTTLPR)</w:t>
      </w:r>
      <w:r>
        <w:rPr>
          <w:rFonts w:ascii="B Nazanin" w:hAnsi="B Nazanin" w:cs="B Nazanin" w:hint="cs"/>
          <w:sz w:val="24"/>
          <w:szCs w:val="24"/>
          <w:rtl/>
          <w:lang w:bidi="fa-IR"/>
        </w:rPr>
        <w:t xml:space="preserve">، افراد را به طور ذاتی مستعد اضطراب صفتی بالاتر و رفتارهای مالی ریسک‌گریزتر می‌کند (کوهنن و چیائو</w:t>
      </w:r>
      <w:r>
        <w:rPr>
          <w:rFonts w:ascii="B Nazanin" w:hAnsi="B Nazanin" w:cs="B Nazanin" w:hint="cs"/>
          <w:vertAlign w:val="superscript"/>
          <w:rtl/>
        </w:rPr>
        <w:footnoteReference w:id="86"/>
      </w:r>
      <w:r>
        <w:rPr>
          <w:rFonts w:ascii="B Nazanin" w:hAnsi="B Nazanin" w:cs="B Nazanin" w:hint="cs"/>
          <w:sz w:val="24"/>
          <w:szCs w:val="24"/>
          <w:rtl/>
          <w:lang w:bidi="fa-IR"/>
        </w:rPr>
        <w:t xml:space="preserve">، ۲۰۰۹).</w:t>
      </w:r>
    </w:p>
    <w:p>
      <w:pPr>
        <w:bidi w:val="1"/>
        <w:spacing w:lineRule="exact" w:line="580" w:after="0"/>
        <w:jc w:val="both"/>
      </w:pPr>
      <w:r>
        <w:rPr>
          <w:rFonts w:ascii="B Nazanin" w:hAnsi="B Nazanin" w:cs="B Nazanin" w:hint="cs"/>
          <w:sz w:val="24"/>
          <w:szCs w:val="24"/>
          <w:rtl/>
          <w:lang w:bidi="fa-IR"/>
        </w:rPr>
        <w:t xml:space="preserve">سیستم نوراپی‌نفرین (نورآدرنالین): این انتقال‌دهنده، که در بخش‌هایی از مغز مانند «لوکوس سرولئوس» تولید می‌شود، کلید اصلی پاسخ «جنگ یا گریز» و افزایش هوشیاری و برانگیختگی است. فعالیت بیش از حد این سیستم، که در افراد دارای اختلالات اضطرابی شایع است، منجر به علائم جسمانی شدید اضطراب مانند تپش قلب و افزایش فشار خون می‌شود (کاپلان و سادوک، ۲۰۱۵).</w:t>
      </w:r>
    </w:p>
    <w:p>
      <w:pPr>
        <w:bidi w:val="1"/>
        <w:spacing w:lineRule="exact" w:line="580" w:after="0"/>
        <w:jc w:val="both"/>
      </w:pPr>
      <w:r>
        <w:rPr>
          <w:rFonts w:ascii="B Nazanin" w:hAnsi="B Nazanin" w:cs="B Nazanin" w:hint="cs"/>
          <w:b/>
          <w:bCs/>
          <w:sz w:val="24"/>
          <w:szCs w:val="24"/>
          <w:rtl/>
          <w:lang w:bidi="fa-IR"/>
        </w:rPr>
        <w:t xml:space="preserve">سیستم عصبی خودمختار و علائم جسمانی.</w:t>
      </w:r>
    </w:p>
    <w:p>
      <w:pPr>
        <w:bidi w:val="1"/>
        <w:spacing w:lineRule="exact" w:line="580" w:after="0"/>
        <w:jc w:val="both"/>
      </w:pPr>
      <w:r>
        <w:rPr>
          <w:rFonts w:ascii="B Nazanin" w:hAnsi="B Nazanin" w:cs="B Nazanin" w:hint="cs"/>
          <w:sz w:val="24"/>
          <w:szCs w:val="24"/>
          <w:rtl/>
          <w:lang w:bidi="fa-IR"/>
        </w:rPr>
        <w:t xml:space="preserve">تجربه بدنی اضطراب، محصول فعالیت سیستم عصبی خودمختار است که خود به دو شاخه تقسیم می‌شود: شاخه سمپاتیک (گاز) که بدن را برای عمل بسیج می‌کند، و شاخه پاراسمپاتیک (ترمز) که بدن را به حالت آرامش بازمی‌گرداند. در حالت اضطراب، تعادل به نفع شاخه سمپاتیک به هم می‌خورد و مجموعه‌ای از واکنش‌های فیزیولوژیک مانند افزایش ضربان قلب، تنفس سریع و سطحی، تعریق و انقباض عضلات رخ می‌دهد. یکی از شاخص‌های مهم این تعادل، «تغییرپذیری ضربان قلب»</w:t>
      </w:r>
      <w:r>
        <w:rPr>
          <w:rFonts w:ascii="B Nazanin" w:hAnsi="B Nazanin" w:cs="B Nazanin" w:hint="cs"/>
          <w:vertAlign w:val="superscript"/>
          <w:rtl/>
        </w:rPr>
        <w:footnoteReference w:id="22"/>
      </w:r>
      <w:r>
        <w:rPr>
          <w:rFonts w:ascii="B Nazanin" w:hAnsi="B Nazanin" w:cs="B Nazanin" w:hint="cs"/>
          <w:sz w:val="24"/>
          <w:szCs w:val="24"/>
          <w:rtl/>
          <w:lang w:bidi="fa-IR"/>
        </w:rPr>
        <w:t xml:space="preserve"> است</w:t>
      </w:r>
      <w:r>
        <w:rPr>
          <w:rFonts w:ascii="Times New Roman" w:hAnsi="Times New Roman" w:cs="Times New Roman"/>
          <w:sz w:val="22"/>
          <w:szCs w:val="22"/>
          <w:lang w:val="en-US"/>
        </w:rPr>
        <w:t xml:space="preserve">. HRV </w:t>
      </w:r>
      <w:r>
        <w:rPr>
          <w:rFonts w:ascii="B Nazanin" w:hAnsi="B Nazanin" w:cs="B Nazanin" w:hint="cs"/>
          <w:sz w:val="24"/>
          <w:szCs w:val="24"/>
          <w:rtl/>
          <w:lang w:bidi="fa-IR"/>
        </w:rPr>
        <w:t xml:space="preserve">بالا نشان‌دهنده انعطاف‌پذیری سیستم عصبی و توانایی خوب در تنظیم هیجان است. مطالعات نشان داده‌اند که معامله‌گران حرفه‌ای و موفق،</w:t>
      </w:r>
      <w:r>
        <w:rPr>
          <w:rFonts w:ascii="Times New Roman" w:hAnsi="Times New Roman" w:cs="Times New Roman"/>
          <w:sz w:val="22"/>
          <w:szCs w:val="22"/>
          <w:lang w:val="en-US"/>
        </w:rPr>
        <w:t xml:space="preserve"> HRV </w:t>
      </w:r>
      <w:r>
        <w:rPr>
          <w:rFonts w:ascii="B Nazanin" w:hAnsi="B Nazanin" w:cs="B Nazanin" w:hint="cs"/>
          <w:sz w:val="24"/>
          <w:szCs w:val="24"/>
          <w:rtl/>
          <w:lang w:bidi="fa-IR"/>
        </w:rPr>
        <w:t xml:space="preserve">بالاتری نسبت به معامله‌گران مبتدی دارند، که این امر نشان‌دهنده توانایی فیزیولوژیک آن‌ها در حفظ آرامش تحت فشار است (فنتون-اکریوی و همکاران، ۲۰۱۲).</w:t>
      </w:r>
    </w:p>
    <w:p>
      <w:pPr>
        <w:pStyle w:val="Heading4"/>
        <w:bidi w:val="1"/>
        <w:jc w:val="right"/>
      </w:pPr>
      <w:r>
        <w:rPr>
          <w:rFonts w:ascii="B Nazanin" w:hAnsi="B Nazanin" w:cs="B Nazanin" w:hint="cs"/>
          <w:b/>
          <w:bCs/>
          <w:sz w:val="24"/>
          <w:szCs w:val="24"/>
          <w:rtl/>
          <w:lang w:bidi="fa-IR"/>
        </w:rPr>
        <w:t xml:space="preserve">۲-۲-۱-۳ دیدگاه‌های روانشناختی درباره اضطراب</w:t>
      </w:r>
    </w:p>
    <w:p>
      <w:pPr>
        <w:bidi w:val="1"/>
        <w:spacing w:lineRule="exact" w:line="580" w:after="0"/>
        <w:jc w:val="both"/>
      </w:pPr>
      <w:r>
        <w:rPr>
          <w:rFonts w:ascii="B Nazanin" w:hAnsi="B Nazanin" w:cs="B Nazanin" w:hint="cs"/>
          <w:sz w:val="24"/>
          <w:szCs w:val="24"/>
          <w:rtl/>
          <w:lang w:bidi="fa-IR"/>
        </w:rPr>
        <w:t xml:space="preserve">تلاش برای تبیین ریشه‌ها و مکانیزم‌های اضطراب، منجر به شکل‌گیری مکاتب و دیدگاه‌های نظری متعددی در حوزه روانشناسی شده است. هر یک از این دیدگاه‌ها، از زاویه‌ای متفاوت به این هیجان پیچیده نگریسته و جنبه‌ای از آن را روشن ساخته‌اند. در ادامه، چهار دیدگاه اصلی روانکاوی، رفتاری، شناختی و وجودی که درک کنونی از اضطراب را شکل داده‌اند، مورد بررسی قرار می‌گیرند.</w:t>
      </w:r>
    </w:p>
    <w:p>
      <w:pPr>
        <w:bidi w:val="1"/>
        <w:spacing w:lineRule="exact" w:line="580" w:after="0"/>
        <w:jc w:val="both"/>
      </w:pPr>
      <w:r>
        <w:rPr>
          <w:rFonts w:ascii="B Nazanin" w:hAnsi="B Nazanin" w:cs="B Nazanin" w:hint="cs"/>
          <w:b/>
          <w:bCs/>
          <w:sz w:val="24"/>
          <w:szCs w:val="24"/>
          <w:rtl/>
          <w:lang w:bidi="fa-IR"/>
        </w:rPr>
        <w:t xml:space="preserve">دیدگاه روانکاوی.</w:t>
      </w:r>
    </w:p>
    <w:p>
      <w:pPr>
        <w:bidi w:val="1"/>
        <w:spacing w:lineRule="exact" w:line="580" w:after="0"/>
        <w:jc w:val="both"/>
      </w:pPr>
      <w:r>
        <w:rPr>
          <w:rFonts w:ascii="B Nazanin" w:hAnsi="B Nazanin" w:cs="B Nazanin" w:hint="cs"/>
          <w:sz w:val="24"/>
          <w:szCs w:val="24"/>
          <w:rtl/>
          <w:lang w:bidi="fa-IR"/>
        </w:rPr>
        <w:t xml:space="preserve">در نظریه روانکاوی کلاسیک، زیگموند فروید</w:t>
      </w:r>
      <w:r>
        <w:rPr>
          <w:rFonts w:ascii="B Nazanin" w:hAnsi="B Nazanin" w:cs="B Nazanin" w:hint="cs"/>
          <w:vertAlign w:val="superscript"/>
          <w:rtl/>
        </w:rPr>
        <w:footnoteReference w:id="87"/>
      </w:r>
      <w:r>
        <w:rPr>
          <w:rFonts w:ascii="B Nazanin" w:hAnsi="B Nazanin" w:cs="B Nazanin" w:hint="cs"/>
          <w:sz w:val="24"/>
          <w:szCs w:val="24"/>
          <w:rtl/>
          <w:lang w:bidi="fa-IR"/>
        </w:rPr>
        <w:t xml:space="preserve"> اضطراب را به عنوان «هسته اصلی روان‌رنجوری» و یک سیگنال خطر حیاتی برای «من» (ایگو) تلقی می‌کرد. از نظر فروید، اضطراب هشداری است که به «من» اعلام می‌کند تعادل روانی در خطر است و یک تکانه غریزی و غیرقابل قبول از سوی «نهاد» (اید) در شرف ورود به حیطه آگاهی است (کاپلان و سادوک، ۲۰۱۵). او سه نوع اضطراب را از هم متمایز کرد: اضطراب واقعی (پاسخ به یک خطر بیرونی)، اضطراب نوروتیک (ترس از اینکه تکانه‌های «نهاد» از کنترل خارج شوند) و اضطراب اخلاقی (ترس از قضاوت «فرامن» یا وجدان).</w:t>
      </w:r>
    </w:p>
    <w:p>
      <w:pPr>
        <w:bidi w:val="1"/>
        <w:spacing w:lineRule="exact" w:line="580" w:after="0"/>
        <w:jc w:val="both"/>
      </w:pPr>
      <w:r>
        <w:rPr>
          <w:rFonts w:ascii="B Nazanin" w:hAnsi="B Nazanin" w:cs="B Nazanin" w:hint="cs"/>
          <w:sz w:val="24"/>
          <w:szCs w:val="24"/>
          <w:rtl/>
          <w:lang w:bidi="fa-IR"/>
        </w:rPr>
        <w:t xml:space="preserve">از منظر این دیدگاه، اضطراب صفتی ریشه در تعارضات حل‌نشده دوران کودکی، به ویژه در مراحل اولیه رشد روانی-جنسی دارد. این تعارضات به صورت انرژی روانی آزادنشده در ساختار شخصیت فرد باقی مانده و او را در بزرگسالی مستعد واکنش‌های اضطرابی شدید می‌کند. این دیدگاه، اگرچه آزمون تجربی آن دشوار است، اما با تاکید بر ریشه‌های تحولی، پیوندی مفهومی با متغیر دیگر این پژوهش، یعنی «طرحواره‌های ناسازگار اولیه» برقرار می‌کند؛ زیرا هر دو نظریه معتقدند که تجارب ناخوشایند کودکی، الگوهای فکری و هیجانی بزرگسالی را شکل می‌دهند (یانگ و همکاران، ۲۰۰۳).</w:t>
      </w:r>
    </w:p>
    <w:p>
      <w:pPr>
        <w:bidi w:val="1"/>
        <w:spacing w:lineRule="exact" w:line="580" w:after="0"/>
        <w:jc w:val="both"/>
      </w:pPr>
      <w:r>
        <w:rPr>
          <w:rFonts w:ascii="B Nazanin" w:hAnsi="B Nazanin" w:cs="B Nazanin" w:hint="cs"/>
          <w:b/>
          <w:bCs/>
          <w:sz w:val="24"/>
          <w:szCs w:val="24"/>
          <w:rtl/>
          <w:lang w:bidi="fa-IR"/>
        </w:rPr>
        <w:t xml:space="preserve">دیدگاه رفتاری (یادگیری).</w:t>
      </w:r>
    </w:p>
    <w:p>
      <w:pPr>
        <w:bidi w:val="1"/>
        <w:spacing w:lineRule="exact" w:line="580" w:after="0"/>
        <w:jc w:val="both"/>
      </w:pPr>
      <w:r>
        <w:rPr>
          <w:rFonts w:ascii="B Nazanin" w:hAnsi="B Nazanin" w:cs="B Nazanin" w:hint="cs"/>
          <w:sz w:val="24"/>
          <w:szCs w:val="24"/>
          <w:rtl/>
          <w:lang w:bidi="fa-IR"/>
        </w:rPr>
        <w:t xml:space="preserve">در نقطه مقابل دیدگاه روانکاوی، رفتارگرایان اضطراب را نه یک تعارض درونی، بلکه یک پاسخ آموخته‌شده به محرک‌های محیطی می‌دانند. این دیدگاه بر دو اصل کلیدی یادگیری استوار است:</w:t>
      </w:r>
    </w:p>
    <w:p>
      <w:pPr>
        <w:bidi w:val="1"/>
        <w:spacing w:lineRule="exact" w:line="580" w:after="0"/>
        <w:jc w:val="both"/>
      </w:pPr>
      <w:r>
        <w:rPr>
          <w:rFonts w:ascii="B Nazanin" w:hAnsi="B Nazanin" w:cs="B Nazanin" w:hint="cs"/>
          <w:sz w:val="24"/>
          <w:szCs w:val="24"/>
          <w:rtl/>
          <w:lang w:bidi="fa-IR"/>
        </w:rPr>
        <w:t xml:space="preserve">شرطی‌سازی کلاسیک: بر اساس اصول پاولف، یک محرک خنثی (مانند صدای زنگ اخبار اقتصادی) اگر به طور مکرر با یک محرک ناخوشایند واقعی (مانند یک زیان سنگین مالی) همراه شود، به تدریج به یک محرک شرطی تبدیل شده و به تنهایی قادر خواهد بود پاسخ اضطراب را برانگیزد.</w:t>
      </w:r>
    </w:p>
    <w:p>
      <w:pPr>
        <w:bidi w:val="1"/>
        <w:spacing w:lineRule="exact" w:line="580" w:after="0"/>
        <w:jc w:val="both"/>
      </w:pPr>
      <w:r>
        <w:rPr>
          <w:rFonts w:ascii="B Nazanin" w:hAnsi="B Nazanin" w:cs="B Nazanin" w:hint="cs"/>
          <w:sz w:val="24"/>
          <w:szCs w:val="24"/>
          <w:rtl/>
          <w:lang w:bidi="fa-IR"/>
        </w:rPr>
        <w:t xml:space="preserve">شرطی‌سازی عامل: طبق نظریه اسکینر، رفتارها توسط پیامدهایشان تقویت یا تضعیف می‌شوند. در زمینه اضطراب، «اجتناب» نقش کلیدی دارد. زمانی که یک معامله‌گر با اجتناب از ورود به یک معامله، از احساس ناخوشایند اضطراب رهایی می‌یابد، رفتار اجتنابی او از طریق «تقویت منفی» تحکیم می‌شود. این چرخه معیوب (موقعیت -&gt; اضطراب -&gt; اجتناب -&gt; تسکین موقت) باعث تداوم و تشدید الگوهای اضطرابی و ریسک‌گریزی افراطی می‌شود (مانر و اشمیت، ۲۰۰۶).</w:t>
      </w:r>
    </w:p>
    <w:p>
      <w:pPr>
        <w:bidi w:val="1"/>
        <w:spacing w:lineRule="exact" w:line="580" w:after="0"/>
        <w:jc w:val="both"/>
      </w:pPr>
      <w:r>
        <w:rPr>
          <w:rFonts w:ascii="B Nazanin" w:hAnsi="B Nazanin" w:cs="B Nazanin" w:hint="cs"/>
          <w:b/>
          <w:bCs/>
          <w:sz w:val="24"/>
          <w:szCs w:val="24"/>
          <w:rtl/>
          <w:lang w:bidi="fa-IR"/>
        </w:rPr>
        <w:t xml:space="preserve">دیدگاه شناختی.</w:t>
      </w:r>
    </w:p>
    <w:p>
      <w:pPr>
        <w:bidi w:val="1"/>
        <w:spacing w:lineRule="exact" w:line="580" w:after="0"/>
        <w:jc w:val="both"/>
      </w:pPr>
      <w:r>
        <w:rPr>
          <w:rFonts w:ascii="B Nazanin" w:hAnsi="B Nazanin" w:cs="B Nazanin" w:hint="cs"/>
          <w:sz w:val="24"/>
          <w:szCs w:val="24"/>
          <w:rtl/>
          <w:lang w:bidi="fa-IR"/>
        </w:rPr>
        <w:t xml:space="preserve">انقلاب شناختی در روانشناسی، کانون توجه را از محیط بیرونی به فرآیندهای پردازش اطلاعات درونی فرد معطوف کرد. طبق این دیدگاه، که پیشگامان آن آرون بک و آلبرت الیس</w:t>
      </w:r>
      <w:r>
        <w:rPr>
          <w:rFonts w:ascii="B Nazanin" w:hAnsi="B Nazanin" w:cs="B Nazanin" w:hint="cs"/>
          <w:vertAlign w:val="superscript"/>
          <w:rtl/>
        </w:rPr>
        <w:footnoteReference w:id="88"/>
      </w:r>
      <w:r>
        <w:rPr>
          <w:rFonts w:ascii="B Nazanin" w:hAnsi="B Nazanin" w:cs="B Nazanin" w:hint="cs"/>
          <w:sz w:val="24"/>
          <w:szCs w:val="24"/>
          <w:rtl/>
          <w:lang w:bidi="fa-IR"/>
        </w:rPr>
        <w:t xml:space="preserve"> بودند، این خود رویدادها نیستند که باعث اضطراب می‌شوند، بلکه تفسیر و ارزیابی فرد از آن رویدادهاست که هیجانات را شکل می‌دهد (بک، ۱۹۷۶). افراد مضطرب دارای «طرحواره‌های خطر» هستند که مانند یک فیلتر ذهنی، باعث می‌شوند اطلاعات محیطی به طور سوگیرانه پردازش شوند. این سوگیری‌ها در قالب «خطاهای شناختی» مشخصی ظاهر می‌شوند که در زمینه بازارهای مالی بسیار رایج هستند (دانیل، هیرشلایفر و سوبرامانیام</w:t>
      </w:r>
      <w:r>
        <w:rPr>
          <w:rFonts w:ascii="B Nazanin" w:hAnsi="B Nazanin" w:cs="B Nazanin" w:hint="cs"/>
          <w:vertAlign w:val="superscript"/>
          <w:rtl/>
        </w:rPr>
        <w:footnoteReference w:id="89"/>
      </w:r>
      <w:r>
        <w:rPr>
          <w:rFonts w:ascii="B Nazanin" w:hAnsi="B Nazanin" w:cs="B Nazanin" w:hint="cs"/>
          <w:sz w:val="24"/>
          <w:szCs w:val="24"/>
          <w:rtl/>
          <w:lang w:bidi="fa-IR"/>
        </w:rPr>
        <w:t xml:space="preserve">، ۱۹۹۸)</w:t>
      </w:r>
    </w:p>
    <w:p>
      <w:pPr>
        <w:bidi w:val="1"/>
        <w:spacing w:lineRule="exact" w:line="580" w:after="0"/>
        <w:jc w:val="both"/>
      </w:pPr>
      <w:r>
        <w:rPr>
          <w:rFonts w:ascii="B Nazanin" w:hAnsi="B Nazanin" w:cs="B Nazanin" w:hint="cs"/>
          <w:sz w:val="24"/>
          <w:szCs w:val="24"/>
          <w:rtl/>
          <w:lang w:bidi="fa-IR"/>
        </w:rPr>
        <w:t xml:space="preserve">فاجعه‌سازی: تمایل به تفسیر یک رویداد منفی کوچک (مانند افت ۱ درصدی سهم) به عنوان یک فاجعه غیرقابل جبران («بازار در حال سقوط است، من ورشکست خواهم شد»).</w:t>
      </w:r>
    </w:p>
    <w:p>
      <w:pPr>
        <w:bidi w:val="1"/>
        <w:spacing w:lineRule="exact" w:line="580" w:after="0"/>
        <w:jc w:val="both"/>
      </w:pPr>
      <w:r>
        <w:rPr>
          <w:rFonts w:ascii="B Nazanin" w:hAnsi="B Nazanin" w:cs="B Nazanin" w:hint="cs"/>
          <w:sz w:val="24"/>
          <w:szCs w:val="24"/>
          <w:rtl/>
          <w:lang w:bidi="fa-IR"/>
        </w:rPr>
        <w:t xml:space="preserve">بزرگ‌نمایی و کوچک‌نمایی: اغراق در اهمیت اطلاعات منفی و بی‌اهمیت جلوه دادن اطلاعات مثبت.</w:t>
      </w:r>
    </w:p>
    <w:p>
      <w:pPr>
        <w:bidi w:val="1"/>
        <w:spacing w:lineRule="exact" w:line="580" w:after="0"/>
        <w:jc w:val="both"/>
      </w:pPr>
      <w:r>
        <w:rPr>
          <w:rFonts w:ascii="B Nazanin" w:hAnsi="B Nazanin" w:cs="B Nazanin" w:hint="cs"/>
          <w:sz w:val="24"/>
          <w:szCs w:val="24"/>
          <w:rtl/>
          <w:lang w:bidi="fa-IR"/>
        </w:rPr>
        <w:t xml:space="preserve">تفکر دوقطبی (همه یا هیچ): ارزیابی عملکرد خود در قالب دو قطب افراطی («یا من یک معامله‌گر نابغه هستم یا یک بازنده تمام‌عیار»).</w:t>
      </w:r>
    </w:p>
    <w:p>
      <w:pPr>
        <w:bidi w:val="1"/>
        <w:spacing w:lineRule="exact" w:line="580" w:after="0"/>
        <w:jc w:val="both"/>
      </w:pPr>
      <w:r>
        <w:rPr>
          <w:rFonts w:ascii="B Nazanin" w:hAnsi="B Nazanin" w:cs="B Nazanin" w:hint="cs"/>
          <w:sz w:val="24"/>
          <w:szCs w:val="24"/>
          <w:rtl/>
          <w:lang w:bidi="fa-IR"/>
        </w:rPr>
        <w:t xml:space="preserve">بر اساس مدل شناختی طرحواره‌ها، این ساختارهای شناختی ناسازگار با فعال‌سازی سوگیری‌های پردازش اطلاعات، فرد را در چرخه‌ای مزمن از ارزیابی بیش‌ازحد تهدید، گوش‌به‌زنگی و اضطراب مداوم گرفتار می‌سازند (بک و کلارک، ۱۹۹۷؛ یانگ و همکاران، ۲۰۰۳).</w:t>
      </w:r>
    </w:p>
    <w:p>
      <w:pPr>
        <w:bidi w:val="1"/>
        <w:spacing w:lineRule="exact" w:line="580" w:after="0"/>
        <w:jc w:val="both"/>
      </w:pPr>
      <w:r>
        <w:rPr>
          <w:rFonts w:ascii="B Nazanin" w:hAnsi="B Nazanin" w:cs="B Nazanin" w:hint="cs"/>
          <w:b/>
          <w:bCs/>
          <w:sz w:val="24"/>
          <w:szCs w:val="24"/>
          <w:rtl/>
          <w:lang w:bidi="fa-IR"/>
        </w:rPr>
        <w:t xml:space="preserve">دیدگاه وجودی (اگزیستانسیال).</w:t>
      </w:r>
    </w:p>
    <w:p>
      <w:pPr>
        <w:bidi w:val="1"/>
        <w:spacing w:lineRule="exact" w:line="580" w:after="0"/>
        <w:jc w:val="both"/>
      </w:pPr>
      <w:r>
        <w:rPr>
          <w:rFonts w:ascii="B Nazanin" w:hAnsi="B Nazanin" w:cs="B Nazanin" w:hint="cs"/>
          <w:sz w:val="24"/>
          <w:szCs w:val="24"/>
          <w:rtl/>
          <w:lang w:bidi="fa-IR"/>
        </w:rPr>
        <w:t xml:space="preserve">این دیدگاه فلسفی‌تر، اضطراب را نه یک بیماری یا نقص، بلکه بخشی اجتناب‌ناپذیر از شرایط انسانی می‌داند. متفکرانی چون رولو می</w:t>
      </w:r>
      <w:r>
        <w:rPr>
          <w:rFonts w:ascii="B Nazanin" w:hAnsi="B Nazanin" w:cs="B Nazanin" w:hint="cs"/>
          <w:vertAlign w:val="superscript"/>
          <w:rtl/>
        </w:rPr>
        <w:footnoteReference w:id="90"/>
      </w:r>
      <w:r>
        <w:rPr>
          <w:rFonts w:ascii="B Nazanin" w:hAnsi="B Nazanin" w:cs="B Nazanin" w:hint="cs"/>
          <w:sz w:val="24"/>
          <w:szCs w:val="24"/>
          <w:rtl/>
          <w:lang w:bidi="fa-IR"/>
        </w:rPr>
        <w:t xml:space="preserve"> و اروین یالوم معتقدند که اضطراب، واکنشی عمیق به آگاهی از «دلواپسی‌های غایی» زندگی است: مرگ، آزادی، تنهایی و پوچی. از منظر این دیدگاه، اضطراب یک معامله‌گر صرفاً ناشی از ترس از زیان مالی نیست، بلکه می‌تواند تجلی «اضطراب وجودی» باشد. آزادی انتخاب برای خرید یا فروش و مسئولیت کامل در قبال پیامدهای آن، می‌تواند بار روانی سنگینی ایجاد کند. تنهایی در تصمیم‌گیری و آگاهی از اینکه در نهایت هیچ‌کس جز خود فرد مسئول سرنوشت مالی‌اش نیست، این اضطراب را تشدید می‌کند (یالوم</w:t>
      </w:r>
      <w:r>
        <w:rPr>
          <w:rFonts w:ascii="B Nazanin" w:hAnsi="B Nazanin" w:cs="B Nazanin" w:hint="cs"/>
          <w:vertAlign w:val="superscript"/>
          <w:rtl/>
        </w:rPr>
        <w:footnoteReference w:id="91"/>
      </w:r>
      <w:r>
        <w:rPr>
          <w:rFonts w:ascii="B Nazanin" w:hAnsi="B Nazanin" w:cs="B Nazanin" w:hint="cs"/>
          <w:sz w:val="24"/>
          <w:szCs w:val="24"/>
          <w:rtl/>
          <w:lang w:bidi="fa-IR"/>
        </w:rPr>
        <w:t xml:space="preserve">، ۱۹۸۰).</w:t>
      </w:r>
    </w:p>
    <w:p>
      <w:pPr>
        <w:pStyle w:val="Heading4"/>
        <w:bidi w:val="1"/>
        <w:jc w:val="right"/>
      </w:pPr>
      <w:r>
        <w:rPr>
          <w:rFonts w:ascii="B Nazanin" w:hAnsi="B Nazanin" w:cs="B Nazanin" w:hint="cs"/>
          <w:b/>
          <w:bCs/>
          <w:sz w:val="24"/>
          <w:szCs w:val="24"/>
          <w:rtl/>
          <w:lang w:bidi="fa-IR"/>
        </w:rPr>
        <w:t xml:space="preserve">۲-۲-۱-۴ جمع‌بندی: جایگاه اضطراب صفتی در تصمیم‌گیری مالی</w:t>
      </w:r>
    </w:p>
    <w:p>
      <w:pPr>
        <w:bidi w:val="1"/>
        <w:spacing w:lineRule="exact" w:line="580" w:after="0"/>
        <w:jc w:val="both"/>
      </w:pPr>
      <w:r>
        <w:rPr>
          <w:rFonts w:ascii="B Nazanin" w:hAnsi="B Nazanin" w:cs="B Nazanin" w:hint="cs"/>
          <w:sz w:val="24"/>
          <w:szCs w:val="24"/>
          <w:rtl/>
          <w:lang w:bidi="fa-IR"/>
        </w:rPr>
        <w:t xml:space="preserve">با توجه به مبانی نظری و سازوکارهای شناختی-عصبی مطرح‌شده در بخش‌های پیشین، اضطراب صفتی  را نمی‌توان صرفاً یک واکنش هیجانی گذرا دانست. این متغیر زمینه شخصیتی پایداری است که بر کل فرایند تصمیم‌گیری معامله‌گر سایه می‌افکند. بر اساس مدل اسپیلبرگر، افراد دارای اضطراب صفتی بالا در مواجهه با رویدادهای تنش‌زای بازار، واکنش‌های اضطراب حالتی مکررتر و شدیدتری را تجربه می‌کنند و این فعال‌سازی مزمن، نظام هشدار روانی آن‌ها را در وضعیت آماده‌باش دائمی نگه می‌دارد (اسپیلبرگر، ۱۹۸۳). در محیط بازارهای مالی که ذاتاً با عدم قطعیت، غیرقابل پیش‌بینی بودن و زیان‌ها و سودهای پی‌درپی همراه است، این استعداد به آن معناست که معامله‌گر به‌طور مداوم با سطح بالاتری از تنش روانی به مصاف نوسانات بازار می‌رود و منابع شناختی او پیش از هرگونه تحلیل فنی یا بنیادی، صرف مدیریت همین تنش درونی می‌شود. در واقع، این متغیر همچون عدسی عمل می‌کند که اطلاعات بازار پیش از هر پردازش تحلیلی از آن عبور می‌کنند و سطح پایه تهدید ادراک‌شده را تعیین می‌کند؛ بدین ترتیب، اضطراب صفتی بافت هیجانی و انگیزشی تصمیم‌گیری مالی را شکل می‌دهد.</w:t>
      </w:r>
    </w:p>
    <w:p>
      <w:pPr>
        <w:bidi w:val="1"/>
        <w:spacing w:lineRule="exact" w:line="580" w:after="0"/>
        <w:jc w:val="both"/>
      </w:pPr>
      <w:r>
        <w:rPr>
          <w:rFonts w:ascii="B Nazanin" w:hAnsi="B Nazanin" w:cs="B Nazanin" w:hint="cs"/>
          <w:sz w:val="24"/>
          <w:szCs w:val="24"/>
          <w:rtl/>
          <w:lang w:bidi="fa-IR"/>
        </w:rPr>
        <w:t xml:space="preserve">یکی از مجراهای اصلی اثرگذاری اضطراب صفتی بر رفتار مالی، تحریف نظام‌مند ادراک ریسک</w:t>
      </w:r>
      <w:r>
        <w:rPr>
          <w:rFonts w:ascii="B Nazanin" w:hAnsi="B Nazanin" w:cs="B Nazanin" w:hint="cs"/>
          <w:vertAlign w:val="superscript"/>
          <w:rtl/>
        </w:rPr>
        <w:footnoteReference w:id="23"/>
      </w:r>
      <w:r>
        <w:rPr>
          <w:rFonts w:ascii="B Nazanin" w:hAnsi="B Nazanin" w:cs="B Nazanin" w:hint="cs"/>
          <w:sz w:val="24"/>
          <w:szCs w:val="24"/>
          <w:rtl/>
          <w:lang w:bidi="fa-IR"/>
        </w:rPr>
        <w:t xml:space="preserve"> است. شواهد تجربی نشان می‌دهند که اضطراب با گرایش به اجتناب از ریسک همراه است؛ به این معنا که افراد مضطرب برای تنظیم هیجان منفی و فرار از تهدید، حتی در شرایطی که ارزش مورد انتظار گزینه‌ها یکسان است، گزینه‌های کم‌خطرتر را برمی‌گزینند (مانر و اشمیت، ۲۰۰۶). در ادبیات روانشناسی مالی، این گرایش در قالب سازه تحمل ریسک مالی مطالعه می‌شود؛ سازه‌ای که سنجش آن قادر است رفتار واقعی مالی و تصمیم‌های واقعی افراد درباره دارایی‌هایشان را پیش‌بینی کند (گرابل و لایتون، ۱۹۹۹). ارزیابی‌های روان‌سنجی بعدی این مقیاس نیز روایی و پایایی آن را برای کاربردهای بالینی و مشاوره‌ای تأیید کرده‌اند (گرابل، ۲۰۱۷). بنابراین، اضطراب صفتی بالای یک معامله‌گر می‌تواند به سطح پایین‌تری از تحمل ریسک مالی بینجامد و این کاهش صرفاً در پاسخ‌های نگرشی به پرسشنامه باقی نمی‌ماند، بلکه در ترکیب واقعی سبد دارایی، حجم معاملات و میزان پایبندی به راهبردهای پرخطر عینیت می‌یابد.</w:t>
      </w:r>
    </w:p>
    <w:p>
      <w:pPr>
        <w:bidi w:val="1"/>
        <w:spacing w:lineRule="exact" w:line="580" w:after="0"/>
        <w:jc w:val="both"/>
      </w:pPr>
      <w:r>
        <w:rPr>
          <w:rFonts w:ascii="B Nazanin" w:hAnsi="B Nazanin" w:cs="B Nazanin" w:hint="cs"/>
          <w:sz w:val="24"/>
          <w:szCs w:val="24"/>
          <w:rtl/>
          <w:lang w:bidi="fa-IR"/>
        </w:rPr>
        <w:t xml:space="preserve">بررسی مستقیم رابطه اضطراب با تصمیم‌های مالی نیز شواهد همسویی به دست داده است. در یک مرور تحلیلی جامع نشان داده شد که اضطراب به‌طور نظام‌مند با تصمیم‌گیری در شرایط ریسک و عدم قطعیت مرتبط است و این ارتباط به نمونه‌های بالینی محدود نمی‌شود (میت، ۲۰۰۷). در مطالعات جدیدتر با بافت واقعی بازارهای مالی نیز نقش اضطراب در تصمیمات مالی به‌عنوان عاملی مستقل تأیید شده است (چارلز و کاسیلینگام</w:t>
      </w:r>
      <w:r>
        <w:rPr>
          <w:rFonts w:ascii="B Nazanin" w:hAnsi="B Nazanin" w:cs="B Nazanin" w:hint="cs"/>
          <w:vertAlign w:val="superscript"/>
          <w:rtl/>
        </w:rPr>
        <w:footnoteReference w:id="92"/>
      </w:r>
      <w:r>
        <w:rPr>
          <w:rFonts w:ascii="B Nazanin" w:hAnsi="B Nazanin" w:cs="B Nazanin" w:hint="cs"/>
          <w:sz w:val="24"/>
          <w:szCs w:val="24"/>
          <w:rtl/>
          <w:lang w:bidi="fa-IR"/>
        </w:rPr>
        <w:t xml:space="preserve">، ۲۰۲۲) و شواهد حاکی از آن است که اضطراب مالی به کاهش نگهداری دارایی‌های پرخطر از سوی سرمایه‌گذاران حقیقی منجر می‌شود (آن، لی و وو</w:t>
      </w:r>
      <w:r>
        <w:rPr>
          <w:rFonts w:ascii="B Nazanin" w:hAnsi="B Nazanin" w:cs="B Nazanin" w:hint="cs"/>
          <w:vertAlign w:val="superscript"/>
          <w:rtl/>
        </w:rPr>
        <w:footnoteReference w:id="93"/>
      </w:r>
      <w:r>
        <w:rPr>
          <w:rFonts w:ascii="B Nazanin" w:hAnsi="B Nazanin" w:cs="B Nazanin" w:hint="cs"/>
          <w:sz w:val="24"/>
          <w:szCs w:val="24"/>
          <w:rtl/>
          <w:lang w:bidi="fa-IR"/>
        </w:rPr>
        <w:t xml:space="preserve">، ۲۰۲۱). همچنین در پژوهش‌های تجربی تصمیم‌گیری سرمایه‌گذاری، اضطراب به‌عنوان یکی از متغیرهای هیجانی شناسایی شده است که الگوی انتخاب افراد را در مواجهه با انتخاب‌های پرخطر مالی تغییر می‌دهد (گامبتی و گیوسبرتی، ۲۰۱۲). نکته حائز اهمیت آن است که این شواهد در فرهنگ‌ها، بازارها و طرح‌های روش‌شناختی مختلف به دست آمده‌اند و از تعمیم‌پذیری قابل قبولی برخوردارند. در مجموع، این یافته‌ها نشان می‌دهند که اثر اضطراب صفتی به تجربه درونی معامله‌گر محدود نمی‌ماند، بلکه به شکل عینی و قابل اندازه‌گیری در سطح ریسک و ترکیب دارایی‌های او نمود می‌یابد.</w:t>
      </w:r>
    </w:p>
    <w:p>
      <w:pPr>
        <w:bidi w:val="1"/>
        <w:spacing w:lineRule="exact" w:line="580" w:after="0"/>
        <w:jc w:val="both"/>
      </w:pPr>
      <w:r>
        <w:rPr>
          <w:rFonts w:ascii="B Nazanin" w:hAnsi="B Nazanin" w:cs="B Nazanin" w:hint="cs"/>
          <w:sz w:val="24"/>
          <w:szCs w:val="24"/>
          <w:rtl/>
          <w:lang w:bidi="fa-IR"/>
        </w:rPr>
        <w:t xml:space="preserve">فراتر از جهت‌گیری انتخاب‌ها، اضطراب صفتی بر کیفیت فرایند تصمیم‌گیری</w:t>
      </w:r>
      <w:r>
        <w:rPr>
          <w:rFonts w:ascii="B Nazanin" w:hAnsi="B Nazanin" w:cs="B Nazanin" w:hint="cs"/>
          <w:vertAlign w:val="superscript"/>
          <w:rtl/>
        </w:rPr>
        <w:footnoteReference w:id="24"/>
      </w:r>
      <w:r>
        <w:rPr>
          <w:rFonts w:ascii="B Nazanin" w:hAnsi="B Nazanin" w:cs="B Nazanin" w:hint="cs"/>
          <w:sz w:val="24"/>
          <w:szCs w:val="24"/>
          <w:rtl/>
          <w:lang w:bidi="fa-IR"/>
        </w:rPr>
        <w:t xml:space="preserve"> نیز اثر می‌گذارد. پژوهش‌ها نشان می‌دهند که این هیجان با تغییر در ارزیابی فرد از کنترل و احتمال‌ها، داوری درباره گزینه‌ها را در شرایط عدم قطعیت دگرگون می‌سازد (هارتلی و فلپس، ۲۰۱۲) و ویژگی‌های شخصیتی مرتبط با اضطراب قادرند تصمیم‌گیری پرخطر واقعی را در موقعیت‌های زندگی واقعی پیش‌بینی کنند (لوریولا و لوین، ۲۰۰۱). در بافت معامله‌گری، معنای کاربردی این یافته‌ها آن است که نقض انضباط معاملاتی از سوی معامله‌گران با اضطراب صفتی بالا را نباید صرفاً ناشی از دانش فنی ناکافی یا ناآگاهی از قواعد مدیریت ریسک دانست، بلکه باید آن را پیامد رفتاری یک نظام تنظیم هیجانی تحت فشار مزمن تلقی کرد. این دیدگاه، کانون تبیین را از سطح اطلاعات و دانش معامله‌گر به سطح معماری روانشناختی او منتقل می‌سازد و پیامد مستقیمی برای برنامه‌های آموزشی و خدمات بالینی ویژه معامله‌گران دارد؛ زیرا مداخله‌ای که تنها سطح دانش را هدف بگیرد و تنظیم هیجان را نادیده بگذارد، بعید است به تغییر رفتار پایدار منجر شود.</w:t>
      </w:r>
    </w:p>
    <w:p>
      <w:pPr>
        <w:bidi w:val="1"/>
        <w:spacing w:lineRule="exact" w:line="580" w:after="0"/>
        <w:jc w:val="both"/>
      </w:pPr>
      <w:r>
        <w:rPr>
          <w:rFonts w:ascii="B Nazanin" w:hAnsi="B Nazanin" w:cs="B Nazanin" w:hint="cs"/>
          <w:sz w:val="24"/>
          <w:szCs w:val="24"/>
          <w:rtl/>
          <w:lang w:bidi="fa-IR"/>
        </w:rPr>
        <w:t xml:space="preserve">مجموع شواهد مرورشده جهت مشخصی را نشان می‌دهد: در مدل مفهومی پژوهش حاضر، اضطراب صفتی به‌عنوان پیشایند اصلی و بنیادینی جای می‌گیرد که از مسیر تشدید ادراک تهدید و فرسایش منابع شناختی، زمینه رفتارهای مالی پرخطر را فراهم می‌آورد. البته شواهدی ناهمسو نیز وجود دارد: اضطراب گاه به رفتار پرخطر تکانشی برای فرار از تنش هیجانی منجر می‌شود؛ مانند معامله‌گری برای گریز از پریشانی هیجانی که از مؤلفه‌های اختلال معامله‌گری است (گرال-برونک و همکاران، ۲۰۲۵). با این حال، شواهد تجربی همچنین نشان می‌دهند که رابطه این متغیر با پیامدهای مالی، ساده، مستقیم و همسان نیست و افراد در تبدیل اضطراب به رفتار، تفاوت‌های چشمگیری با یکدیگر دارند. همین مشاهده ضرورت جست‌وجوی سازوکارهای میانجی پایدار را برای تبیین این تبدیل مطرح می‌سازد و مبنای منطقی بررسی نقش طرحواره‌های ناسازگار اولیه را در بخش‌های بعدی این فصل فراهم می‌آورد. از منظر کاربردی نیز، تبیین جایگاه اضطراب صفتی در تصمیم‌گیری مالی، هم طراحی ابزارهای غربالگری هدفمند برای شناسایی معامله‌گران آسیب‌پذیر و هم تدوین مداخله‌های روانشناختی کوتاه‌مدت ویژه این جمعیت را توجیه می‌کند و همزمان چرایی انتخاب این متغیر به‌عنوان نقطه آغاز مدل ساختاری فرضیه‌های پژوهش را روشن می‌سازد.</w:t>
      </w:r>
    </w:p>
    <w:p>
      <w:pPr>
        <w:pStyle w:val="Heading3"/>
        <w:bidi w:val="1"/>
        <w:jc w:val="right"/>
      </w:pPr>
      <w:r>
        <w:rPr>
          <w:rFonts w:ascii="B Nazanin" w:hAnsi="B Nazanin" w:cs="B Nazanin" w:hint="cs"/>
          <w:b/>
          <w:bCs/>
          <w:sz w:val="26"/>
          <w:szCs w:val="26"/>
          <w:rtl/>
          <w:lang w:bidi="fa-IR"/>
        </w:rPr>
        <w:t xml:space="preserve">۲-۲-۲ طرحواره‌های ناسازگار اولیه</w:t>
      </w:r>
    </w:p>
    <w:p>
      <w:pPr>
        <w:bidi w:val="1"/>
        <w:spacing w:lineRule="exact" w:line="580" w:after="0"/>
        <w:jc w:val="both"/>
      </w:pPr>
      <w:r>
        <w:rPr>
          <w:rFonts w:ascii="B Nazanin" w:hAnsi="B Nazanin" w:cs="B Nazanin" w:hint="cs"/>
          <w:sz w:val="24"/>
          <w:szCs w:val="24"/>
          <w:rtl/>
          <w:lang w:bidi="fa-IR"/>
        </w:rPr>
        <w:t xml:space="preserve">با این وجود، تکیه صرف بر سازه اضطراب و اختلالات توجهی، اگرچه لازم است، اما برای تبیین کامل چرایی و چگونگی تبدیل این حالات هیجانی به رفتارهای مشخص و تکرارشونده در بازار مالی، کافی به نظر نمی‌رسد. برای دستیابی به درکی جامع‌تر و عمیق‌تر از این فرآیند پیچیده روانشناختی، ضروری است تا از سطح واکنش‌های لحظه‌ای و گذرا عبور کرده و به لایه‌های زیرین و ریشه‌دار شناختی-هیجانی نگریست که ساختار شخصیت و نظام باورهای فرد را شکل می‌دهند. در این نقطه تلاقی میان هیجان و شناخت است که نظریه جامع و کارآمد «طرحواره‌های ناسازگار اولیه»، چارچوبی تبیینی و قدرتمند برای رمزگشایی از الگوهای رفتاری ناکارآمد ارائه می‌دهد.</w:t>
      </w:r>
    </w:p>
    <w:p>
      <w:pPr>
        <w:bidi w:val="1"/>
        <w:spacing w:lineRule="exact" w:line="580" w:after="0"/>
        <w:jc w:val="both"/>
      </w:pPr>
      <w:r>
        <w:rPr>
          <w:rFonts w:ascii="B Nazanin" w:hAnsi="B Nazanin" w:cs="B Nazanin" w:hint="cs"/>
          <w:sz w:val="24"/>
          <w:szCs w:val="24"/>
          <w:rtl/>
          <w:lang w:bidi="fa-IR"/>
        </w:rPr>
        <w:t xml:space="preserve">طبق این نظریه که توسط جفری یانگ و همکاران توسعه یافته است، طرحواره‌های ناسازگار اولیه، الگوهای عمیق، فراگیر، خود-آسیب‌رسان و بسیار پایداری هستند که از مجموعه‌ای درهم‌تنیده از خاطرات، هیجانات، شناخت‌واره‌ها و احساسات بدنی تشکیل شده‌اند. این سازه‌ها، نه به عنوان افکار ساده، بلکه به مثابه «فیلترهای ذهنی» قدرتمند و تحریف‌گری عمل می‌کنند که فرد از طریق آن‌ها، خود، دیگران و جهان پیرامون (از جمله بازار مالی) را می‌بیند و تفسیر می‌کند. ویژگی منحصر به فرد و خطرناک این الگوها در آن است که آن‌ها صرفاً منفعل نیستند، بلکه به طور فعال و پویا برای بقای خود تلاش می‌کنند؛ بدین معنا که فرد را ناخودآگاه به سمت انتخاب‌ها، موقعیت‌ها و روابطی سوق می‌دهند که باورهای منفی زیربنایی آن‌ها را تأیید و تقویت کند (تداوم طرحواره)، حتی اگر این انتخاب‌ها به وضوح به زیان منافع فرد باشد. (یانگ و همکاران، ۲۰۰۳).</w:t>
      </w:r>
    </w:p>
    <w:p>
      <w:pPr>
        <w:bidi w:val="1"/>
        <w:spacing w:lineRule="exact" w:line="580" w:after="0"/>
        <w:jc w:val="both"/>
      </w:pPr>
      <w:r>
        <w:rPr>
          <w:rFonts w:ascii="B Nazanin" w:hAnsi="B Nazanin" w:cs="B Nazanin" w:hint="cs"/>
          <w:sz w:val="24"/>
          <w:szCs w:val="24"/>
          <w:rtl/>
          <w:lang w:bidi="fa-IR"/>
        </w:rPr>
        <w:t xml:space="preserve">این سازه‌های شناختی عمیق و پایدار که یانگ از آن‌ها تحت عنوان طرحواره‌های ناسازگار اولیه یاد می‌کند، محصول خلأهای روانشناختی و تجارب آسیب‌زا در حساس‌ترین سال‌های رشد و تحول شخصیت هستند. ریشه اصلی شکل‌گیری این الگوها، در محرومیت مکرر، پایدار و ناکافی از مجموعه‌ای از نیازهای هیجانی بنیادین و حیاتی کودک نهفته است. این نیازها که ارضای آن‌ها برای سلامت روان ضروری است، عبارت‌اند از امنیت پایدار و دلبستگی ایمن با مراقبین اولیه، خودمختاری و استقلال در عمل، پذیرش بی‌قیدوشرط و محبت عاطفی، و محدودیت‌های واقع‌بینانه. زمانی که این نیازها به طور مداوم نادیده گرفته شوند یا با واکنش‌های نامناسب و خصمانه محیط روبرو گردند، ذهن کودک برای سازگاری با این شرایط دشوار و معنا بخشیدن به تجارب دردناک خود، دست به خلق الگوهایی می‌زند که اگرچه در آن مقطع زمانی کارکردی دفاعی دارند، اما در بزرگسالی به مانعی جدی برای سلامت و عملکرد تبدیل می‌شوند.</w:t>
      </w:r>
    </w:p>
    <w:p>
      <w:pPr>
        <w:bidi w:val="1"/>
        <w:spacing w:lineRule="exact" w:line="580" w:after="0"/>
        <w:jc w:val="both"/>
      </w:pPr>
      <w:r>
        <w:rPr>
          <w:rFonts w:ascii="B Nazanin" w:hAnsi="B Nazanin" w:cs="B Nazanin" w:hint="cs"/>
          <w:sz w:val="24"/>
          <w:szCs w:val="24"/>
          <w:rtl/>
          <w:lang w:bidi="fa-IR"/>
        </w:rPr>
        <w:t xml:space="preserve">در نتیجه این فرآیند پیچیده رشدی، این طرحواره‌ها به تدریج در ساختار روانی فرد حک شده و به باورهایی عمیق، مطلق، فراگیر و اغلب ناهشیار درباره هویت خود (مانند من ذاتاً بی‌کفایتم) و ماهیت جهان پیرامون (مانند دنیا جای خطرناک و غیرقابل اعتمادی است) بدل می‌گردند. یانگ این باورها را به عنوان حقایق پیشین توصیف می‌کند که فرد آن‌ها را بدون پرسش و تردید به عنوان واقعیت مطلق می‌پذیرد و تمام تجارب بعدی زندگی خود را از دریچه تحریف‌شده آن‌ها تفسیر می‌کند. این جزم‌‌اندیشی شناختی باعث می‌شود که طرحواره‌ها حتی در برابر شواهد متناقض بیرونی (مانند موفقیت‌های کوچک در بازار) مقاومت کرده و برای تداوم خود تلاش کنند.</w:t>
      </w:r>
    </w:p>
    <w:p>
      <w:pPr>
        <w:bidi w:val="1"/>
        <w:spacing w:lineRule="exact" w:line="580" w:after="0"/>
        <w:jc w:val="both"/>
      </w:pPr>
      <w:r>
        <w:rPr>
          <w:rFonts w:ascii="B Nazanin" w:hAnsi="B Nazanin" w:cs="B Nazanin" w:hint="cs"/>
          <w:sz w:val="24"/>
          <w:szCs w:val="24"/>
          <w:rtl/>
          <w:lang w:bidi="fa-IR"/>
        </w:rPr>
        <w:t xml:space="preserve">نکته حائز اهمیت و کلیدی در نظریه طرحواره‌درمانی این است که این باورها صرفاً ساختارهایی شناختی و سرد نیستند، بلکه دارای یک هسته هیجانی بسیار قدرتمند، دردناک و فعال هستند که از خاطرات هیجانی دوران کودکی تغذیه می‌کند. هر زمان که فرد در بزرگسالی با موقعیتی مشابه شرایط شکل‌گیری طرحواره (مانند احساس شکست، طرد شدن یا عدم قطعیت در بازار مالی) مواجه شود، این هسته هیجانی بیدار شده و فرد را با همان شدت و کیفیت هیجانی دوران کودکی درگیر می‌کند؛ وضعیتی که آرنتز و جیکوب از آن به عنوان فعال شدن طرحواره یاد می‌کنند و می‌تواند منجر به واکنش‌های هیجانی شدید و رفتارهای غیرتطبیقی شود. (آرنتز و جیکوب، ۲۰۱۲).</w:t>
      </w:r>
    </w:p>
    <w:p>
      <w:pPr>
        <w:bidi w:val="1"/>
        <w:spacing w:lineRule="exact" w:line="580" w:after="0"/>
        <w:jc w:val="both"/>
      </w:pPr>
      <w:r>
        <w:rPr>
          <w:rFonts w:ascii="B Nazanin" w:hAnsi="B Nazanin" w:cs="B Nazanin" w:hint="cs"/>
          <w:sz w:val="24"/>
          <w:szCs w:val="24"/>
          <w:rtl/>
          <w:lang w:bidi="fa-IR"/>
        </w:rPr>
        <w:t xml:space="preserve">پژوهش‌های گسترده و نظام‌مندی که در حوزه‌های مختلف روانشناسی بالینی، اعتیادپژوهی و آسیب‌شناسی روانی انجام شده است، شواهد تجربی و همبستگی بسیار معنادار و قوی را میان حضور و شدت این طرحواره‌های ناسازگار اولیه با طیف وسیعی از رفتارهای غیرتطبیقی، مخرب و خود-آسیب‌رسان به اثبات رسانده‌اند. در این میان، ارتباط این سازه‌های شناختی با انواع اعتیادهای رفتاری (مانند اعتیاد به اینترنت، بازی‌های رایانه‌ای و خرید اجباری) که ویژگی مشترک و بنیادین تمامی آن‌ها، وجود سطح بالایی از تکانشگری، ناتوانی در به تعویق انداختن لذت و جستجوی مداوم و بیمارگونه برای کسب پاداش‌های فوری و کوتاه‌مدت است، از اهمیت ویژه‌ای برخوردار بوده و مورد توجه محققان قرار گرفته است.</w:t>
      </w:r>
    </w:p>
    <w:p>
      <w:pPr>
        <w:bidi w:val="1"/>
        <w:spacing w:lineRule="exact" w:line="580" w:after="0"/>
        <w:jc w:val="both"/>
      </w:pPr>
      <w:r>
        <w:rPr>
          <w:rFonts w:ascii="B Nazanin" w:hAnsi="B Nazanin" w:cs="B Nazanin" w:hint="cs"/>
          <w:sz w:val="24"/>
          <w:szCs w:val="24"/>
          <w:rtl/>
          <w:lang w:bidi="fa-IR"/>
        </w:rPr>
        <w:t xml:space="preserve">به طور خاص و مرتبط با موضوع این پژوهش، مطالعات متعددی که بر روی جمعیت قماربازان آسیب‌شناختی و افراد دارای اختلال قماربازی انجام شده است، نشان داده‌اند که الگوهای شناختی، هیجانی و رفتاری این افراد، شباهت‌های ساختاری و روانشناختی قابل‌توجه و انکارناپذیری با معامله‌گران پرخطر، هیجانی و ناموفق در بازارهای مالی دارد. یافته‌های این پژوهش‌ها حاکی از آن است که طرحواره‌های ناسازگار اولیه در دو حوزه خاص و کلیدی، یعنی حوزه محدودیت‌های مختل (شامل طرحواره‌های استحقاق/بزرگ‌منشی و خویشتن‌داری/خودانضباطی ناکافی) و حوزه بریدگی و طرد (شامل طرحواره‌های رهاشدگی/بی‌ثباتی، محرومیت هیجانی، بی‌اعتمادی/بدرفتاری، انزوای اجتماعی و نقص/شرم)، نقش محوری و تعیین‌کننده‌ای در شکل‌گیری، تداوم و پیش‌بینی شدت رفتارهای پرخطر و اعتیادگونه ایفا می‌کنند (لیندبرگ و همکاران، ۲۰۱۱؛ ویرا و همکاران</w:t>
      </w:r>
      <w:r>
        <w:rPr>
          <w:rFonts w:ascii="B Nazanin" w:hAnsi="B Nazanin" w:cs="B Nazanin" w:hint="cs"/>
          <w:vertAlign w:val="superscript"/>
          <w:rtl/>
        </w:rPr>
        <w:footnoteReference w:id="94"/>
      </w:r>
      <w:r>
        <w:rPr>
          <w:rFonts w:ascii="B Nazanin" w:hAnsi="B Nazanin" w:cs="B Nazanin" w:hint="cs"/>
          <w:sz w:val="24"/>
          <w:szCs w:val="24"/>
          <w:rtl/>
          <w:lang w:bidi="fa-IR"/>
        </w:rPr>
        <w:t xml:space="preserve">، ۲۰۲۳).</w:t>
      </w:r>
    </w:p>
    <w:p>
      <w:pPr>
        <w:bidi w:val="1"/>
        <w:spacing w:lineRule="exact" w:line="580" w:after="0"/>
        <w:jc w:val="both"/>
      </w:pPr>
      <w:r>
        <w:rPr>
          <w:rFonts w:ascii="B Nazanin" w:hAnsi="B Nazanin" w:cs="B Nazanin" w:hint="cs"/>
          <w:sz w:val="24"/>
          <w:szCs w:val="24"/>
          <w:rtl/>
          <w:lang w:bidi="fa-IR"/>
        </w:rPr>
        <w:t xml:space="preserve">به عنوان یک مصداق بارز و ملموس از این تأثیرگذاری شناختی، می‌توان به طرحواره «خویشتن‌داری و خودانضباطی ناکافی» اشاره کرد که یکی از هسته‌های اصلی و بنیادین حوزه طرحواره‌ای محدودیت‌های مختل محسوب می‌شود. ویژگی شاخص و آسیب‌رسان این طرحواره، وجود دشواری مزمن، فراگیر و ریشه‌دار در تحمل ناکامی‌های هیجانی، ضعف مشهود در کنترل و مدیریت تکانه‌ها و امیال آنی، و ناتوانی در به تعویق انداختن ارضای لذت‌های کوتاه‌مدت به نفع دستیابی به اهداف و پاداش‌های بلندمدت و باارزش‌تر است.</w:t>
      </w:r>
    </w:p>
    <w:p>
      <w:pPr>
        <w:bidi w:val="1"/>
        <w:spacing w:lineRule="exact" w:line="580" w:after="0"/>
        <w:jc w:val="both"/>
      </w:pPr>
      <w:r>
        <w:rPr>
          <w:rFonts w:ascii="B Nazanin" w:hAnsi="B Nazanin" w:cs="B Nazanin" w:hint="cs"/>
          <w:sz w:val="24"/>
          <w:szCs w:val="24"/>
          <w:rtl/>
          <w:lang w:bidi="fa-IR"/>
        </w:rPr>
        <w:t xml:space="preserve">در بافت پرتنش و پرنوسان معامله‌گری در بازارهای مالی، وجود این طرحواره می‌تواند پیامدهای ویرانگر و مستقیمی بر عملکرد فرد داشته باشد و به ناتوانی معامله‌گر در پایبندی به قوانین سخت‌گیرانه، انضباطی و حیاتی مدیریت ریسک و سرمایه منجر شود. معامله‌گری که تحت تأثیر این طرحواره عمل می‌کند، اغلب در برابر وسوسه نقض قوانین معاملاتی خود، نادیده گرفتن حد ضررهای از پیش تعیین‌شده و تغییر مداوم استراتژی بر اساس هیجانات لحظه‌ای تسلیم شده و کنترلی بر رفتار خود ندارد.</w:t>
      </w:r>
    </w:p>
    <w:p>
      <w:pPr>
        <w:pStyle w:val="Heading4"/>
        <w:bidi w:val="1"/>
        <w:jc w:val="right"/>
      </w:pPr>
      <w:r>
        <w:rPr>
          <w:rFonts w:ascii="B Nazanin" w:hAnsi="B Nazanin" w:cs="B Nazanin" w:hint="cs"/>
          <w:b/>
          <w:bCs/>
          <w:sz w:val="24"/>
          <w:szCs w:val="24"/>
          <w:rtl/>
          <w:lang w:bidi="fa-IR"/>
        </w:rPr>
        <w:t xml:space="preserve">۲-۲-۲-۱ حوزه‌ها و طرحواره‌های ناسازگار اولیه و سبک‌های مقابله‌ای</w:t>
      </w:r>
    </w:p>
    <w:p>
      <w:pPr>
        <w:bidi w:val="1"/>
        <w:spacing w:lineRule="exact" w:line="580" w:after="0"/>
        <w:jc w:val="both"/>
      </w:pPr>
      <w:r>
        <w:rPr>
          <w:rFonts w:ascii="B Nazanin" w:hAnsi="B Nazanin" w:cs="B Nazanin" w:hint="cs"/>
          <w:sz w:val="24"/>
          <w:szCs w:val="24"/>
          <w:rtl/>
          <w:lang w:bidi="fa-IR"/>
        </w:rPr>
        <w:t xml:space="preserve">نظریه طرحواره یانگ، ساختار شخصیت را بر پایه مجموعه‌ای از نیازهای هیجانی بنیادین تبیین می‌کند که برآورده‌نشدن آن‌ها در دوران رشد، زمینه شکل‌گیری طرحواره‌های ناسازگار اولیه را فراهم می‌آورد. در مدل یانگ و همکاران، هجده طرحواره در قالب پنج حوزه طرحواره‌ای</w:t>
      </w:r>
      <w:r>
        <w:rPr>
          <w:rFonts w:ascii="B Nazanin" w:hAnsi="B Nazanin" w:cs="B Nazanin" w:hint="cs"/>
          <w:vertAlign w:val="superscript"/>
          <w:rtl/>
        </w:rPr>
        <w:footnoteReference w:id="25"/>
      </w:r>
      <w:r>
        <w:rPr>
          <w:rFonts w:ascii="B Nazanin" w:hAnsi="B Nazanin" w:cs="B Nazanin" w:hint="cs"/>
          <w:sz w:val="24"/>
          <w:szCs w:val="24"/>
          <w:rtl/>
          <w:lang w:bidi="fa-IR"/>
        </w:rPr>
        <w:t xml:space="preserve"> سازمان یافته‌اند و هر حوزه بازتاب محرومیت پایدار از یک یا چند نیاز هیجانی مشخص است؛ به بیان دیگر، حوزه‌ها نه بر اساس شباهت ظاهری طرحواره‌ها، بلکه بر اساس منطق تحولی مشترک آن‌ها تعریف شده‌اند (یانگ و همکاران، ۲۰۰۳). این سازمان‌دهی سلسله‌مراتبی دو کارکرد مهم دارد: نخست، شناسایی نیاز برآورده‌نشده زیربنایی هر طرحواره را ممکن می‌سازد و دوم، پیش‌بینی می‌کند که طرحواره‌های هم‌حوزه معمولاً به‌طور هم‌زمان فعال شوند و تجربه هیجانی فرد را به‌شکل هماهنگ رنگ‌آمیزی کنند. از منظر بالینی نیز، این طبقه‌بندی نقطه آغاز مداخله را مشخص می‌سازد؛ زیرا بازپروری نیاز هیجانی برآورده‌نشده هر حوزه، هدف اصلی فرایند درمان در طرحواره‌درمانی است. فهرست کامل حوزه‌ها و طرحواره‌های این مدل در جدول زیر ارائه شده است.</w:t>
      </w:r>
    </w:p>
    <w:p>
      <w:pPr>
        <w:bidi w:val="1"/>
        <w:spacing w:lineRule="exact" w:line="580" w:before="180" w:after="40"/>
        <w:jc w:val="center"/>
      </w:pPr>
      <w:r>
        <w:rPr>
          <w:rFonts w:ascii="B Nazanin" w:hAnsi="B Nazanin" w:cs="B Nazanin" w:hint="cs"/>
          <w:b/>
          <w:bCs/>
          <w:sz w:val="24"/>
          <w:szCs w:val="24"/>
          <w:rtl/>
          <w:lang w:bidi="fa-IR"/>
        </w:rPr>
        <w:t xml:space="preserve">جدول ۲-۱. حوزه‌ها و طرحواره‌های ناسازگار اولیه در مدل یانگ</w:t>
      </w:r>
    </w:p>
    <w:tbl>
      <w:tblPr>
        <w:tblStyle w:val="TableGrid"/>
        <w:tblW w:type="auto" w:w="0"/>
        <w:tblLook w:firstColumn="1" w:firstRow="1" w:lastColumn="0" w:lastRow="0" w:noHBand="0" w:noVBand="1" w:val="04A0"/>
        <w:bidiVisual/>
      </w:tblPr>
      <w:tblGrid>
        <w:gridCol w:w="2740"/>
        <w:gridCol w:w="2740"/>
        <w:gridCol w:w="2740"/>
      </w:tblGrid>
      <w:tr>
        <w:tc>
          <w:tcPr>
            <w:tcW w:type="dxa" w:w="2740"/>
          </w:tcPr>
          <w:p>
            <w:pPr>
              <w:bidi w:val="1"/>
              <w:jc w:val="center"/>
            </w:pPr>
            <w:r/>
            <w:r>
              <w:rPr>
                <w:rFonts w:ascii="B Nazanin" w:hAnsi="B Nazanin" w:cs="B Nazanin" w:hint="cs"/>
                <w:b/>
                <w:bCs/>
                <w:sz w:val="22"/>
                <w:szCs w:val="22"/>
                <w:rtl/>
                <w:lang w:bidi="fa-IR"/>
              </w:rPr>
              <w:t xml:space="preserve">حوزه (فارسی / انگلیسی)</w:t>
            </w:r>
          </w:p>
        </w:tc>
        <w:tc>
          <w:tcPr>
            <w:tcW w:type="dxa" w:w="2740"/>
          </w:tcPr>
          <w:p>
            <w:pPr>
              <w:bidi w:val="1"/>
              <w:jc w:val="center"/>
            </w:pPr>
            <w:r/>
            <w:r>
              <w:rPr>
                <w:rFonts w:ascii="B Nazanin" w:hAnsi="B Nazanin" w:cs="B Nazanin" w:hint="cs"/>
                <w:b/>
                <w:bCs/>
                <w:sz w:val="22"/>
                <w:szCs w:val="22"/>
                <w:rtl/>
                <w:lang w:bidi="fa-IR"/>
              </w:rPr>
              <w:t xml:space="preserve">نیاز هیجانی بنیادین برآورده‌نشده</w:t>
            </w:r>
          </w:p>
        </w:tc>
        <w:tc>
          <w:tcPr>
            <w:tcW w:type="dxa" w:w="2740"/>
          </w:tcPr>
          <w:p>
            <w:pPr>
              <w:bidi w:val="1"/>
              <w:jc w:val="center"/>
            </w:pPr>
            <w:r/>
            <w:r>
              <w:rPr>
                <w:rFonts w:ascii="B Nazanin" w:hAnsi="B Nazanin" w:cs="B Nazanin" w:hint="cs"/>
                <w:b/>
                <w:bCs/>
                <w:sz w:val="22"/>
                <w:szCs w:val="22"/>
                <w:rtl/>
                <w:lang w:bidi="fa-IR"/>
              </w:rPr>
              <w:t xml:space="preserve">طرحواره‌های حوزه</w:t>
            </w:r>
          </w:p>
        </w:tc>
      </w:tr>
      <w:tr>
        <w:tc>
          <w:tcPr>
            <w:tcW w:type="dxa" w:w="2740"/>
          </w:tcPr>
          <w:p>
            <w:pPr>
              <w:bidi w:val="1"/>
              <w:jc w:val="both"/>
            </w:pPr>
            <w:r/>
            <w:r>
              <w:rPr>
                <w:rFonts w:ascii="B Nazanin" w:hAnsi="B Nazanin" w:cs="B Nazanin" w:hint="cs"/>
                <w:sz w:val="22"/>
                <w:szCs w:val="22"/>
                <w:rtl/>
                <w:lang w:bidi="fa-IR"/>
              </w:rPr>
              <w:t xml:space="preserve">۱. بریدگی و طرد</w:t>
            </w:r>
            <w:r>
              <w:rPr>
                <w:rFonts w:ascii="Times New Roman" w:hAnsi="Times New Roman" w:cs="Times New Roman"/>
                <w:sz w:val="20"/>
                <w:szCs w:val="20"/>
                <w:lang w:val="en-US"/>
              </w:rPr>
              <w:t xml:space="preserve"> (Disconnection and Rejection)</w:t>
            </w:r>
          </w:p>
        </w:tc>
        <w:tc>
          <w:tcPr>
            <w:tcW w:type="dxa" w:w="2740"/>
          </w:tcPr>
          <w:p>
            <w:pPr>
              <w:bidi w:val="1"/>
              <w:jc w:val="both"/>
            </w:pPr>
            <w:r/>
            <w:r>
              <w:rPr>
                <w:rFonts w:ascii="B Nazanin" w:hAnsi="B Nazanin" w:cs="B Nazanin" w:hint="cs"/>
                <w:sz w:val="22"/>
                <w:szCs w:val="22"/>
                <w:rtl/>
                <w:lang w:bidi="fa-IR"/>
              </w:rPr>
              <w:t xml:space="preserve">امنیت، دلبستگی پایدار، همدلی، پذیرش و محبت</w:t>
            </w:r>
          </w:p>
        </w:tc>
        <w:tc>
          <w:tcPr>
            <w:tcW w:type="dxa" w:w="2740"/>
          </w:tcPr>
          <w:p>
            <w:pPr>
              <w:bidi w:val="1"/>
              <w:jc w:val="both"/>
            </w:pPr>
            <w:r/>
            <w:r>
              <w:rPr>
                <w:rFonts w:ascii="B Nazanin" w:hAnsi="B Nazanin" w:cs="B Nazanin" w:hint="cs"/>
                <w:sz w:val="22"/>
                <w:szCs w:val="22"/>
                <w:rtl/>
                <w:lang w:bidi="fa-IR"/>
              </w:rPr>
              <w:t xml:space="preserve">رهاشدگی/بی‌ثباتی</w:t>
            </w:r>
            <w:r>
              <w:rPr>
                <w:rFonts w:ascii="Times New Roman" w:hAnsi="Times New Roman" w:cs="Times New Roman"/>
                <w:sz w:val="20"/>
                <w:szCs w:val="20"/>
                <w:lang w:val="en-US"/>
              </w:rPr>
              <w:t xml:space="preserve"> (Abandonment/Instability)</w:t>
            </w:r>
            <w:r>
              <w:rPr>
                <w:rFonts w:ascii="B Nazanin" w:hAnsi="B Nazanin" w:cs="B Nazanin" w:hint="cs"/>
                <w:sz w:val="22"/>
                <w:szCs w:val="22"/>
                <w:rtl/>
                <w:lang w:bidi="fa-IR"/>
              </w:rPr>
              <w:t xml:space="preserve">؛ بی‌اعتمادی/بدرفتاری</w:t>
            </w:r>
            <w:r>
              <w:rPr>
                <w:rFonts w:ascii="Times New Roman" w:hAnsi="Times New Roman" w:cs="Times New Roman"/>
                <w:sz w:val="20"/>
                <w:szCs w:val="20"/>
                <w:lang w:val="en-US"/>
              </w:rPr>
              <w:t xml:space="preserve"> (Mistrust/Abuse)</w:t>
            </w:r>
            <w:r>
              <w:rPr>
                <w:rFonts w:ascii="B Nazanin" w:hAnsi="B Nazanin" w:cs="B Nazanin" w:hint="cs"/>
                <w:sz w:val="22"/>
                <w:szCs w:val="22"/>
                <w:rtl/>
                <w:lang w:bidi="fa-IR"/>
              </w:rPr>
              <w:t xml:space="preserve">؛ محرومیت هیجانی</w:t>
            </w:r>
            <w:r>
              <w:rPr>
                <w:rFonts w:ascii="Times New Roman" w:hAnsi="Times New Roman" w:cs="Times New Roman"/>
                <w:sz w:val="20"/>
                <w:szCs w:val="20"/>
                <w:lang w:val="en-US"/>
              </w:rPr>
              <w:t xml:space="preserve"> (Emotional Deprivation)</w:t>
            </w:r>
            <w:r>
              <w:rPr>
                <w:rFonts w:ascii="B Nazanin" w:hAnsi="B Nazanin" w:cs="B Nazanin" w:hint="cs"/>
                <w:sz w:val="22"/>
                <w:szCs w:val="22"/>
                <w:rtl/>
                <w:lang w:bidi="fa-IR"/>
              </w:rPr>
              <w:t xml:space="preserve">؛ نقص/شرم</w:t>
            </w:r>
            <w:r>
              <w:rPr>
                <w:rFonts w:ascii="Times New Roman" w:hAnsi="Times New Roman" w:cs="Times New Roman"/>
                <w:sz w:val="20"/>
                <w:szCs w:val="20"/>
                <w:lang w:val="en-US"/>
              </w:rPr>
              <w:t xml:space="preserve"> (Defectiveness/Shame)</w:t>
            </w:r>
            <w:r>
              <w:rPr>
                <w:rFonts w:ascii="B Nazanin" w:hAnsi="B Nazanin" w:cs="B Nazanin" w:hint="cs"/>
                <w:sz w:val="22"/>
                <w:szCs w:val="22"/>
                <w:rtl/>
                <w:lang w:bidi="fa-IR"/>
              </w:rPr>
              <w:t xml:space="preserve">؛ انزوای اجتماعی/بیگانگی</w:t>
            </w:r>
            <w:r>
              <w:rPr>
                <w:rFonts w:ascii="Times New Roman" w:hAnsi="Times New Roman" w:cs="Times New Roman"/>
                <w:sz w:val="20"/>
                <w:szCs w:val="20"/>
                <w:lang w:val="en-US"/>
              </w:rPr>
              <w:t xml:space="preserve"> (Social Isolation/Alienation)</w:t>
            </w:r>
          </w:p>
        </w:tc>
      </w:tr>
      <w:tr>
        <w:tc>
          <w:tcPr>
            <w:tcW w:type="dxa" w:w="2740"/>
          </w:tcPr>
          <w:p>
            <w:pPr>
              <w:bidi w:val="1"/>
              <w:jc w:val="both"/>
            </w:pPr>
            <w:r/>
            <w:r>
              <w:rPr>
                <w:rFonts w:ascii="B Nazanin" w:hAnsi="B Nazanin" w:cs="B Nazanin" w:hint="cs"/>
                <w:sz w:val="22"/>
                <w:szCs w:val="22"/>
                <w:rtl/>
                <w:lang w:bidi="fa-IR"/>
              </w:rPr>
              <w:t xml:space="preserve">۲. آسیب‌دیدگی در خودمختاری و عملکرد</w:t>
            </w:r>
            <w:r>
              <w:rPr>
                <w:rFonts w:ascii="Times New Roman" w:hAnsi="Times New Roman" w:cs="Times New Roman"/>
                <w:sz w:val="20"/>
                <w:szCs w:val="20"/>
                <w:lang w:val="en-US"/>
              </w:rPr>
              <w:t xml:space="preserve"> (Impaired Autonomy and Performance)</w:t>
            </w:r>
          </w:p>
        </w:tc>
        <w:tc>
          <w:tcPr>
            <w:tcW w:type="dxa" w:w="2740"/>
          </w:tcPr>
          <w:p>
            <w:pPr>
              <w:bidi w:val="1"/>
              <w:jc w:val="both"/>
            </w:pPr>
            <w:r/>
            <w:r>
              <w:rPr>
                <w:rFonts w:ascii="B Nazanin" w:hAnsi="B Nazanin" w:cs="B Nazanin" w:hint="cs"/>
                <w:sz w:val="22"/>
                <w:szCs w:val="22"/>
                <w:rtl/>
                <w:lang w:bidi="fa-IR"/>
              </w:rPr>
              <w:t xml:space="preserve">خودمختاری، شایستگی و هویت مستقل</w:t>
            </w:r>
          </w:p>
        </w:tc>
        <w:tc>
          <w:tcPr>
            <w:tcW w:type="dxa" w:w="2740"/>
          </w:tcPr>
          <w:p>
            <w:pPr>
              <w:bidi w:val="1"/>
              <w:jc w:val="both"/>
            </w:pPr>
            <w:r/>
            <w:r>
              <w:rPr>
                <w:rFonts w:ascii="B Nazanin" w:hAnsi="B Nazanin" w:cs="B Nazanin" w:hint="cs"/>
                <w:sz w:val="22"/>
                <w:szCs w:val="22"/>
                <w:rtl/>
                <w:lang w:bidi="fa-IR"/>
              </w:rPr>
              <w:t xml:space="preserve">آسیب‌پذیری نسبت به آسیب یا بیماری</w:t>
            </w:r>
            <w:r>
              <w:rPr>
                <w:rFonts w:ascii="Times New Roman" w:hAnsi="Times New Roman" w:cs="Times New Roman"/>
                <w:sz w:val="20"/>
                <w:szCs w:val="20"/>
                <w:lang w:val="en-US"/>
              </w:rPr>
              <w:t xml:space="preserve"> (Vulnerability to Harm or Illness)</w:t>
            </w:r>
            <w:r>
              <w:rPr>
                <w:rFonts w:ascii="B Nazanin" w:hAnsi="B Nazanin" w:cs="B Nazanin" w:hint="cs"/>
                <w:sz w:val="22"/>
                <w:szCs w:val="22"/>
                <w:rtl/>
                <w:lang w:bidi="fa-IR"/>
              </w:rPr>
              <w:t xml:space="preserve">؛ وابستگی/بی‌کفایتی</w:t>
            </w:r>
            <w:r>
              <w:rPr>
                <w:rFonts w:ascii="Times New Roman" w:hAnsi="Times New Roman" w:cs="Times New Roman"/>
                <w:sz w:val="20"/>
                <w:szCs w:val="20"/>
                <w:lang w:val="en-US"/>
              </w:rPr>
              <w:t xml:space="preserve"> (Dependence/Incompetence)</w:t>
            </w:r>
            <w:r>
              <w:rPr>
                <w:rFonts w:ascii="B Nazanin" w:hAnsi="B Nazanin" w:cs="B Nazanin" w:hint="cs"/>
                <w:sz w:val="22"/>
                <w:szCs w:val="22"/>
                <w:rtl/>
                <w:lang w:bidi="fa-IR"/>
              </w:rPr>
              <w:t xml:space="preserve">؛ درهم‌تنیدگی/خویشتن رشدنایافته</w:t>
            </w:r>
            <w:r>
              <w:rPr>
                <w:rFonts w:ascii="Times New Roman" w:hAnsi="Times New Roman" w:cs="Times New Roman"/>
                <w:sz w:val="20"/>
                <w:szCs w:val="20"/>
                <w:lang w:val="en-US"/>
              </w:rPr>
              <w:t xml:space="preserve"> (Enmeshment/Undeveloped Self)</w:t>
            </w:r>
            <w:r>
              <w:rPr>
                <w:rFonts w:ascii="B Nazanin" w:hAnsi="B Nazanin" w:cs="B Nazanin" w:hint="cs"/>
                <w:sz w:val="22"/>
                <w:szCs w:val="22"/>
                <w:rtl/>
                <w:lang w:bidi="fa-IR"/>
              </w:rPr>
              <w:t xml:space="preserve">؛ شکست</w:t>
            </w:r>
            <w:r>
              <w:rPr>
                <w:rFonts w:ascii="Times New Roman" w:hAnsi="Times New Roman" w:cs="Times New Roman"/>
                <w:sz w:val="20"/>
                <w:szCs w:val="20"/>
                <w:lang w:val="en-US"/>
              </w:rPr>
              <w:t xml:space="preserve"> (Failure)</w:t>
            </w:r>
          </w:p>
        </w:tc>
      </w:tr>
      <w:tr>
        <w:tc>
          <w:tcPr>
            <w:tcW w:type="dxa" w:w="2740"/>
          </w:tcPr>
          <w:p>
            <w:pPr>
              <w:bidi w:val="1"/>
              <w:jc w:val="both"/>
            </w:pPr>
            <w:r/>
            <w:r>
              <w:rPr>
                <w:rFonts w:ascii="B Nazanin" w:hAnsi="B Nazanin" w:cs="B Nazanin" w:hint="cs"/>
                <w:sz w:val="22"/>
                <w:szCs w:val="22"/>
                <w:rtl/>
                <w:lang w:bidi="fa-IR"/>
              </w:rPr>
              <w:t xml:space="preserve">۳. محدودیت‌های مختل</w:t>
            </w:r>
            <w:r>
              <w:rPr>
                <w:rFonts w:ascii="Times New Roman" w:hAnsi="Times New Roman" w:cs="Times New Roman"/>
                <w:sz w:val="20"/>
                <w:szCs w:val="20"/>
                <w:lang w:val="en-US"/>
              </w:rPr>
              <w:t xml:space="preserve"> (Impaired Limits)</w:t>
            </w:r>
          </w:p>
        </w:tc>
        <w:tc>
          <w:tcPr>
            <w:tcW w:type="dxa" w:w="2740"/>
          </w:tcPr>
          <w:p>
            <w:pPr>
              <w:bidi w:val="1"/>
              <w:jc w:val="both"/>
            </w:pPr>
            <w:r/>
            <w:r>
              <w:rPr>
                <w:rFonts w:ascii="B Nazanin" w:hAnsi="B Nazanin" w:cs="B Nazanin" w:hint="cs"/>
                <w:sz w:val="22"/>
                <w:szCs w:val="22"/>
                <w:rtl/>
                <w:lang w:bidi="fa-IR"/>
              </w:rPr>
              <w:t xml:space="preserve">محدودیت‌های واقع‌بینانه، خودکنترلی و مسئولیت‌پذیری</w:t>
            </w:r>
          </w:p>
        </w:tc>
        <w:tc>
          <w:tcPr>
            <w:tcW w:type="dxa" w:w="2740"/>
          </w:tcPr>
          <w:p>
            <w:pPr>
              <w:bidi w:val="1"/>
              <w:jc w:val="both"/>
            </w:pPr>
            <w:r/>
            <w:r>
              <w:rPr>
                <w:rFonts w:ascii="B Nazanin" w:hAnsi="B Nazanin" w:cs="B Nazanin" w:hint="cs"/>
                <w:sz w:val="22"/>
                <w:szCs w:val="22"/>
                <w:rtl/>
                <w:lang w:bidi="fa-IR"/>
              </w:rPr>
              <w:t xml:space="preserve">استحقاق/بزرگ‌منشی</w:t>
            </w:r>
            <w:r>
              <w:rPr>
                <w:rFonts w:ascii="Times New Roman" w:hAnsi="Times New Roman" w:cs="Times New Roman"/>
                <w:sz w:val="20"/>
                <w:szCs w:val="20"/>
                <w:lang w:val="en-US"/>
              </w:rPr>
              <w:t xml:space="preserve"> (Entitlement/Grandiosity)</w:t>
            </w:r>
            <w:r>
              <w:rPr>
                <w:rFonts w:ascii="B Nazanin" w:hAnsi="B Nazanin" w:cs="B Nazanin" w:hint="cs"/>
                <w:sz w:val="22"/>
                <w:szCs w:val="22"/>
                <w:rtl/>
                <w:lang w:bidi="fa-IR"/>
              </w:rPr>
              <w:t xml:space="preserve">؛ خویشتن‌داری/خودانضباطی ناکافی</w:t>
            </w:r>
            <w:r>
              <w:rPr>
                <w:rFonts w:ascii="Times New Roman" w:hAnsi="Times New Roman" w:cs="Times New Roman"/>
                <w:sz w:val="20"/>
                <w:szCs w:val="20"/>
                <w:lang w:val="en-US"/>
              </w:rPr>
              <w:t xml:space="preserve"> (Insufficient Self-Control/Self-Discipline)</w:t>
            </w:r>
          </w:p>
        </w:tc>
      </w:tr>
      <w:tr>
        <w:tc>
          <w:tcPr>
            <w:tcW w:type="dxa" w:w="2740"/>
          </w:tcPr>
          <w:p>
            <w:pPr>
              <w:bidi w:val="1"/>
              <w:jc w:val="both"/>
            </w:pPr>
            <w:r/>
            <w:r>
              <w:rPr>
                <w:rFonts w:ascii="B Nazanin" w:hAnsi="B Nazanin" w:cs="B Nazanin" w:hint="cs"/>
                <w:sz w:val="22"/>
                <w:szCs w:val="22"/>
                <w:rtl/>
                <w:lang w:bidi="fa-IR"/>
              </w:rPr>
              <w:t xml:space="preserve">۴. دیگرجهت‌مندی</w:t>
            </w:r>
            <w:r>
              <w:rPr>
                <w:rFonts w:ascii="Times New Roman" w:hAnsi="Times New Roman" w:cs="Times New Roman"/>
                <w:sz w:val="20"/>
                <w:szCs w:val="20"/>
                <w:lang w:val="en-US"/>
              </w:rPr>
              <w:t xml:space="preserve"> (Other-Directedness)</w:t>
            </w:r>
          </w:p>
        </w:tc>
        <w:tc>
          <w:tcPr>
            <w:tcW w:type="dxa" w:w="2740"/>
          </w:tcPr>
          <w:p>
            <w:pPr>
              <w:bidi w:val="1"/>
              <w:jc w:val="both"/>
            </w:pPr>
            <w:r/>
            <w:r>
              <w:rPr>
                <w:rFonts w:ascii="B Nazanin" w:hAnsi="B Nazanin" w:cs="B Nazanin" w:hint="cs"/>
                <w:sz w:val="22"/>
                <w:szCs w:val="22"/>
                <w:rtl/>
                <w:lang w:bidi="fa-IR"/>
              </w:rPr>
              <w:t xml:space="preserve">بیان آزاد نیازها و هیجان‌ها و روابط متقابل</w:t>
            </w:r>
          </w:p>
        </w:tc>
        <w:tc>
          <w:tcPr>
            <w:tcW w:type="dxa" w:w="2740"/>
          </w:tcPr>
          <w:p>
            <w:pPr>
              <w:bidi w:val="1"/>
              <w:jc w:val="both"/>
            </w:pPr>
            <w:r/>
            <w:r>
              <w:rPr>
                <w:rFonts w:ascii="B Nazanin" w:hAnsi="B Nazanin" w:cs="B Nazanin" w:hint="cs"/>
                <w:sz w:val="22"/>
                <w:szCs w:val="22"/>
                <w:rtl/>
                <w:lang w:bidi="fa-IR"/>
              </w:rPr>
              <w:t xml:space="preserve">اطاعت</w:t>
            </w:r>
            <w:r>
              <w:rPr>
                <w:rFonts w:ascii="Times New Roman" w:hAnsi="Times New Roman" w:cs="Times New Roman"/>
                <w:sz w:val="20"/>
                <w:szCs w:val="20"/>
                <w:lang w:val="en-US"/>
              </w:rPr>
              <w:t xml:space="preserve"> (Subjugation)</w:t>
            </w:r>
            <w:r>
              <w:rPr>
                <w:rFonts w:ascii="B Nazanin" w:hAnsi="B Nazanin" w:cs="B Nazanin" w:hint="cs"/>
                <w:sz w:val="22"/>
                <w:szCs w:val="22"/>
                <w:rtl/>
                <w:lang w:bidi="fa-IR"/>
              </w:rPr>
              <w:t xml:space="preserve">؛ ایثار</w:t>
            </w:r>
            <w:r>
              <w:rPr>
                <w:rFonts w:ascii="Times New Roman" w:hAnsi="Times New Roman" w:cs="Times New Roman"/>
                <w:sz w:val="20"/>
                <w:szCs w:val="20"/>
                <w:lang w:val="en-US"/>
              </w:rPr>
              <w:t xml:space="preserve"> (Self-Sacrifice)</w:t>
            </w:r>
            <w:r>
              <w:rPr>
                <w:rFonts w:ascii="B Nazanin" w:hAnsi="B Nazanin" w:cs="B Nazanin" w:hint="cs"/>
                <w:sz w:val="22"/>
                <w:szCs w:val="22"/>
                <w:rtl/>
                <w:lang w:bidi="fa-IR"/>
              </w:rPr>
              <w:t xml:space="preserve">؛ تأییدطلبی/جلب توجه</w:t>
            </w:r>
            <w:r>
              <w:rPr>
                <w:rFonts w:ascii="Times New Roman" w:hAnsi="Times New Roman" w:cs="Times New Roman"/>
                <w:sz w:val="20"/>
                <w:szCs w:val="20"/>
                <w:lang w:val="en-US"/>
              </w:rPr>
              <w:t xml:space="preserve"> (Approval-Seeking/Recognition-Seeking)</w:t>
            </w:r>
          </w:p>
        </w:tc>
      </w:tr>
      <w:tr>
        <w:tc>
          <w:tcPr>
            <w:tcW w:type="dxa" w:w="2740"/>
          </w:tcPr>
          <w:p>
            <w:pPr>
              <w:bidi w:val="1"/>
              <w:jc w:val="both"/>
            </w:pPr>
            <w:r/>
            <w:r>
              <w:rPr>
                <w:rFonts w:ascii="B Nazanin" w:hAnsi="B Nazanin" w:cs="B Nazanin" w:hint="cs"/>
                <w:sz w:val="22"/>
                <w:szCs w:val="22"/>
                <w:rtl/>
                <w:lang w:bidi="fa-IR"/>
              </w:rPr>
              <w:t xml:space="preserve">۵. گوش‌به‌زنگی بیش از حد و بازداری</w:t>
            </w:r>
            <w:r>
              <w:rPr>
                <w:rFonts w:ascii="Times New Roman" w:hAnsi="Times New Roman" w:cs="Times New Roman"/>
                <w:sz w:val="20"/>
                <w:szCs w:val="20"/>
                <w:lang w:val="en-US"/>
              </w:rPr>
              <w:t xml:space="preserve"> (Overvigilance and Inhibition)</w:t>
            </w:r>
          </w:p>
        </w:tc>
        <w:tc>
          <w:tcPr>
            <w:tcW w:type="dxa" w:w="2740"/>
          </w:tcPr>
          <w:p>
            <w:pPr>
              <w:bidi w:val="1"/>
              <w:jc w:val="both"/>
            </w:pPr>
            <w:r/>
            <w:r>
              <w:rPr>
                <w:rFonts w:ascii="B Nazanin" w:hAnsi="B Nazanin" w:cs="B Nazanin" w:hint="cs"/>
                <w:sz w:val="22"/>
                <w:szCs w:val="22"/>
                <w:rtl/>
                <w:lang w:bidi="fa-IR"/>
              </w:rPr>
              <w:t xml:space="preserve">خودانگیختگی، بازی و معیارهای انعطاف‌پذیر</w:t>
            </w:r>
          </w:p>
        </w:tc>
        <w:tc>
          <w:tcPr>
            <w:tcW w:type="dxa" w:w="2740"/>
          </w:tcPr>
          <w:p>
            <w:pPr>
              <w:bidi w:val="1"/>
              <w:jc w:val="both"/>
            </w:pPr>
            <w:r/>
            <w:r>
              <w:rPr>
                <w:rFonts w:ascii="B Nazanin" w:hAnsi="B Nazanin" w:cs="B Nazanin" w:hint="cs"/>
                <w:sz w:val="22"/>
                <w:szCs w:val="22"/>
                <w:rtl/>
                <w:lang w:bidi="fa-IR"/>
              </w:rPr>
              <w:t xml:space="preserve">منفی‌گرایی/بدبینی</w:t>
            </w:r>
            <w:r>
              <w:rPr>
                <w:rFonts w:ascii="Times New Roman" w:hAnsi="Times New Roman" w:cs="Times New Roman"/>
                <w:sz w:val="20"/>
                <w:szCs w:val="20"/>
                <w:lang w:val="en-US"/>
              </w:rPr>
              <w:t xml:space="preserve"> (Negativity/Pessimism)</w:t>
            </w:r>
            <w:r>
              <w:rPr>
                <w:rFonts w:ascii="B Nazanin" w:hAnsi="B Nazanin" w:cs="B Nazanin" w:hint="cs"/>
                <w:sz w:val="22"/>
                <w:szCs w:val="22"/>
                <w:rtl/>
                <w:lang w:bidi="fa-IR"/>
              </w:rPr>
              <w:t xml:space="preserve">؛ بازداری هیجانی</w:t>
            </w:r>
            <w:r>
              <w:rPr>
                <w:rFonts w:ascii="Times New Roman" w:hAnsi="Times New Roman" w:cs="Times New Roman"/>
                <w:sz w:val="20"/>
                <w:szCs w:val="20"/>
                <w:lang w:val="en-US"/>
              </w:rPr>
              <w:t xml:space="preserve"> (Emotional Inhibition)</w:t>
            </w:r>
            <w:r>
              <w:rPr>
                <w:rFonts w:ascii="B Nazanin" w:hAnsi="B Nazanin" w:cs="B Nazanin" w:hint="cs"/>
                <w:sz w:val="22"/>
                <w:szCs w:val="22"/>
                <w:rtl/>
                <w:lang w:bidi="fa-IR"/>
              </w:rPr>
              <w:t xml:space="preserve">؛ معیارهای سرسختانه/کمال‌گرایی افراطی</w:t>
            </w:r>
            <w:r>
              <w:rPr>
                <w:rFonts w:ascii="Times New Roman" w:hAnsi="Times New Roman" w:cs="Times New Roman"/>
                <w:sz w:val="20"/>
                <w:szCs w:val="20"/>
                <w:lang w:val="en-US"/>
              </w:rPr>
              <w:t xml:space="preserve"> (Unrelenting Standards/Hypercriticalness)</w:t>
            </w:r>
            <w:r>
              <w:rPr>
                <w:rFonts w:ascii="B Nazanin" w:hAnsi="B Nazanin" w:cs="B Nazanin" w:hint="cs"/>
                <w:sz w:val="22"/>
                <w:szCs w:val="22"/>
                <w:rtl/>
                <w:lang w:bidi="fa-IR"/>
              </w:rPr>
              <w:t xml:space="preserve">؛ تنبیه‌گری</w:t>
            </w:r>
            <w:r>
              <w:rPr>
                <w:rFonts w:ascii="Times New Roman" w:hAnsi="Times New Roman" w:cs="Times New Roman"/>
                <w:sz w:val="20"/>
                <w:szCs w:val="20"/>
                <w:lang w:val="en-US"/>
              </w:rPr>
              <w:t xml:space="preserve"> (Punitiveness)</w:t>
            </w:r>
          </w:p>
        </w:tc>
      </w:tr>
    </w:tbl>
    <w:p>
      <w:pPr>
        <w:bidi w:val="1"/>
        <w:spacing w:lineRule="exact" w:line="580" w:after="0"/>
        <w:jc w:val="both"/>
      </w:pPr>
      <w:r>
        <w:rPr>
          <w:rFonts w:ascii="B Nazanin" w:hAnsi="B Nazanin" w:cs="B Nazanin" w:hint="cs"/>
          <w:sz w:val="24"/>
          <w:szCs w:val="24"/>
          <w:rtl/>
          <w:lang w:bidi="fa-IR"/>
        </w:rPr>
        <w:t xml:space="preserve">منطق تحولی این حوزه‌ها بر این اصل استوار است که محیط رشد، به‌جای فراهم‌سازی ممتد نیازهای هیجانی کودک، تجربه‌های مکرر محرومیت، تراکم، تنبیه یا فقدان مرزبندی را جایگزین می‌کند و ذهن کودک برای معنابخشی به این تجربه‌ها، باورهای پایداری درباره خود و جهان می‌سازد. برای نمونه، کودکی که نیازش به دلبستگی ایمن و همدلی به‌طور مکرر نادیده گرفته شده است، طرحواره‌های حوزه بریدگی و طرد را درونی می‌کند و در بزرگسالی روابط را ناامن و دیگران را غیرقابل اتکا می‌پندارد. به همین ترتیب، پرورش در محیطی فاقد محدودیت‌های واقع‌بینانه، شکل‌گیری طرحواره‌های حوزه محدودیت‌های مختل را تسهیل می‌کند؛ حوزه‌ای که در تبیین رفتارهای تکانشی و دشواری پایبندی به قوانین از اهمیت ویژه‌ای برخوردار است. این منطق تحولی، طرحواره‌ها را نه صفات ذاتی، بلکه یادگیری‌های عمیق و قابل تغییر معرفی می‌کند و مبنای امید به مداخله‌های روانشناختی هدفمند قرار می‌دهد (یانگ و همکاران، ۲۰۰۳). بر این اساس، ارزیابی بالینی هر فرد نیز نه با شمارش صرف طرحواره‌ها، بلکه با بازشناسی حوزه‌های غالب و نیازهای برآورده‌نشده زیربنایی آن‌ها انجام می‌گیرد؛ امری که کانون مداخله را از سطح نشانه‌ها به سطح نیازهای تحولی ارتقا می‌دهد.</w:t>
      </w:r>
    </w:p>
    <w:p>
      <w:pPr>
        <w:bidi w:val="1"/>
        <w:spacing w:lineRule="exact" w:line="580" w:after="0"/>
        <w:jc w:val="both"/>
      </w:pPr>
      <w:r>
        <w:rPr>
          <w:rFonts w:ascii="B Nazanin" w:hAnsi="B Nazanin" w:cs="B Nazanin" w:hint="cs"/>
          <w:sz w:val="24"/>
          <w:szCs w:val="24"/>
          <w:rtl/>
          <w:lang w:bidi="fa-IR"/>
        </w:rPr>
        <w:t xml:space="preserve">فعال شدن هر یک از این طرحواره‌ها در بزرگسالی، لزوماً به یک رفتار مشخص و قابل پیش‌بینی منجر نمی‌شود؛ بلکه واکنش رفتاری فرد به سبک مقابله‌ای</w:t>
      </w:r>
      <w:r>
        <w:rPr>
          <w:rFonts w:ascii="B Nazanin" w:hAnsi="B Nazanin" w:cs="B Nazanin" w:hint="cs"/>
          <w:vertAlign w:val="superscript"/>
          <w:rtl/>
        </w:rPr>
        <w:footnoteReference w:id="26"/>
      </w:r>
      <w:r>
        <w:rPr>
          <w:rFonts w:ascii="B Nazanin" w:hAnsi="B Nazanin" w:cs="B Nazanin" w:hint="cs"/>
          <w:sz w:val="24"/>
          <w:szCs w:val="24"/>
          <w:rtl/>
          <w:lang w:bidi="fa-IR"/>
        </w:rPr>
        <w:t xml:space="preserve"> او بستگی دارد. یانگ و همکاران سه سبک مقابله‌ای کلی را شناسایی کرده‌اند: تسلیم</w:t>
      </w:r>
      <w:r>
        <w:rPr>
          <w:rFonts w:ascii="B Nazanin" w:hAnsi="B Nazanin" w:cs="B Nazanin" w:hint="cs"/>
          <w:vertAlign w:val="superscript"/>
          <w:rtl/>
        </w:rPr>
        <w:footnoteReference w:id="27"/>
      </w:r>
      <w:r>
        <w:rPr>
          <w:rFonts w:ascii="B Nazanin" w:hAnsi="B Nazanin" w:cs="B Nazanin" w:hint="cs"/>
          <w:sz w:val="24"/>
          <w:szCs w:val="24"/>
          <w:rtl/>
          <w:lang w:bidi="fa-IR"/>
        </w:rPr>
        <w:t xml:space="preserve">، که در آن فرد پیام طرحواره را می‌پذیرد و تجربه‌های دردناک اولیه را در زندگی بزرگسالی بازتولید می‌کند؛ اجتناب</w:t>
      </w:r>
      <w:r>
        <w:rPr>
          <w:rFonts w:ascii="B Nazanin" w:hAnsi="B Nazanin" w:cs="B Nazanin" w:hint="cs"/>
          <w:vertAlign w:val="superscript"/>
          <w:rtl/>
        </w:rPr>
        <w:footnoteReference w:id="28"/>
      </w:r>
      <w:r>
        <w:rPr>
          <w:rFonts w:ascii="B Nazanin" w:hAnsi="B Nazanin" w:cs="B Nazanin" w:hint="cs"/>
          <w:sz w:val="24"/>
          <w:szCs w:val="24"/>
          <w:rtl/>
          <w:lang w:bidi="fa-IR"/>
        </w:rPr>
        <w:t xml:space="preserve">، که در آن فرد چیدمان زندگی خود را به‌گونه‌ای تنظیم می‌کند که طرحواره فعال نشود و از موقعیت‌ها، افکار و هیجان‌های مرتبط با آن می‌گریزد؛ و جبران افراطی</w:t>
      </w:r>
      <w:r>
        <w:rPr>
          <w:rFonts w:ascii="B Nazanin" w:hAnsi="B Nazanin" w:cs="B Nazanin" w:hint="cs"/>
          <w:vertAlign w:val="superscript"/>
          <w:rtl/>
        </w:rPr>
        <w:footnoteReference w:id="29"/>
      </w:r>
      <w:r>
        <w:rPr>
          <w:rFonts w:ascii="B Nazanin" w:hAnsi="B Nazanin" w:cs="B Nazanin" w:hint="cs"/>
          <w:sz w:val="24"/>
          <w:szCs w:val="24"/>
          <w:rtl/>
          <w:lang w:bidi="fa-IR"/>
        </w:rPr>
        <w:t xml:space="preserve">، که در آن فرد دقیقاً برخلاف پیام طرحواره رفتار می‌کند تا از درد زیربنایی آن در امان بماند (یانگ و همکاران، ۲۰۰۳). راهبردهای اجتنابی نیز خود می‌توانند اشکال گوناگونی داشته باشند، از دوری شناختی از افکار و خاطرات فعال‌کننده گرفته تا مشغول‌سازی افراطی ذهن یا پناه بردن به رفتارهای تسکین‌دهنده. در چارچوب طرحواره‌درمانی، فعال شدن طرحواره و سبک مقابله‌ای برآمده از آن، تجربه هیجانی شدیدی ایجاد می‌کند که رفتار فرد را در همان لحظه هدایت می‌سازد و درک این زنجیره برای تبیین واکنش‌های لحظه‌ای ضروری است (آرنتز و جیکوب، ۲۰۱۲).</w:t>
      </w:r>
    </w:p>
    <w:p>
      <w:pPr>
        <w:bidi w:val="1"/>
        <w:spacing w:lineRule="exact" w:line="580" w:after="0"/>
        <w:jc w:val="both"/>
      </w:pPr>
      <w:r>
        <w:rPr>
          <w:rFonts w:ascii="B Nazanin" w:hAnsi="B Nazanin" w:cs="B Nazanin" w:hint="cs"/>
          <w:sz w:val="24"/>
          <w:szCs w:val="24"/>
          <w:rtl/>
          <w:lang w:bidi="fa-IR"/>
        </w:rPr>
        <w:t xml:space="preserve">نکته کلیدی این چارچوب برای تبیین رفتار مالی آن است که یک طرحواره واحد می‌تواند بسته به سبک مقابله‌ای غالب، به رفتارهای کاملاً متضاد بینجامد. به بیان ساده‌تر، رفتار مشاهده‌شده بیش از آنکه آینه مستقیم طرحواره باشد، آینه راهبرد مقابله‌ای فرد در برابر آن طرحواره است. برای نمونه، طرحواره‌ای واحد در یک فرد ممکن است در قالب ریسک‌گریزی افراطی و اجتناب از هرگونه تصمیم مالی نمایان شود و در فردی دیگر، به شکل ریسک‌پذیری تکانشی و تلاش برای اثبات ارزشمندی خود. این ویژگی نظری، تبیین ناهمسانی رفتارهای مالی را بدون توسل به فرض‌های موردی ممکن می‌سازد؛ به این معنا که هم‌زمانی ریسک‌گریزی و ریسک‌پذیری افراطی در جمعیت‌های مختلف، نه لزوماً نشانه تناقض در داده‌ها، بلکه می‌تواند بازتاب سبک‌های مقابله‌ای متفاوت در برابر طرحواره‌های مشابه باشد. البته این استدلال صرفاً یک چارچوب تبیینی نظری است و آزمون تجربی آن در بافت معامله‌گری، از جمله اهداف پژوهش حاضر محسوب می‌شود؛ آزمونی که مستلزم سنجش هم‌زمان طرحواره‌ها و سبک‌های رفتاری برآمده از آن‌هاست.</w:t>
      </w:r>
    </w:p>
    <w:p>
      <w:pPr>
        <w:bidi w:val="1"/>
        <w:spacing w:lineRule="exact" w:line="580" w:after="0"/>
        <w:jc w:val="both"/>
      </w:pPr>
      <w:r>
        <w:rPr>
          <w:rFonts w:ascii="B Nazanin" w:hAnsi="B Nazanin" w:cs="B Nazanin" w:hint="cs"/>
          <w:sz w:val="24"/>
          <w:szCs w:val="24"/>
          <w:rtl/>
          <w:lang w:bidi="fa-IR"/>
        </w:rPr>
        <w:t xml:space="preserve">از منظر سنجش، پرسشنامه طرحواره یانگ مهم‌ترین ابزار ارزیابی این سازه‌هاست و ویژگی‌های روان‌سنجی آن در مطالعات متعدد بررسی شده است. نخستین ارزیابی نظام‌مند این ابزار در مطالعه اشمیت و همکاران انجام گرفت که ویژگی‌های روان‌سنجی و ساختار سلسله‌مراتبی پرسشنامه را بررسی و شواهد مقدماتی روایی و پایایی آن را گزارش کردند (اشمیت و همکاران</w:t>
      </w:r>
      <w:r>
        <w:rPr>
          <w:rFonts w:ascii="B Nazanin" w:hAnsi="B Nazanin" w:cs="B Nazanin" w:hint="cs"/>
          <w:vertAlign w:val="superscript"/>
          <w:rtl/>
        </w:rPr>
        <w:footnoteReference w:id="95"/>
      </w:r>
      <w:r>
        <w:rPr>
          <w:rFonts w:ascii="B Nazanin" w:hAnsi="B Nazanin" w:cs="B Nazanin" w:hint="cs"/>
          <w:sz w:val="24"/>
          <w:szCs w:val="24"/>
          <w:rtl/>
          <w:lang w:bidi="fa-IR"/>
        </w:rPr>
        <w:t xml:space="preserve">، ۱۹۹۵). این پرسشنامه در دو قالب اصلی تدوین شده است: فرم بلند که پوشش تفصیلی همه طرحواره‌ها را برای اهداف پژوهشی و بالینی فراهم می‌آورد و فرم کوتاه که نسخه فشرده آن برای غربالگری و پژوهش‌های میدانی طراحی شده است. در ادامه، نسخه‌های بین‌المللی این ابزار نیز در فرهنگ‌های مختلف اعتباریابی شده‌اند؛ از جمله ساژینو و همکاران که ویژگی‌های روان‌سنجی نسخه ایتالیایی فرم بلند پرسشنامه</w:t>
      </w:r>
      <w:r>
        <w:rPr>
          <w:rFonts w:ascii="Times New Roman" w:hAnsi="Times New Roman" w:cs="Times New Roman"/>
          <w:sz w:val="22"/>
          <w:szCs w:val="22"/>
          <w:lang w:val="en-US"/>
        </w:rPr>
        <w:t xml:space="preserve"> (YSQ–L3) </w:t>
      </w:r>
      <w:r>
        <w:rPr>
          <w:rFonts w:ascii="B Nazanin" w:hAnsi="B Nazanin" w:cs="B Nazanin" w:hint="cs"/>
          <w:sz w:val="24"/>
          <w:szCs w:val="24"/>
          <w:rtl/>
          <w:lang w:bidi="fa-IR"/>
        </w:rPr>
        <w:t xml:space="preserve">را در یک مطالعه مقدماتی ارزیابی کردند و شواهدی برای ساختار عاملی این نسخه ارائه دادند (ساژینو و همکاران</w:t>
      </w:r>
      <w:r>
        <w:rPr>
          <w:rFonts w:ascii="B Nazanin" w:hAnsi="B Nazanin" w:cs="B Nazanin" w:hint="cs"/>
          <w:vertAlign w:val="superscript"/>
          <w:rtl/>
        </w:rPr>
        <w:footnoteReference w:id="96"/>
      </w:r>
      <w:r>
        <w:rPr>
          <w:rFonts w:ascii="B Nazanin" w:hAnsi="B Nazanin" w:cs="B Nazanin" w:hint="cs"/>
          <w:sz w:val="24"/>
          <w:szCs w:val="24"/>
          <w:rtl/>
          <w:lang w:bidi="fa-IR"/>
        </w:rPr>
        <w:t xml:space="preserve">، ۲۰۱۸). اهمیت این مطالعات بین‌فرهنگی در آن است که کاربردپذیری مدل هجده‌طرحواره‌ای را فراتر از بافت اصلی تدوین آن نشان می‌دهند. ویژگی‌های روان‌سنجی نسخه فارسی نیز پیش‌تر به‌طور مستقل بررسی شده است (یوسفی، ۱۳۹۶) و فرم کوتاه این ابزار، مبنای سنجش طرحواره‌ها در پژوهش حاضر خواهد بود.</w:t>
      </w:r>
    </w:p>
    <w:p>
      <w:pPr>
        <w:bidi w:val="1"/>
        <w:spacing w:lineRule="exact" w:line="580" w:after="0"/>
        <w:jc w:val="both"/>
      </w:pPr>
      <w:r>
        <w:rPr>
          <w:rFonts w:ascii="B Nazanin" w:hAnsi="B Nazanin" w:cs="B Nazanin" w:hint="cs"/>
          <w:sz w:val="24"/>
          <w:szCs w:val="24"/>
          <w:rtl/>
          <w:lang w:bidi="fa-IR"/>
        </w:rPr>
        <w:t xml:space="preserve">در جمع، سازمان‌دهی طرحواره‌ها در پنج حوزه و تبیین سبک‌های مقابله‌ای، چارچوبی فراهم می‌آورد که می‌تواند حلقه اتصال میان آسیب‌پذیری‌های هیجانی پایدار و رفتارهای عینی قابل مشاهده باشد. این چارچوب نشان می‌دهد که چگونه تجربه‌های رشدی دور می‌توانند از مسیر باورهای عمیق و راهبردهای مقابله‌ای، بر تصمیم‌های لحظه‌ای مالی اثر بگذارند؛ از این رو، طرحواره‌های ناسازگار اولیه نامزد اصلی برای تبیین مکانیسم میانجی در رابطه اضطراب صفتی و رفتارهای مالی پرخطر هستند و در بخش‌های آتی این فصل، شواهد تجربی این نقش میانجی‌گر مرور خواهد شد. انتظار می‌رود چنین مروری نشان دهد که طرحواره‌ها صرفاً همبسته‌های آماری این رابطه نیستند، بلکه سازوکار شناختی-هیجانی مشخصی را برای تبدیل تنش اضطرابی به رفتار مالی پرخطر فراهم می‌آورند؛ سازوکاری که در بخش روابط بین متغیرها و مدل نظری به تفصیل تبیین خواهد شد. این تمهید همچنین امکان می‌دهد که یافته‌های پژوهش حاضر در چارچوب نظری واحدی تفسیر شوند و از سطح توصیف صرف فراتر روند.</w:t>
      </w:r>
    </w:p>
    <w:p>
      <w:pPr>
        <w:pStyle w:val="Heading3"/>
        <w:bidi w:val="1"/>
        <w:jc w:val="right"/>
      </w:pPr>
      <w:r>
        <w:rPr>
          <w:rFonts w:ascii="B Nazanin" w:hAnsi="B Nazanin" w:cs="B Nazanin" w:hint="cs"/>
          <w:b/>
          <w:bCs/>
          <w:sz w:val="26"/>
          <w:szCs w:val="26"/>
          <w:rtl/>
          <w:lang w:bidi="fa-IR"/>
        </w:rPr>
        <w:t xml:space="preserve">۲-۲-۳ رفتارهای مالی پرخطر</w:t>
      </w:r>
    </w:p>
    <w:p>
      <w:pPr>
        <w:bidi w:val="1"/>
        <w:spacing w:lineRule="exact" w:line="580" w:after="0"/>
        <w:jc w:val="both"/>
      </w:pPr>
      <w:r>
        <w:rPr>
          <w:rFonts w:ascii="B Nazanin" w:hAnsi="B Nazanin" w:cs="B Nazanin" w:hint="cs"/>
          <w:sz w:val="24"/>
          <w:szCs w:val="24"/>
          <w:rtl/>
          <w:lang w:bidi="fa-IR"/>
        </w:rPr>
        <w:t xml:space="preserve">این ضعف ساختاری در خودتنظیمی هیجانی و رفتاری، خود را در قالب یکی از شایع‌ترین و مخرب‌ترین پدیده‌های آسیب‌شناختی در بازارهای سرمایه، یعنی «معامله‌گری بیش از حد» یا افراطی نمایان می‌سازد؛ الگویی از رفتار معاملاتی تکرارشونده، هیجانی و فاقد پشتوانه تحلیلی کافی که بر اساس یافته‌های پژوهش کلاسیک و جریان‌ساز باربر و اودین به عنوان یکی از عوامل اصلی و تعیین‌کننده در کاهش بازدهی سرمایه‌گذاری و حتی نابودی کامل سرمایه معامله‌گران خرد و فردی شناخته شده است. این رفتار غالباً ناشی از ترکیب خطرناک سوگیری بیش‌اطمینانی کاذب و تحمیل هزینه‌های معاملاتی گزاف و غیرضروری بر پورتفوی سرمایه‌گذار است  (باربر و اودین، ۲۰۰۰).</w:t>
      </w:r>
    </w:p>
    <w:p>
      <w:pPr>
        <w:bidi w:val="1"/>
        <w:spacing w:lineRule="exact" w:line="580" w:after="0"/>
        <w:jc w:val="both"/>
      </w:pPr>
      <w:r>
        <w:rPr>
          <w:rFonts w:ascii="B Nazanin" w:hAnsi="B Nazanin" w:cs="B Nazanin" w:hint="cs"/>
          <w:sz w:val="24"/>
          <w:szCs w:val="24"/>
          <w:rtl/>
          <w:lang w:bidi="fa-IR"/>
        </w:rPr>
        <w:t xml:space="preserve">خروجی نهایی، ملموس و قابل اندازه‌گیری تعامل پیچیده و درهم‌تنیده میان ویژگی‌های شخصیتی (مانند اضطراب صفتی) و الگوهای شناختی عمیق (مانند طرحواره‌های ناسازگار)، خود را در قالب مجموعه‌ای از اقدامات، تصمیمات و استراتژی‌های ناکارآمد و آسیب‌زا نمایان می‌سازد که تحت عنوان کلی «رفتارهای مالی پرخطر» طبقه‌بندی می‌شوند. این مفهوم چندوجهی، به طیف وسیعی از رفتارها و الگوهای تصمیم‌گیری در بازارهای مالی اطلاق می‌شود که ویژگی مشترک و بارز آن‌ها، پذیرش سطوحی از ریسک است که هیچ تناسب منطقی و عقلانی با بازده مورد انتظار و احتمالی ندارد؛ بلکه غالباً ریشه در غلبه هیجانات کنترل‌نشده، سوگیری‌های شناختی سیستماتیک و نقص در پردازش اطلاعات دارد تا یک تحلیل بنیادی و واقع‌بینانه (بیکر و نوفسینگر، ۲۰۱۰).</w:t>
      </w:r>
    </w:p>
    <w:p>
      <w:pPr>
        <w:bidi w:val="1"/>
        <w:spacing w:lineRule="exact" w:line="580" w:after="0"/>
        <w:jc w:val="both"/>
      </w:pPr>
      <w:r>
        <w:rPr>
          <w:rFonts w:ascii="B Nazanin" w:hAnsi="B Nazanin" w:cs="B Nazanin" w:hint="cs"/>
          <w:sz w:val="24"/>
          <w:szCs w:val="24"/>
          <w:rtl/>
          <w:lang w:bidi="fa-IR"/>
        </w:rPr>
        <w:t xml:space="preserve">یکی از برجسته‌ترین و شایع‌ترین ابعاد این سازه رفتاری، پدیده «معامله‌گری بیش از حد» یا افراطی است که به انجام تعداد دفعات خرید و فروش بسیار فراتر از حد بهینه و ضروری اطلاق می‌شود. مطالعات کلاسیک و جریان‌ساز نشان داده‌اند که این رفتار، که اغلب ناشی از یک توهم کنترل و سوگیری شناختی قدرتمند به نام «بیش‌اطمینانی کاذب» نسبت به توانایی‌های پیش‌بینی بازار است، نه تنها منجر به افزایش بازده نمی‌شود، بلکه به دلیل تحمیل هزینه‌های معاملاتی گزاف (کارمزدها و اسپردها) و تصمیمات عجولانه، به طور سیستماتیک بازدهی خالص سرمایه‌گذار را کاهش می‌دهد (باربر و اودین، ۲۰۰۰)،</w:t>
      </w:r>
    </w:p>
    <w:p>
      <w:pPr>
        <w:bidi w:val="1"/>
        <w:spacing w:lineRule="exact" w:line="580" w:after="0"/>
        <w:jc w:val="both"/>
      </w:pPr>
      <w:r>
        <w:rPr>
          <w:rFonts w:ascii="B Nazanin" w:hAnsi="B Nazanin" w:cs="B Nazanin" w:hint="cs"/>
          <w:sz w:val="24"/>
          <w:szCs w:val="24"/>
          <w:rtl/>
          <w:lang w:bidi="fa-IR"/>
        </w:rPr>
        <w:t xml:space="preserve">دومین مؤلفه کلیدی و آسیب‌زای رفتارهای پرخطر، «اثر گرایش» است؛ تمایلی غیرمنطقی، هیجانی و بسیار رایج در میان معامله‌گران خرد برای فروش زودهنگام و شتاب‌زده سهام و دارایی‌های سودده (به منظور کسب لذت فوری از تثبیت سود و اجتناب از پشیمانی احتمالی) و در مقابل، نگهداری طولانی‌مدت و لجبازانه سهام و پوزیشن‌های زیان‌ده (به امید واهی بازگشت قیمت و اجتناب از درد پذیرش شکست). این رفتار نامتقارن که ریشه در مفاهیم نظریه چشم‌انداز و اصل زیان‌گریزی دارد، منجر به کوتاه شدن سودها و انباشته شدن زیان‌های سنگین در پورتفوی سرمایه‌گذار می‌شود  (شفرین و استاتمن، ۱۹۸۵)،</w:t>
      </w:r>
    </w:p>
    <w:p>
      <w:pPr>
        <w:bidi w:val="1"/>
        <w:spacing w:lineRule="exact" w:line="580" w:after="0"/>
        <w:jc w:val="both"/>
      </w:pPr>
      <w:r>
        <w:rPr>
          <w:rFonts w:ascii="B Nazanin" w:hAnsi="B Nazanin" w:cs="B Nazanin" w:hint="cs"/>
          <w:sz w:val="24"/>
          <w:szCs w:val="24"/>
          <w:rtl/>
          <w:lang w:bidi="fa-IR"/>
        </w:rPr>
        <w:t xml:space="preserve">سومین بعد مهم، »رفتار گله‌ای« است که به تقلید کورکورانه، هیجانی و بدون تحلیل از اقدامات، جهت‌گیری‌ها و احساسات توده بزرگی از فعالان بازار اشاره دارد. این رفتار به‌ویژه در شرایط بحرانی، نوسانات شدید قیمت و زمانی که بازار تحت استرس و ابهام اطلاعاتی قرار دارد، تشدید می‌شود؛ چرا که افراد برای کاهش اضطراب ناشی از عدم قطعیت و سلب مسئولیت تصمیم‌گیری از خود، به خرد جمعی کاذب پناه می‌برند که اغلب نتیجه‌ای جز خرید در سقف قیمت‌ها و فروش در کف آن‌ها ندارد  (هوانگ و سالمون، ۲۰۰۴)،</w:t>
      </w:r>
    </w:p>
    <w:p>
      <w:pPr>
        <w:bidi w:val="1"/>
        <w:spacing w:lineRule="exact" w:line="580" w:after="0"/>
        <w:jc w:val="both"/>
      </w:pPr>
      <w:r>
        <w:rPr>
          <w:rFonts w:ascii="B Nazanin" w:hAnsi="B Nazanin" w:cs="B Nazanin" w:hint="cs"/>
          <w:sz w:val="24"/>
          <w:szCs w:val="24"/>
          <w:rtl/>
          <w:lang w:bidi="fa-IR"/>
        </w:rPr>
        <w:t xml:space="preserve">و در نهایت، چهارمین مؤلفه تأثیرگذار، «تمرکز ناکافی و نامتوازن سبد دارایی» است که به نادیده گرفتن اصل بنیادین و حیاتی «تنوع‌بخشی» در مدیریت سرمایه اشاره دارد. این رفتار پرخطر، غالباً ناشی از سوگیری‌های شناختی نظیر «تمایل به آشنایی» یا اعتماد بیش از حد به تک‌سهم‌ها و دارایی‌های خاص است که سرمایه‌گذار را در معرض ریسک‌های غیرسیستماتیک و قابل اجتناب قرار می‌دهد و در صورت بروز مشکل در آن دارایی خاص، می‌تواند منجر به نابودی بخش بزرگی از سرمایه گردد  (گوتزمن و کومار، ۲۰۰۸).</w:t>
      </w:r>
    </w:p>
    <w:p>
      <w:pPr>
        <w:bidi w:val="1"/>
        <w:spacing w:lineRule="exact" w:line="580" w:after="0"/>
        <w:jc w:val="both"/>
      </w:pPr>
      <w:r>
        <w:rPr>
          <w:rFonts w:ascii="B Nazanin" w:hAnsi="B Nazanin" w:cs="B Nazanin" w:hint="cs"/>
          <w:sz w:val="24"/>
          <w:szCs w:val="24"/>
          <w:rtl/>
          <w:lang w:bidi="fa-IR"/>
        </w:rPr>
        <w:t xml:space="preserve">در بخش بزرگی از تاریخ قرن بیستم، ادبیات آکادمیک و رویه‌های عملی تحلیل بازارهای مالی، به شدت تحت سیطره و هژمونی پارادایم «مالیه کلاسیک» و به طور خاص، نظریه بنیادین و قدرتمند «فرضیه بازار کارا» قرار داشت. این فرضیه که به عنوان سنگ بنای بسیاری از مدل‌های ارزش‌گذاری دارایی و مدیریت پورتفوی مدرن شناخته می‌شود، در دهه ۱۹۷۰ توسط اقتصاددان برجسته،  یوجین فاما صورت‌بندی و توسعه یافت. فاما این فرضیه را در سه سطح متمایز و پیش‌رونده شامل شکل ضعیف، شکل نیمه‌قوی و شکل قوی طبقه‌بندی کرد که هر یک سطح متفاوتی از اطلاعات موجود (از داده‌های تاریخی قیمت تا اطلاعات نهانی شرکت‌ها) را پوشش می‌دهند. دیدگاه محوری در تمامی این سطوح، این است که بازارهای مالی، نهادهایی با کارایی حداکثری و ماشین‌های پردازش اطلاعات بسیار سریع، دقیق و بی‌طرفی هستند.</w:t>
      </w:r>
    </w:p>
    <w:p>
      <w:pPr>
        <w:bidi w:val="1"/>
        <w:spacing w:lineRule="exact" w:line="580" w:after="0"/>
        <w:jc w:val="both"/>
      </w:pPr>
      <w:r>
        <w:rPr>
          <w:rFonts w:ascii="B Nazanin" w:hAnsi="B Nazanin" w:cs="B Nazanin" w:hint="cs"/>
          <w:sz w:val="24"/>
          <w:szCs w:val="24"/>
          <w:rtl/>
          <w:lang w:bidi="fa-IR"/>
        </w:rPr>
        <w:t xml:space="preserve">طبق این نظریه جامع، در یک بازار کارا، قیمت جاری هر دارایی در هر لحظه، بازتاب‌دهنده کامل و بی‌درنگ تمام اطلاعات موجود و در دسترس عموم است و بنابراین، قیمت‌ها همواره در "ارزش ذاتی" خود قرار دارند. این فرضیه بر سه ستون یا پیش‌فرض بنیادین و سخت‌گیرانه بنا شده بود که رفتار بازار و سرمایه‌گذاران را تعریف می‌کرد: نخست، سرمایه‌گذاران عاملانی کاملاً عقلانی، منطقی و عاری از هیجان یا به اصطلاح «انسان اقتصادی» فرض می‌شدند که همواره و در هر تصمیمی، به دنبال بیشینه‌سازی سود و بهینه‌سازی مطلوبیت خود بر اساس اصول ریاضی نظریه مطلوبیت انتظاری هستند. دوم، فرض بر این بود که تمام اطلاعات جدید (چه اخبار سیاسی، چه گزارش‌های مالی شرکت‌ها) به سرعت، به طور کامل و بدون هیچ‌گونه سوگیری یا تأخیر شناختی، توسط همه فعالان بازار دریافت و در قیمت دارایی‌ها منعکس می‌شود. و سوم، به عنوان نتیجه منطقی دو فرض پیشین، ادعا می‌شد که هیچ سرمایه‌گذاری نمی‌تواند با تکیه بر تحلیل روند قیمت‌های گذشته (تحلیل تکنیکال) یا بررسی صورت‌های مالی و اخبار عمومی (تحلیل بنیادی)، به طور مداوم و پایدار، بازدهی فراتر از میانگین بازار (بازده غیرعادی) کسب کند؛ چرا که تمام این اطلاعات قبلاً در قیمت لحاظ شده‌اند (ملکیل، ۲۰۰۳).</w:t>
      </w:r>
    </w:p>
    <w:p>
      <w:pPr>
        <w:bidi w:val="1"/>
        <w:spacing w:lineRule="exact" w:line="580" w:after="0"/>
        <w:jc w:val="both"/>
      </w:pPr>
      <w:r>
        <w:rPr>
          <w:rFonts w:ascii="B Nazanin" w:hAnsi="B Nazanin" w:cs="B Nazanin" w:hint="cs"/>
          <w:sz w:val="24"/>
          <w:szCs w:val="24"/>
          <w:rtl/>
          <w:lang w:bidi="fa-IR"/>
        </w:rPr>
        <w:t xml:space="preserve">این چارچوب نظری منسجم و قدرتمند، که بعدها به سنگ بنای مدل‌های ارزش‌گذاری دارایی‌های سرمایه‌ای  و مدیریت ریسک مدرن تبدیل شد، اگرچه از نظر ساختار ریاضی و انتزاعی دارای ظرافت و زیبایی تحسین‌برانگیزی بود و در محیط‌های آزمایشگاهی و مدل‌سازی‌های آکادمیک کارایی بالایی نشان می‌داد، اما در مواجهه با واقعیت‌های پیچیده، آشفته و غیرخطی بازارهای مالی، کاستی‌های بنیادین خود را آشکار ساخت. این مدل‌های کلاسیک که بر فرض عقلانیت کامل و کارایی اطلاعاتی استوار بودند، در تبیین و پیش‌بینی پدیده‌های پرتکرار و تأثیرگذاری که به طور سیستماتیک در بازارها رخ می‌دهند، ناتوان ماندند.</w:t>
      </w:r>
    </w:p>
    <w:p>
      <w:pPr>
        <w:bidi w:val="1"/>
        <w:spacing w:lineRule="exact" w:line="580" w:after="0"/>
        <w:jc w:val="both"/>
      </w:pPr>
      <w:r>
        <w:rPr>
          <w:rFonts w:ascii="B Nazanin" w:hAnsi="B Nazanin" w:cs="B Nazanin" w:hint="cs"/>
          <w:sz w:val="24"/>
          <w:szCs w:val="24"/>
          <w:rtl/>
          <w:lang w:bidi="fa-IR"/>
        </w:rPr>
        <w:t xml:space="preserve">به طور مشخص، این نظریه‌ها در توضیح دوره‌هایی که قیمت دارایی‌ها به شکلی نامتعارف و غیرمنطقی از ارزش ذاتی و بنیادی خود فاصله می‌گیرند، با شکست مواجه شدند. مصادیق بارز این ناتوانی را می‌توان در شکل‌گیری «حباب‌های قیمتی» مشاهده کرد؛ دوره‌هایی از خوش‌بینی افراطی که در آن قیمت‌ها بر اساس شور و هیجان جمعی (و نه واقعیات اقتصادی) به سطوحی ناپایدار صعود می‌کنند، نظیر آنچه در حباب فناوری سال ۲۰۰۰ (حباب دات-کام) رخ داد. همچنین، در سوی مقابل طیف، این مدل‌ها در تبیین «سقوط‌های ناگهانی» و بی‌دلیل بازار، مانند دوشنبه سیاه اکتبر ۱۹۸۷ که شاخص داوجونز در یک روز بیش از ۲۰ درصد ارزش خود را از دست داد، هیچ پاسخ قانع‌کننده‌ای نداشتند؛ چرا که در آن روز هیچ خبر بنیادی منفی که توجیه‌کننده چنین ریزش وحشتناکی باشد، منتشر نشده بود و تنها عامل محرک، هراس جمعی و فروش‌های کورکورانه معامله‌گران بود (شیلر، ۲۰۱۵).</w:t>
      </w:r>
    </w:p>
    <w:p>
      <w:pPr>
        <w:bidi w:val="1"/>
        <w:spacing w:lineRule="exact" w:line="580" w:after="0"/>
        <w:jc w:val="both"/>
      </w:pPr>
      <w:r>
        <w:rPr>
          <w:rFonts w:ascii="B Nazanin" w:hAnsi="B Nazanin" w:cs="B Nazanin" w:hint="cs"/>
          <w:sz w:val="24"/>
          <w:szCs w:val="24"/>
          <w:rtl/>
          <w:lang w:bidi="fa-IR"/>
        </w:rPr>
        <w:t xml:space="preserve">این ناهنجاری‌ها و انحرافات پایدار از مدل‌های کلاسیک، زمینه را برای ظهور یک انقلاب فکری و تغییر پارادایم در علم مالی فراهم کرد؛ انقلابی که به تولد حوزه میان‌رشته‌ای قدرتمندی به نام اقتصاد رفتاری انجامید. این حوزه نوین که در تقاطع روانشناسی و اقتصاد قرار دارد، توسط پیشگامان برجسته و برندگان جایزه نوبل نظیر دنیل کانمن، آموس تورسکی و ریچارد تیلر پایه‌گذاری و توسعه یافت. هدف اصلی این رویکرد، بازنگری در پیش‌فرض‌های بنیادین علم اقتصاد بود. با ادغام بینش‌های عمیق روانشناسی شناختی در تحلیل‌های اقتصادی نشان داده شد که تصمیمات انسان در محیط‌های واقعی، نه تنها تصادفی نیستند، بلکه به طور سیستماتیک، قابل پیش‌بینی و تکرارپذیر، از منطق و عقلانیت محض منحرف می‌شوند و تحت تأثیر محدودیت‌های پردازشی ذهن قرار دارند (تیلر، ۲۰۱۶). سنگ بنای نظری و قلب تپنده این حوزه جدید، نظریه چشم‌انداز بود که در مقاله‌ای جریان‌ساز توسط کانمن و تورسکی (۱۹۷۹)  ارائه شد و دیدگاه علمی نسبت به ریسک را دگرگون کرد. این نظریه با رد مفهوم کلاسیک "مطلوبیت انتظاری"، مدلی جایگزین و توصیفی ارائه داد که نشان می‌داد افراد در تصمیم‌گیری‌های خود، به جای تمرکز بر سطح نهایی ثروت، تغییرات (سود و زیان) را نسبت به یک وضعیت موجود یا "نقطه مرجع" ذهنی ارزیابی می‌کنند. مهم‌تر و بنیادی‌تر آنکه، این نظریه مفهوم کلیدی زیان‌گریزی را معرفی کرد؛ اصلی روانشناختی که بیان می‌کند درد و رنج ناشی از تحمل یک واحد زیان مالی، از نظر شدت هیجانی، بسیار شدیدتر (تقریباً دو تا دو و نیم برابر) از لذت ناشی از کسب یک واحد سود معادل آن است. این عدم تقارن عمیق در ارزش‌گذاری روانی، بسیاری از رفتارهای به ظاهر غیرمنطقی و ناسازگار سرمایه‌گذاران، نظیر فروش زودهنگام سهام سودده و نگهداری طولانی‌مدت سهام زیان‌ده، را به روشنی تبیین می‌کند (کانمن، ۲۰۱۱).</w:t>
      </w:r>
    </w:p>
    <w:p>
      <w:pPr>
        <w:bidi w:val="1"/>
        <w:spacing w:lineRule="exact" w:line="580" w:after="0"/>
        <w:jc w:val="both"/>
      </w:pPr>
      <w:r>
        <w:rPr>
          <w:rFonts w:ascii="B Nazanin" w:hAnsi="B Nazanin" w:cs="B Nazanin" w:hint="cs"/>
          <w:sz w:val="24"/>
          <w:szCs w:val="24"/>
          <w:rtl/>
          <w:lang w:bidi="fa-IR"/>
        </w:rPr>
        <w:t xml:space="preserve">اهمیت و ضرورت به‌کارگیری دیدگاه‌های روانشناختی و اقتصاد رفتاری در تحلیل‌های بازار سرمایه، امروزه دیگر تنها یک دغدغه آکادمیک نیست، بلکه با وقوع یک تحول اجتماعی-تکنولوژیک عظیم و بی‌سابقه، یعنی پدیده »دموکراتیزه شدن سرمایه‌گذاری«، به یک ضرورت عملیاتی و حیاتی تبدیل شده است که ابعاد آن صد چندان شده است. ظهور و گسترش پرشتاب فناوری‌های نوین مالی ، توسعه پلتفرم‌های معاملاتی آنلاین با کارمزد صفر یا ناچیز، و همه‌گیری اپلیکیشن‌های هوشمند و کاربرپسند موبایلی، موانع سنتی و سخت‌گیرانه ورود به بازارهای سرمایه (مانند نیاز به سرمایه کلان یا واسطه‌های حرفه‌ای) را به طور کامل از میان برداشته و دروازه‌های این عرصه را به روی عموم جامعه گشوده است.</w:t>
      </w:r>
    </w:p>
    <w:p>
      <w:pPr>
        <w:bidi w:val="1"/>
        <w:spacing w:lineRule="exact" w:line="580" w:after="0"/>
        <w:jc w:val="both"/>
      </w:pPr>
      <w:r>
        <w:rPr>
          <w:rFonts w:ascii="B Nazanin" w:hAnsi="B Nazanin" w:cs="B Nazanin" w:hint="cs"/>
          <w:sz w:val="24"/>
          <w:szCs w:val="24"/>
          <w:rtl/>
          <w:lang w:bidi="fa-IR"/>
        </w:rPr>
        <w:t xml:space="preserve">این انقلاب در دسترسی، میلیون‌ها »سرمایه‌گذار خرد جدید«، کم‌تجربه و غالباً فاقد دانش تخصصی را به بازارهایی کشانده که به دلیل پیچیدگی ذاتی، نوسانات شدید و عدم قطعیت دائمی، به محیطی پرخطر و بی‌رحم شهرت دارند. این گروه عظیم از تازه‌واردان، که اکنون بخش قابل توجهی از حجم معاملات را تشکیل می‌دهند، در غیاب ابزارهای حفاظتی نهادی، بیش از هر گروه دیگری در معرض خطرات ناشی از تصمیم‌گیری‌های هیجانی و سوگیری‌های رفتاری قرار دارند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گروه جدید، گسترده و متنوع از معامله‌گران خرد اکنون بخش لاینفکی از اکوسیستم مالی است؛ اما غالباً فاقد آموزش‌های مالی تخصصی و سواد تحلیلی کافی است و مهم‌تر از همه، آمادگی روانشناختی لازم برای مدیریت موقعیت‌های بحرانی را ندارد. این ضعف، آن‌ها را در خط مقدم مجموعه‌ای پیچیده از فشارهای روانی، هیجانی و شناختی قرار می‌دهد. یکی از قدرتمندترین و مخرب‌ترین این فشارها، پدیده‌ای روانشناختی و فراگیر است که با نام «ترس از دست دادن فرصت» شناخته می‌شود؛ حسی اضطراب‌آلود و مداوم که فرد را متقاعد می‌کند دیگران در حال کسب سودهای کلان هستند و او از قافله عقب مانده است. این احساس که به شدت توسط رسانه‌های اجتماعی، چهره‌های تأثیرگذار مالی و گروه‌های آنلاین معاملاتی تقویت و تشدید می‌شود، می‌تواند افراد را به سمت اتخاذ تصمیمات هیجانی، ورود دیرهنگام به موقعیت‌های پرریسک و سرمایه‌گذاری‌های بدون پشتوانه سوق دهد (اور و شوماخر، ۲۰۲۳).</w:t>
      </w:r>
    </w:p>
    <w:p>
      <w:pPr>
        <w:bidi w:val="1"/>
        <w:spacing w:lineRule="exact" w:line="580" w:after="0"/>
        <w:jc w:val="both"/>
      </w:pPr>
      <w:r>
        <w:rPr>
          <w:rFonts w:ascii="B Nazanin" w:hAnsi="B Nazanin" w:cs="B Nazanin" w:hint="cs"/>
          <w:sz w:val="24"/>
          <w:szCs w:val="24"/>
          <w:rtl/>
          <w:lang w:bidi="fa-IR"/>
        </w:rPr>
        <w:t xml:space="preserve">این پدیده، ارتباط نزدیکی با یکی دیگر از رفتارهای نظام‌مند و تکرارپذیر در بازارهای مالی، یعنی «رفتار گله‌ای» دارد؛ الگویی که در آن، افراد به جای اتکا به تحلیل شخصی، منطق اقتصادی و اطلاعات بنیادی، ترجیح می‌دهند با تقلید کورکورانه از اقدامات توده بزرگی از دیگر معامله‌گران، مسئولیت تصمیم‌گیری را از دوش خود برداشته و امنیت روانی کاذبی در همراهی با جمع بیابند. این پیروی جمعی، نه تنها منجر به خطاهای فردی می‌شود، بلکه با ایجاد بازخوردهای مثبت کاذب در سطح کلان، زمینه‌ساز شکل‌گیری حباب‌های قیمتی خطرناک و نوسانات غیرعادی در بازار می‌گردد (هوانگ و سالمون، ۲۰۰۴).</w:t>
      </w:r>
    </w:p>
    <w:p>
      <w:pPr>
        <w:pStyle w:val="Heading4"/>
        <w:bidi w:val="1"/>
        <w:jc w:val="right"/>
      </w:pPr>
      <w:r>
        <w:rPr>
          <w:rFonts w:ascii="B Nazanin" w:hAnsi="B Nazanin" w:cs="B Nazanin" w:hint="cs"/>
          <w:b/>
          <w:bCs/>
          <w:sz w:val="24"/>
          <w:szCs w:val="24"/>
          <w:rtl/>
          <w:lang w:bidi="fa-IR"/>
        </w:rPr>
        <w:t xml:space="preserve">۲-۲-۳-۱ تحمل ریسک مالی</w:t>
      </w:r>
    </w:p>
    <w:p>
      <w:pPr>
        <w:bidi w:val="1"/>
        <w:spacing w:lineRule="exact" w:line="580" w:after="0"/>
        <w:jc w:val="both"/>
      </w:pPr>
      <w:r>
        <w:rPr>
          <w:rFonts w:ascii="B Nazanin" w:hAnsi="B Nazanin" w:cs="B Nazanin" w:hint="cs"/>
          <w:sz w:val="24"/>
          <w:szCs w:val="24"/>
          <w:rtl/>
          <w:lang w:bidi="fa-IR"/>
        </w:rPr>
        <w:t xml:space="preserve">علاوه بر سازه‌های شناختی و ابعاد رفتاری مرورشده، یکی دیگر از متغیرهای کلیدی در تبیین تصمیم‌های مالی پرخطر، سازه تحمل ریسک مالی  است. این سازه به بیشینه مقدار عدم قطعیتی اشاره دارد که یک سرمایه‌گذار در اتخاذ تصمیم‌های مالی مایل به پذیرش آن است و سطح آمادگی روانشناختی فرد برای مواجهه با پیامدهای نامطلوب احتمالی را منعکس می‌کند. در ادبیات روانشناسی مالی، تفکیک میان ظرفیت عینی ریسک</w:t>
      </w:r>
      <w:r>
        <w:rPr>
          <w:rFonts w:ascii="B Nazanin" w:hAnsi="B Nazanin" w:cs="B Nazanin" w:hint="cs"/>
          <w:vertAlign w:val="superscript"/>
          <w:rtl/>
        </w:rPr>
        <w:footnoteReference w:id="30"/>
      </w:r>
      <w:r>
        <w:rPr>
          <w:rFonts w:ascii="B Nazanin" w:hAnsi="B Nazanin" w:cs="B Nazanin" w:hint="cs"/>
          <w:sz w:val="24"/>
          <w:szCs w:val="24"/>
          <w:rtl/>
          <w:lang w:bidi="fa-IR"/>
        </w:rPr>
        <w:t xml:space="preserve"> و تحمل ذهنی ریسک</w:t>
      </w:r>
      <w:r>
        <w:rPr>
          <w:rFonts w:ascii="B Nazanin" w:hAnsi="B Nazanin" w:cs="B Nazanin" w:hint="cs"/>
          <w:vertAlign w:val="superscript"/>
          <w:rtl/>
        </w:rPr>
        <w:footnoteReference w:id="31"/>
      </w:r>
      <w:r>
        <w:rPr>
          <w:rFonts w:ascii="B Nazanin" w:hAnsi="B Nazanin" w:cs="B Nazanin" w:hint="cs"/>
          <w:sz w:val="24"/>
          <w:szCs w:val="24"/>
          <w:rtl/>
          <w:lang w:bidi="fa-IR"/>
        </w:rPr>
        <w:t xml:space="preserve"> اهمیت بنیادین دارد: ظرفیت ریسک به منابع و شرایط اقتصادی فرد بستگی دارد و تعیین می‌کند که چه میزان زیان را می‌تواند بدون آسیب جدی به زندگی خود تاب بیاورد، در حالی که تحمل ریسک یک ویژگی روانشناختی و ادراکی است و نشان می‌دهد فرد چه مقدار ریسک را آگاهانه می‌پذیرد. ناهماهنگی میان این دو سطح، به‌ویژه زمانی که تحمل ذهنی از ظرفیت عینی فراتر می‌رود، یکی از زمینه‌های اصلی تصمیم‌های مالی آسیب‌زا محسوب می‌شود (گرابل و لایتون، ۱۹۹۹).</w:t>
      </w:r>
    </w:p>
    <w:p>
      <w:pPr>
        <w:bidi w:val="1"/>
        <w:spacing w:lineRule="exact" w:line="580" w:after="0"/>
        <w:jc w:val="both"/>
      </w:pPr>
      <w:r>
        <w:rPr>
          <w:rFonts w:ascii="B Nazanin" w:hAnsi="B Nazanin" w:cs="B Nazanin" w:hint="cs"/>
          <w:sz w:val="24"/>
          <w:szCs w:val="24"/>
          <w:rtl/>
          <w:lang w:bidi="fa-IR"/>
        </w:rPr>
        <w:t xml:space="preserve">برای سنجش این سازه، گرابل و لایتون ابزار استانداردی را توسعه دادند که سطح تحمل ریسک مالی افراد را در قالب یک مقیاس روان‌سنجی ارزیابی می‌کند و در مطالعات متعدد، توانایی آن در پیش‌بینی رفتار واقعی مالی نشان داده شده است (گرابل و لایتون، ۱۹۹۹). مرورهای بعدی نیز ویژگی‌های روان‌سنجی این مقیاس و جایگاه آن را در میان ابزارهای سنجش ریسک به‌طور نظام‌مند بررسی و کاربرد بالینی و مشاوره‌ای آن را تأیید کرده‌اند (گرابل، ۲۰۱۷). در بافت داخلی نیز این ابزار در جامعه سرمایه‌گذاران هنجاریابی و اعتباریابی شده است و شواهد روایی و پایایی مناسبی برای کاربرد آن در پژوهش‌های بومی گزارش شده است (طالبی و همکاران، ۱۳۹۸). در دست بودن نسخه هنجاریابی‌شده فارسی، امکان مقایسه نمرات معامله‌گران ایرانی را با جمعیت مرجع فراهم می‌آورد و سنجش این متغیر در پژوهش حاضر را توجیه می‌کند.</w:t>
      </w:r>
    </w:p>
    <w:p>
      <w:pPr>
        <w:bidi w:val="1"/>
        <w:spacing w:lineRule="exact" w:line="580" w:after="0"/>
        <w:jc w:val="both"/>
      </w:pPr>
      <w:r>
        <w:rPr>
          <w:rFonts w:ascii="B Nazanin" w:hAnsi="B Nazanin" w:cs="B Nazanin" w:hint="cs"/>
          <w:sz w:val="24"/>
          <w:szCs w:val="24"/>
          <w:rtl/>
          <w:lang w:bidi="fa-IR"/>
        </w:rPr>
        <w:t xml:space="preserve">اهمیت این سازه برای پژوهش حاضر در پیوند آن با رفتارهای مالی پرخطر نهفته است. شواهد موجود نشان می‌دهند نمرات نامتعارف در تحمل ریسک، به‌ویژه سطوح بسیار بالای آن، با الگوهای معاملاتی آسیب‌زا همراه است؛ از جمله تمایل به استفاده از اهرم‌های نامتعارف که زیان‌های بالقوه را به‌شکل غیرمتقارنی بزرگ می‌کند، حجم معاملات فراتر از سطح بهینه، و بی‌توجهی به سازوکارهای محدودکننده زیان که برای محافظت از سرمایه طراحی شده‌اند. چنین الگوهایی نه لزوماً از ندانستن قواعد مدیریت ریسک، بلکه از برآورد خوش‌بینانه توان خود در تحمل پیامدهای نامطلوب سرچشمه می‌گیرند و در شرایط فشار بازار تشدید می‌شوند. از این رو، تحمل ریسک مالی می‌تواند به‌عنوان شاخصی روان‌سنجانه از آمادگی فرد برای رفتار پرخطر، حلقه اتصال میان ویژگی‌های شناختی-هیجانی و پیامدهای عینی معاملاتی عمل کند و سنجش آن در کنار اضطراب صفتی و طرحواره‌های ناسازگار اولیه، تصویر کامل‌تری از عوامل روانشناختی رفتارهای مالی پرخطر به دست می‌دهد (گرابل، ۲۰۱۷).</w:t>
      </w:r>
    </w:p>
    <w:p>
      <w:pPr>
        <w:pStyle w:val="Heading3"/>
        <w:bidi w:val="1"/>
        <w:jc w:val="right"/>
      </w:pPr>
      <w:r>
        <w:rPr>
          <w:rFonts w:ascii="B Nazanin" w:hAnsi="B Nazanin" w:cs="B Nazanin" w:hint="cs"/>
          <w:b/>
          <w:bCs/>
          <w:sz w:val="26"/>
          <w:szCs w:val="26"/>
          <w:rtl/>
          <w:lang w:bidi="fa-IR"/>
        </w:rPr>
        <w:t xml:space="preserve">۲-۲-۴ روابط بین متغیرها و مدل نظری میانجی‌گری</w:t>
      </w:r>
    </w:p>
    <w:p>
      <w:pPr>
        <w:bidi w:val="1"/>
        <w:spacing w:lineRule="exact" w:line="580" w:after="0"/>
        <w:jc w:val="both"/>
      </w:pPr>
      <w:r>
        <w:rPr>
          <w:rFonts w:ascii="B Nazanin" w:hAnsi="B Nazanin" w:cs="B Nazanin" w:hint="cs"/>
          <w:sz w:val="24"/>
          <w:szCs w:val="24"/>
          <w:rtl/>
          <w:lang w:bidi="fa-IR"/>
        </w:rPr>
        <w:t xml:space="preserve">با وجود انبوه شواهد تجربی و مبانی نظری مستحکم که به صورت جداگانه بر نقش تعیین‌کننده اضطراب صفتی در عملکرد شناختی و تأثیر طرحواره‌های ناسازگار اولیه بر رفتارهای تکانشی تأکید دارند، همچنان یک شکاف تبیینی آشکار و قابل تأمل در ادبیات علمی روانشناسی مالی و اقتصاد رفتاری به چشم می‌خورد. مروری دقیق بر پیشینه پژوهشی موجود نشان می‌دهد که جریان غالب مطالعات، عمدتاً بر روی بررسی روابط دوجانبه، خطی و ساده میان متغیرها متمرکز بوده است؛ به این معنا که پژوهشگران یا صرفاً رابطه میان ویژگی‌های شخصیتی (مانند روان‌رنجورخویی) و عملکرد مالی را سنجیده‌اند، و یا به طور مستقل همبستگی میان سوگیری‌های شناختی و رفتار سرمایه‌گذار را مورد آزمون قرار داده‌اند.</w:t>
      </w:r>
    </w:p>
    <w:p>
      <w:pPr>
        <w:bidi w:val="1"/>
        <w:spacing w:lineRule="exact" w:line="580" w:after="0"/>
        <w:jc w:val="both"/>
      </w:pPr>
      <w:r>
        <w:rPr>
          <w:rFonts w:ascii="B Nazanin" w:hAnsi="B Nazanin" w:cs="B Nazanin" w:hint="cs"/>
          <w:sz w:val="24"/>
          <w:szCs w:val="24"/>
          <w:rtl/>
          <w:lang w:bidi="fa-IR"/>
        </w:rPr>
        <w:t xml:space="preserve">اما آنچه در این میان مغفول مانده و حلقه مفقوده درک رفتار پیچیده معامله‌گران محسوب می‌شود، تبیین دقیق «سازوکار فرآیندی» و چگونگی تعامل پویا میان این متغیرهاست. هنوز به درستی مشخص نشده است که چگونه و از طریق چه مسیری، یک ویژگی شخصیتی پایدار و زمینه-محور مانند اضطراب صفتی، در بافت پرنوسان بازار مالی، فعال شده و از مجرای کدام فیلترهای شناختی و طرحواره‌های ذهنی عبور می‌کند تا در نهایت به شکل رفتارهای مالی مشخص، عینی و قابل اندازه‌گیری (مانند معامله‌گری افراطی یا گریز از ریسک) متبلور شود. این خلأ پژوهشی، به‌ویژه در جامعه خاص معامله‌گران بازارهای مالی که تحت فشار روانی مضاعفی قرار دارند، برجسته‌تر است.</w:t>
      </w:r>
    </w:p>
    <w:p>
      <w:pPr>
        <w:bidi w:val="1"/>
        <w:spacing w:lineRule="exact" w:line="580" w:after="0"/>
        <w:jc w:val="both"/>
      </w:pPr>
      <w:r>
        <w:rPr>
          <w:rFonts w:ascii="B Nazanin" w:hAnsi="B Nazanin" w:cs="B Nazanin" w:hint="cs"/>
          <w:sz w:val="24"/>
          <w:szCs w:val="24"/>
          <w:rtl/>
          <w:lang w:bidi="fa-IR"/>
        </w:rPr>
        <w:t xml:space="preserve">این پژوهش، با هدف پر کردن همین شکاف دانشی و ارائه تصویری جامع‌تر از روانشناسی معامله‌گری، یک مدل میانجی‌گری ساختارمند و نوین را پیشنهاد می‌کند که بر پایه چارچوب نظری معتبر «مدل آسیب‌پذیری-استرس» بنا شده است (زاکرمن، ۱۹۹۹).</w:t>
      </w:r>
    </w:p>
    <w:p>
      <w:pPr>
        <w:bidi w:val="1"/>
        <w:spacing w:lineRule="exact" w:line="580" w:after="0"/>
        <w:jc w:val="both"/>
      </w:pPr>
      <w:r>
        <w:rPr>
          <w:rFonts w:ascii="B Nazanin" w:hAnsi="B Nazanin" w:cs="B Nazanin" w:hint="cs"/>
          <w:sz w:val="24"/>
          <w:szCs w:val="24"/>
          <w:rtl/>
          <w:lang w:bidi="fa-IR"/>
        </w:rPr>
        <w:t xml:space="preserve">فرضیه محوری و بنیادین این مدل مفهومی فراتر از یک همبستگی ساده میان متغیرهاست؛ پیشنهاد آن این است که اضطراب صفتی به عنوان یک ویژگی شخصیتی پایدار و «استعداد» آسیب‌پذیری در فرد، لزوماً و به صورت مستقیم به رفتارهای مالی پرخطر منجر نمی‌شود؛ بلکه این ویژگی از طریق یک مسیر پیچیده شناختی-هیجانی عمل می‌کند. در این چارچوب تبیینی، استدلال می‌شود که نوسانات بازار و فشارهای محیطی (به عنوان عامل استرس‌زا)، ابتدا استعداد اضطرابی نهفته در شخصیت معامله‌گر را فعال کرده و سطح برانگیختگی هیجانی او را بالا می‌برند. این اضطراب تشدید شده، به نوبه خود، به عنوان یک ماشه یا کاتالیزور عمل می‌کند تا طرحواره‌های ناسازگار اولیه فرد را (مانند طرحواره نقص/شرم یا شکست) که تا پیش از این در حالت خفته قرار داشتند، بیدار و فعال سازد.</w:t>
      </w:r>
    </w:p>
    <w:p>
      <w:pPr>
        <w:bidi w:val="1"/>
        <w:spacing w:lineRule="exact" w:line="580" w:after="0"/>
        <w:jc w:val="both"/>
      </w:pPr>
      <w:r>
        <w:rPr>
          <w:rFonts w:ascii="B Nazanin" w:hAnsi="B Nazanin" w:cs="B Nazanin" w:hint="cs"/>
          <w:sz w:val="24"/>
          <w:szCs w:val="24"/>
          <w:rtl/>
          <w:lang w:bidi="fa-IR"/>
        </w:rPr>
        <w:t xml:space="preserve">در این لحظه حساس و تعیین‌کننده است که این طرحواره‌های فعال‌شده، نقش کلیدی خود را به عنوان «فیلترهای شناختی تحریف‌گر» ایفا می‌کنند و ادراک، تفسیر و ارزیابی فرد از موقعیت بازار (مانند نوسان قیمت) را شکل می‌دهند. این الگوهای شناختی، واقعیت عینی بازار را از دریچه ترس‌ها و ناکامی‌های گذشته فیلتر کرده و فرد را متقاعد می‌کنند که برای کاهش تنش درونی، باید دست به اقدام بزند. در نهایت، این اقدام که محصول سبک‌های مقابله‌ای ناسازگار (مانند جبران افراطی یا اجتناب) است، در قالب یک رفتار مالی عینی، پرخطر و غیرتطبیقی در بازار نمود پیدا می‌کند. بنابراین، مسئله اصلی، اساسی و نوآورانه این تحقیق، فراتر از توصیف روابط ساده، تبیین دقیق و آزمون تجربی نقش میانجی‌گر طرحواره‌های ناسازگار اولیه در زنجیره علیتی میان اضطراب صفتی و رفتارهای مالی پرخطر است.</w:t>
      </w:r>
    </w:p>
    <w:p>
      <w:pPr>
        <w:pStyle w:val="Heading4"/>
        <w:bidi w:val="1"/>
        <w:jc w:val="right"/>
      </w:pPr>
      <w:r>
        <w:rPr>
          <w:rFonts w:ascii="B Nazanin" w:hAnsi="B Nazanin" w:cs="B Nazanin" w:hint="cs"/>
          <w:b/>
          <w:bCs/>
          <w:sz w:val="24"/>
          <w:szCs w:val="24"/>
          <w:rtl/>
          <w:lang w:bidi="fa-IR"/>
        </w:rPr>
        <w:t xml:space="preserve">۲-۲-۴-۱ سازوکار نظری مدل میانجی‌گری</w:t>
      </w:r>
    </w:p>
    <w:p>
      <w:pPr>
        <w:bidi w:val="1"/>
        <w:spacing w:lineRule="exact" w:line="580" w:after="0"/>
        <w:jc w:val="both"/>
      </w:pPr>
      <w:r>
        <w:rPr>
          <w:rFonts w:ascii="B Nazanin" w:hAnsi="B Nazanin" w:cs="B Nazanin" w:hint="cs"/>
          <w:sz w:val="24"/>
          <w:szCs w:val="24"/>
          <w:rtl/>
          <w:lang w:bidi="fa-IR"/>
        </w:rPr>
        <w:t xml:space="preserve">پیش از تبیین مسیرهای مدل، ضرورت منطقی وارد کردن متغیر میانجی باید روشن شود. رابطه مستقیم میان اضطراب صفتی و رفتارهای مالی پرخطر، حتی در صورت معنادار بودن، تمام واریانس رفتار را تبیین نمی‌کند؛ زیرا دو فرد با سطح مشابهی از اضطراب ممکن است رفتارهای مالی کاملاً متفاوتی نشان دهند. این ناهمسانی نشان می‌دهد که اضطراب به‌خودی‌خود عامل نزدیک رفتار نیست، بلکه اثر خود را از طریق ساختارهای شناختی عمیق‌تری اعمال می‌کند که تفاوت‌های فردی در تبدیل تنش هیجانی به رفتار را تعیین می‌کنند. از منظر مدل‌سازی علّی، متغیر میانجی متغیری است که مکانیسم انتقال اثر از متغیر پیش‌بین به متغیر ملاک را بازنمایی می‌کند و آزمون آن، تبیین صرف همبستگی را به تبیین فرایندی ارتقا می‌دهد (هایز</w:t>
      </w:r>
      <w:r>
        <w:rPr>
          <w:rFonts w:ascii="B Nazanin" w:hAnsi="B Nazanin" w:cs="B Nazanin" w:hint="cs"/>
          <w:vertAlign w:val="superscript"/>
          <w:rtl/>
        </w:rPr>
        <w:footnoteReference w:id="97"/>
      </w:r>
      <w:r>
        <w:rPr>
          <w:rFonts w:ascii="B Nazanin" w:hAnsi="B Nazanin" w:cs="B Nazanin" w:hint="cs"/>
          <w:sz w:val="24"/>
          <w:szCs w:val="24"/>
          <w:rtl/>
          <w:lang w:bidi="fa-IR"/>
        </w:rPr>
        <w:t xml:space="preserve">، ۲۰۱۸). بر این اساس، طرحواره‌های ناسازگار اولیه به‌عنوان نامزد اصلی میانجی مطرح می‌شوند؛ ساختارهایی که هم تحت تأثیر تجربه‌های هیجانی پایدار شکل می‌گیرند و هم مستقیماً رفتارهای خود-آسیب‌رسان را هدایت می‌کنند.</w:t>
      </w:r>
    </w:p>
    <w:p>
      <w:pPr>
        <w:bidi w:val="1"/>
        <w:spacing w:lineRule="exact" w:line="580" w:after="0"/>
        <w:jc w:val="both"/>
      </w:pPr>
      <w:r>
        <w:rPr>
          <w:rFonts w:ascii="B Nazanin" w:hAnsi="B Nazanin" w:cs="B Nazanin" w:hint="cs"/>
          <w:sz w:val="24"/>
          <w:szCs w:val="24"/>
          <w:rtl/>
          <w:lang w:bidi="fa-IR"/>
        </w:rPr>
        <w:t xml:space="preserve">مسیر نخست مدل، سازوکار اثرگذاری اضطراب صفتی بر فعال‌سازی طرحواره‌ها را تبیین می‌کند. اضطراب پایدار صفتی با دو فرایند موازی، زمینه فعال شدن طرحواره‌های ناسازگار خفته را فراهم می‌آورد: از یک سو، برانگیختگی مزمن فیزیولوژیک و درگیری مداوم ذهنی با تهدیدهای احتمالی، ظرفیت پردازش شناختی فرد را فرسوده می‌سازد و توان ارزیابی مجدد و بازدارندگی شناختی را کاهش می‌دهد؛ از سوی دیگر، مدل شناختی اضطراب نشان می‌دهد که نظام پردازش اطلاعات در افراد مضطرب به‌صورت خودکار و راهبردی بر نشانه‌های تهدید متمرکز می‌شود و همین سوگیری، دسترسی به حافظه‌ها و باورهای مرتبط با خطر را تسهیل می‌کند (بک و کلارک، ۱۹۹۷). در چارچوب نظریه طرحواره، موقعیت‌های تنش‌زا به‌ویژه هنگامی که با مضمون تجربه‌های شکل‌دهنده طرحواره همخوانی دارند، نقش محرک برانگیزاننده را ایفا می‌کنند و هسته هیجانی طرحواره را بیدار می‌سازند (یانگ و همکاران، ۲۰۰۳). در بافت معامله‌گری، نوسانات بازار و زیان‌های پی‌درپی دقیقاً چنین کارکردی دارند و طرحواره‌های حوزه‌های بریدگی و طرد و محدودیت‌های مختل را که با تجربه بی‌ثباتی و فقدان مرزبندی پیوند دارند، بیش از سایر حوزه‌ها فعال می‌کنند.</w:t>
      </w:r>
    </w:p>
    <w:p>
      <w:pPr>
        <w:bidi w:val="1"/>
        <w:spacing w:lineRule="exact" w:line="580" w:after="0"/>
        <w:jc w:val="both"/>
      </w:pPr>
      <w:r>
        <w:rPr>
          <w:rFonts w:ascii="B Nazanin" w:hAnsi="B Nazanin" w:cs="B Nazanin" w:hint="cs"/>
          <w:sz w:val="24"/>
          <w:szCs w:val="24"/>
          <w:rtl/>
          <w:lang w:bidi="fa-IR"/>
        </w:rPr>
        <w:t xml:space="preserve">مسیر دوم، چگونگی تبدیل طرحواره‌های فعال‌شده به رفتارهای مالی پرخطر را توضیح می‌دهد. طرحواره فعال‌شده از طریق سبک‌های مقابله‌ای به رفتار عینی بدل می‌شود و دو سبک در این مسیر اهمیت ویژه‌ای دارند. در قالب جبران افراطی، فردی که طرحواره‌های استحقاق یا خودبزرگ‌بینی دارد می‌کوشد برخلاف پیام زیربنایی طرحواره عمل کند و با پذیرش ریسک‌های بزرگ و معاملات جسورانه، برتری و کنترل خود را اثبات کند؛ رفتاری که ماهیتاً شبیه شرط‌بندی است و پیامدهای آن نادیده گرفته می‌شود. در قالب سبک‌های اجتنابی نیز معامله‌گری می‌تواند کارکرد فرار از تنش هیجانی پیدا کند و فرد برای گریز از حالات درونی ناخوشایند، به اقدام‌های تکانشگرانه روی بیاورد. شواهد مرورشده نشان می‌دهند طرحواره‌های ناسازگار اولیه با طیفی از رفتارهای تکانشی و اعتیادگونه، از جمله قماربازی و الگوهای معامله‌گری آسیب‌زا، مرتبط‌اند (شوری و همکاران، ۲۰۱۲؛ ویرا و همکاران، ۲۰۲۳) و در جمعیت‌های دارای رفتارهای قمارگونه، شدت این طرحواره‌ها با پیامدهای رفتاری همراه است (استِوِز و همکاران</w:t>
      </w:r>
      <w:r>
        <w:rPr>
          <w:rFonts w:ascii="B Nazanin" w:hAnsi="B Nazanin" w:cs="B Nazanin" w:hint="cs"/>
          <w:vertAlign w:val="superscript"/>
          <w:rtl/>
        </w:rPr>
        <w:footnoteReference w:id="98"/>
      </w:r>
      <w:r>
        <w:rPr>
          <w:rFonts w:ascii="B Nazanin" w:hAnsi="B Nazanin" w:cs="B Nazanin" w:hint="cs"/>
          <w:sz w:val="24"/>
          <w:szCs w:val="24"/>
          <w:rtl/>
          <w:lang w:bidi="fa-IR"/>
        </w:rPr>
        <w:t xml:space="preserve">، ۲۰۲۴). این شواهد، بافت رفتاری مسیر دوم را بدون تعمیم فراتر از داده‌ها مشخص می‌سازند.</w:t>
      </w:r>
    </w:p>
    <w:p>
      <w:pPr>
        <w:bidi w:val="1"/>
        <w:spacing w:lineRule="exact" w:line="580" w:after="0"/>
        <w:jc w:val="both"/>
      </w:pPr>
      <w:r>
        <w:rPr>
          <w:rFonts w:ascii="B Nazanin" w:hAnsi="B Nazanin" w:cs="B Nazanin" w:hint="cs"/>
          <w:sz w:val="24"/>
          <w:szCs w:val="24"/>
          <w:rtl/>
          <w:lang w:bidi="fa-IR"/>
        </w:rPr>
        <w:t xml:space="preserve">در سطح تحلیل آماری، این چارچوب نظری به مدل میانجی‌گری ساده‌ای ترجمه می‌شود که در آن اضطراب صفتی متغیر پیش‌بین، رفتارهای مالی پرخطر متغیر ملاک و طرحواره‌های ناسازگار اولیه متغیر میانجی است. منطق این مدل بر تجزیه اثر کل به دو مؤلفه استوار است: اثر مستقیم متغیر پیش‌بین بر ملاک و اثر غیرمستقیمی که از ضرب مسیر پیش‌بین به میانجی در مسیر میانجی به ملاک به دست می‌آید؛ معناداری این اثر غیرمستقیم، شاهد آماری بر مکانیسم میانجی‌گری تلقی می‌شود (هایز، ۲۰۱۸). این الگو را می‌توان در چارچوب مدل‌سازی معادلات ساختاری</w:t>
      </w:r>
      <w:r>
        <w:rPr>
          <w:rFonts w:ascii="B Nazanin" w:hAnsi="B Nazanin" w:cs="B Nazanin" w:hint="cs"/>
          <w:vertAlign w:val="superscript"/>
          <w:rtl/>
        </w:rPr>
        <w:footnoteReference w:id="32"/>
      </w:r>
      <w:r>
        <w:rPr>
          <w:rFonts w:ascii="B Nazanin" w:hAnsi="B Nazanin" w:cs="B Nazanin" w:hint="cs"/>
          <w:sz w:val="24"/>
          <w:szCs w:val="24"/>
          <w:rtl/>
          <w:lang w:bidi="fa-IR"/>
        </w:rPr>
        <w:t xml:space="preserve"> برآورد کرد که امکان سنجش هم‌زمان مسیرها و ارزیابی برازش کلی مدل را فراهم می‌آورد، و نیز در چارچوب رگرسیون‌محور با الگوی شماره ۴ ابزار پراسس</w:t>
      </w:r>
      <w:r>
        <w:rPr>
          <w:rFonts w:ascii="Times New Roman" w:hAnsi="Times New Roman" w:cs="Times New Roman"/>
          <w:sz w:val="22"/>
          <w:szCs w:val="22"/>
          <w:lang w:val="en-US"/>
        </w:rPr>
        <w:t xml:space="preserve"> (PROCESS) (PROCESS Model 4) </w:t>
      </w:r>
      <w:r>
        <w:rPr>
          <w:rFonts w:ascii="B Nazanin" w:hAnsi="B Nazanin" w:cs="B Nazanin" w:hint="cs"/>
          <w:sz w:val="24"/>
          <w:szCs w:val="24"/>
          <w:rtl/>
          <w:lang w:bidi="fa-IR"/>
        </w:rPr>
        <w:t xml:space="preserve">که برای آزمون چنین ساختارهایی طراحی شده است (هایز، ۲۰۱۸). انتخاب روش نهایی برآورد، تابع حجم نمونه و مفروضه‌های آماری خواهد بود و در فصل روش‌شناسی تفصیل می‌یابد.</w:t>
      </w:r>
    </w:p>
    <w:p>
      <w:pPr>
        <w:bidi w:val="1"/>
        <w:spacing w:lineRule="exact" w:line="580" w:after="0"/>
        <w:jc w:val="both"/>
      </w:pPr>
      <w:r>
        <w:rPr>
          <w:rFonts w:ascii="B Nazanin" w:hAnsi="B Nazanin" w:cs="B Nazanin" w:hint="cs"/>
          <w:sz w:val="24"/>
          <w:szCs w:val="24"/>
          <w:rtl/>
          <w:lang w:bidi="fa-IR"/>
        </w:rPr>
        <w:t xml:space="preserve">در جمع‌بندی سازوکار پیشنهادی، مدل حاضر اضطراب صفتی را نه صرفاً همبسته رفتار پرخطر، بلکه نقطه آغاز زنجیره‌ای شناختی-هیجانی می‌داند که از فعال‌سازی طرحواره‌های ناسازگار می‌گذرد و در قالب سبک‌های مقابله‌ای ناسازگار به تصمیم‌های مالی تکانشگرانه و شرط‌بندی‌گونه ختم می‌شود. اهمیت این فرمول‌بندی در آن است که هم ناهمسانی رفتارهای مالی در افراد هم‌سطح از نظر اضطراب را تبیین می‌کند و هم هدف مداخله‌های بالینی را از مدیریت صرف اضطراب به بازسازی طرحواره‌ها و اصلاح سبک‌های مقابله‌ای گسترش می‌دهد. آزمون تجربی این مسیرها با فرضیه‌های پژوهش حاضر و بر اساس داده‌های گردآوری‌شده از جامعه معامله‌گران انجام خواهد شد و نتایج آن در فصل‌های آتی گزارش می‌شود. در صورت تأیید تجربی، این مدل نه‌تنها شکاف تبیینی موجود در ادبیات روانشناسی مالی را پر می‌کند، بلکه مبنایی برای طراحی مداخله‌های هدفمند در حوزه سلامت روان معامله‌گران فراهم می‌آورد؛ مداخله‌هایی که به‌جای تمرکز صرف بر دانش مالی، لایه‌های عمیق‌تر شناختی-هیجانی رفتار معاملاتی را هدف می‌گیرند و همین چشم‌انداز، اهمیت بالینی پژوهش حاضر را فراتر از ابعاد نظری آن روشن می‌سازد.</w:t>
      </w:r>
    </w:p>
    <w:p>
      <w:pPr>
        <w:pStyle w:val="Heading2"/>
        <w:bidi w:val="1"/>
        <w:jc w:val="right"/>
      </w:pPr>
      <w:r>
        <w:rPr>
          <w:rFonts w:ascii="B Nazanin" w:hAnsi="B Nazanin" w:cs="B Nazanin" w:hint="cs"/>
          <w:b/>
          <w:bCs/>
          <w:sz w:val="28"/>
          <w:szCs w:val="28"/>
          <w:rtl/>
          <w:lang w:bidi="fa-IR"/>
        </w:rPr>
        <w:t xml:space="preserve">۲-۳ پیشینه پژوهشی</w:t>
      </w:r>
    </w:p>
    <w:p>
      <w:pPr>
        <w:pStyle w:val="Heading3"/>
        <w:bidi w:val="1"/>
        <w:jc w:val="right"/>
      </w:pPr>
      <w:r>
        <w:rPr>
          <w:rFonts w:ascii="B Nazanin" w:hAnsi="B Nazanin" w:cs="B Nazanin" w:hint="cs"/>
          <w:b/>
          <w:bCs/>
          <w:sz w:val="26"/>
          <w:szCs w:val="26"/>
          <w:rtl/>
          <w:lang w:bidi="fa-IR"/>
        </w:rPr>
        <w:t xml:space="preserve">۲-۳-۱ پیشینه داخلی</w:t>
      </w:r>
    </w:p>
    <w:p>
      <w:pPr>
        <w:bidi w:val="1"/>
        <w:spacing w:lineRule="exact" w:line="580" w:after="0"/>
        <w:jc w:val="both"/>
      </w:pPr>
      <w:r>
        <w:rPr>
          <w:rFonts w:ascii="B Nazanin" w:hAnsi="B Nazanin" w:cs="B Nazanin" w:hint="cs"/>
          <w:sz w:val="24"/>
          <w:szCs w:val="24"/>
          <w:rtl/>
          <w:lang w:bidi="fa-IR"/>
        </w:rPr>
        <w:t xml:space="preserve">ستایش، کاظم‌پور و دلالی اصفهانی(۱۳۹۹)در پژوهشی با عنوان "بررسی نقش منابع اطلاعاتی بر رابطه میان ویژگی‌های شخصیتی و رفتار معاملاتی سرمایه‌گذاران حقیقی در بورس اوراق بهادار تهران"، به طور مستقیم به بررسی ارتباط شخصیت و عمل در بازار سرمایه ایران پرداختند. موضوع دقیق پژوهش آن‌ها، آزمون این بود که آیا ویژگی‌های پنج‌گانه بزرگ شخصیت بر رفتار معاملاتی (مانند تعداد معاملات یا افق زمانی سرمایه‌گذاری) سرمایه‌گذاران تأثیر دارد و آیا نوع منبع اطلاعاتی (رسمی یا غیررسمی) این رابطه را تغییر می‌دهد. این پژوهش توصیفی-پیمایشی بر روی نمونه‌ای از سرمایه‌گذاران بورس تهران انجام شد. یافته‌های کلیدی مطالعه نشان داد که ابعاد شخصیت، به ویژه روان‌رنجورخویی، با الگوهای رفتار معاملاتی افراد رابطه معنادار دارد. این پژوهش از این جهت برای تحقیق حاضر اهمیت دارد که یک شاهد تجربی بسیار قوی و مستقیم از جامعه ایران ارائه می‌دهد که نشان می‌دهد ویژگی شخصیتی مرتبط با اضطراب (روان‌رنجورخویی)، با رفتارها و تصمیمات عملی معامله‌گران در ارتباط است و فرضیه کلی پژوهش حاضر را به خوبی پشتیبانی می‌کند.</w:t>
      </w:r>
    </w:p>
    <w:p>
      <w:pPr>
        <w:bidi w:val="1"/>
        <w:spacing w:lineRule="exact" w:line="580" w:after="0"/>
        <w:jc w:val="both"/>
      </w:pPr>
      <w:r>
        <w:rPr>
          <w:rFonts w:ascii="B Nazanin" w:hAnsi="B Nazanin" w:cs="B Nazanin" w:hint="cs"/>
          <w:sz w:val="24"/>
          <w:szCs w:val="24"/>
          <w:rtl/>
          <w:lang w:bidi="fa-IR"/>
        </w:rPr>
        <w:t xml:space="preserve">بهدیو، نمازی و خواجوی(۱۳۹۸)در پژوهشی با عنوان "ارائه مدلی برای بررسی تأثیرات ترکیبی ریسک‌پذیری، ویژگی‌های فردی و فرهنگی بر بروز رفتار توده‌وار سرمایه‌گذاران در بورس اوراق بهادار تهران"، به بررسی یکی از مصادیق کلیدی رفتار مالی پرخطر پرداختند. موضوع دقیق پژوهش آن‌ها، تبیین رفتار گله‌ای به عنوان یک پدیده روان‌شناختی در بازار سرمایه ایران بود. پژوهش آن‌ها از نوع توصیفی-پیمایشی بود و داده‌ها از طریق پرسشنامه و با استفاده از مدل‌یابی معادلات ساختاری تحلیل شدند. یافته‌های کلیدی این مطالعه نشان داد که ویژگی‌های فردی و سطح ریسک‌پذیری سرمایه‌گذاران، به طور معناداری بر احتمال بروز رفتار گله‌ای تأثیر می‌گذارند. این یافته برای پژوهش حاضر بسیار ارزشمند است، زیرا به صورت تجربی تأیید می‌کند که متغیرهای روان‌شناختی و نگرش به ریسک، پیش‌بینی‌کننده‌های مهمی برای رفتارهای مالی غیرمنطقی و پرخطر در جامعه معامله‌گران ایرانی هستند.</w:t>
      </w:r>
    </w:p>
    <w:p>
      <w:pPr>
        <w:bidi w:val="1"/>
        <w:spacing w:lineRule="exact" w:line="580" w:after="0"/>
        <w:jc w:val="both"/>
      </w:pPr>
      <w:r>
        <w:rPr>
          <w:rFonts w:ascii="B Nazanin" w:hAnsi="B Nazanin" w:cs="B Nazanin" w:hint="cs"/>
          <w:sz w:val="24"/>
          <w:szCs w:val="24"/>
          <w:rtl/>
          <w:lang w:bidi="fa-IR"/>
        </w:rPr>
        <w:t xml:space="preserve">فلاح و خدایی(۱۳۹۸)در پژوهشی با عنوان "رابطه هوش هیجانی و سبک های تصمیم گیری با عملکرد سرمایه گذاری در بورس اوراق بهادار تهران"، به بررسی یک ویژگی شخصیتی مثبت و مؤثر بر رفتار مالی پرداختند. موضوع دقیق پژوهش آن‌ها، بررسی این بود که آیا توانایی افراد در درک، مدیریت و استفاده از هیجانات خود و دیگران (هوش هیجانی)، می‌تواند عملکرد سرمایه‌گذاری آن‌ها را پیش‌بینی کند. این پژوهش از نوع توصیفی-همبستگی بود و بر روی نمونه‌ای از سرمایه‌گذاران فعال در بورس تهران انجام شد. یافته‌های کلیدی این مطالعه نشان داد که بین هوش هیجانی و عملکرد سرمایه‌گذاری، رابطه مثبت و معناداری وجود دارد. به طور مشخص، افرادی که نمرات بالاتری در هوش هیجانی کسب کرده بودند، عملکرد بهتری در سرمایه‌گذاری‌های خود گزارش دادند. این یافته، اهمیت بنیادین توانایی "تنظیم هیجان" را در محیط پرتنش بازار مالی برجسته می‌کند. این پژوهش، از این جهت برای تحقیق حاضر اهمیت دارد که یک پشتوانه تجربی قوی برای فرض اصلی پژوهش فراهم می‌کند: اگر توانایی مدیریت هیجانات (هوش هیجانی بالا) منجر به نتایج مثبت می‌شود، پس نقطه مقابل آن، یعنی دشواری در مدیریت هیجانات (اضطراب صفتی بالا)، به احتمال زیاد منجر به نتایج منفی و رفتارهای مالی پرخطر خواهد شد.</w:t>
      </w:r>
    </w:p>
    <w:p>
      <w:pPr>
        <w:bidi w:val="1"/>
        <w:spacing w:lineRule="exact" w:line="580" w:after="0"/>
        <w:jc w:val="both"/>
      </w:pPr>
      <w:r>
        <w:rPr>
          <w:rFonts w:ascii="B Nazanin" w:hAnsi="B Nazanin" w:cs="B Nazanin" w:hint="cs"/>
          <w:sz w:val="24"/>
          <w:szCs w:val="24"/>
          <w:rtl/>
          <w:lang w:bidi="fa-IR"/>
        </w:rPr>
        <w:t xml:space="preserve">فروغی و تهرانی(۱۳۹۷)در پژوهشی با عنوان "نقش سواد مالی در تعدیل رابطه بین سوگیری های رفتاری و عملکرد سرمایه گذاری در بورس اوراق بهادار تهران"، به بررسی یک عامل محافظتی مهم در برابر تصمیمات غیرمنطقی پرداختند. موضوع دقیق پژوهش آن‌ها، آزمون این فرضیه بود که آیا سطح دانش و سواد مالی افراد، می‌تواند تأثیر منفی سوگیری‌های رفتاری (مانند بیش‌اطمینانی و اثر گرایش) را بر عملکرد واقعی سرمایه‌گذاری آن‌ها کاهش دهد یا خیر. این پژوهش از نوع توصیفی-همبستگی بود و بر روی نمونه‌ای از سرمایه‌گذاران حقیقی در بورس تهران انجام شد. یافته‌های کلیدی این مطالعه، که با استفاده از تحلیل رگرسیون تعدیلی به دست آمد، نشان داد که سوگیری بیش‌اطمینانی، رابطه منفی و معناداری با عملکرد سرمایه‌گذاری دارد، اما این رابطه برای افرادی که از سواد مالی بالاتری برخوردار بودند، به طور معناداری ضعیف‌تر بود. به عبارت دیگر، دانش مالی به عنوان یک "متغیر تعدیل‌گر"، اثرات مخرب یک سوگیری روانشناختی را کاهش می‌دهد. این پژوهش برای تحقیق حاضر از این جهت اهمیت دارد که نشان می‌دهد عوامل روانشناختی، سرنوشت قطعی افراد نیستند و می‌توان با تقویت عوامل شناختی و دانشی، تأثیر آن‌ها را مدیریت کرد.</w:t>
      </w:r>
    </w:p>
    <w:p>
      <w:pPr>
        <w:bidi w:val="1"/>
        <w:spacing w:lineRule="exact" w:line="580" w:after="0"/>
        <w:jc w:val="both"/>
      </w:pPr>
      <w:r>
        <w:rPr>
          <w:rFonts w:ascii="B Nazanin" w:hAnsi="B Nazanin" w:cs="B Nazanin" w:hint="cs"/>
          <w:sz w:val="24"/>
          <w:szCs w:val="24"/>
          <w:rtl/>
          <w:lang w:bidi="fa-IR"/>
        </w:rPr>
        <w:t xml:space="preserve">نوری و هاشمیان(۱۳۹۶)در مطالعه‌ای با عنوان "رابطه بین طرحواره های ناسازگار اولیه و اضطراب اجتماعی در دانشجویان"، به بررسی ریشه‌های شناختی اضطراب در تعاملات اجتماعی پرداختند. موضوع دقیق پژوهش آن‌ها، بررسی این بود که کدام یک از طرحواره‌های ناسازگار، همبستگی بیشتری با شدت علائم اضطراب اجتماعی دارند. این پژوهش از نوع توصیفی-همبستگی بود و بر روی نمونه‌ای از دانشجویان دانشگاه فردوسی مشهد انجام شد. یافته‌های کلیدی این مطالعه نشان داد که بین نمره کل طرحواره‌های ناسازگار و شدت اضطراب اجتماعی، یک همبستگی مثبت و قوی وجود دارد. به طور مشخص، طرحواره‌های حوزه "بریدگی و طرد" (مانند نقص/شرم و انزوای اجتماعی) و حوزه "خودگردانی مختل" (مانند وابستگی/بی‌کفایتی)، قوی‌ترین همبستگی را با اضطراب اجتماعی داشتند. اگرچه این پژوهش به طور خاص روی "اضطراب اجتماعی" متمرکز است و نه "اضطراب صفتی"، اما از نظر مفهومی، یک شاهد تجربی مهم برای پژوهش حاضر محسوب می‌شود. این مطالعه، ارتباط بنیادین بین آسیب‌پذیری شناختی (وجود طرحواره‌ها) و تجربه هیجانی اضطراب را در یک نمونه ایرانی به وضوح تأیید می‌کند و از مسیر اول مدل میانجی‌گری پژوهش (اضطراب ← طرحواره) پشتیبانی می‌کند.</w:t>
      </w:r>
    </w:p>
    <w:p>
      <w:pPr>
        <w:bidi w:val="1"/>
        <w:spacing w:lineRule="exact" w:line="580" w:after="0"/>
        <w:jc w:val="both"/>
      </w:pPr>
      <w:r>
        <w:rPr>
          <w:rFonts w:ascii="B Nazanin" w:hAnsi="B Nazanin" w:cs="B Nazanin" w:hint="cs"/>
          <w:sz w:val="24"/>
          <w:szCs w:val="24"/>
          <w:rtl/>
          <w:lang w:bidi="fa-IR"/>
        </w:rPr>
        <w:t xml:space="preserve">امیدی ، کدیور و فرزاد(۱۳۹۲)در پژوهشی با عنوان "رابطه بین طرحواره‌های ناسازگار اولیه، سبک‌های فرزندپروری و سبک‌های هویت با گرایش به اعتیاد"، به بررسی عوامل روانشناختی پیش‌بین رفتارهای اعتیادی پرداختند. موضوع دقیق پژوهش آن‌ها، بررسی این بود که آیا باورهای بنیادین شکل‌گرفته در کودکی (طرحواره‌ها) و سبک‌های تربیتی والدین، می‌توانند تمایل افراد به مصرف مواد در بزرگسالی را پیش‌بینی کنند یا خیر. این پژوهش از نوع همبستگی بود و بر روی نمونه‌ای متشکل از ۳۵۰ نفر از دانشجویان دانشگاه‌های تهران انجام شد. یافته‌های کلیدی این مطالعه از طریق تحلیل رگرسیون نشان داد که از میان حوزه‌های مختلف طرحواره، دو حوزه به طور خاص، پیش‌بینی‌کننده‌های قدرتمندی برای گرایش به اعتیاد هستند: اول، حوزه "محدودیت‌های مختل" (به ویژه طرحواره خویشتن‌داری ناکافی)، و دوم، حوزه "بریدگی و طرد" (به ویژه طرحواره‌های نقص/شرم و انزوای اجتماعی). این یافته‌ها نشان می‌دهد که دشواری در کنترل تکانه‌ها و همچنین احساسات عمیق بی‌ارزشی و عدم تعلق، افراد را به سمت استفاده از راهبردهای مقابله‌ای ناسازگار مانند مصرف مواد سوق می‌دهد. این مطالعه، یک شاهد تجربی مهم برای پژوهش حاضر است، زیرا ارتباط مستقیم بین طرحواره‌ها و یک رفتار تکانشی و اعتیادگونه را در یک نمونه ایرانی به اثبات می‌رساند و این منطق را تقویت می‌کند که همین سازوکار شناختی می‌تواند زیربنای رفتارهای مالی پرخطر نیز باشد.</w:t>
      </w:r>
    </w:p>
    <w:p>
      <w:pPr>
        <w:pStyle w:val="Heading3"/>
        <w:bidi w:val="1"/>
        <w:jc w:val="right"/>
      </w:pPr>
      <w:r>
        <w:rPr>
          <w:rFonts w:ascii="B Nazanin" w:hAnsi="B Nazanin" w:cs="B Nazanin" w:hint="cs"/>
          <w:b/>
          <w:bCs/>
          <w:sz w:val="26"/>
          <w:szCs w:val="26"/>
          <w:rtl/>
          <w:lang w:bidi="fa-IR"/>
        </w:rPr>
        <w:t xml:space="preserve">۲-۳-۲ پیشینه خارجی</w:t>
      </w:r>
    </w:p>
    <w:p>
      <w:pPr>
        <w:bidi w:val="1"/>
        <w:spacing w:lineRule="exact" w:line="580" w:after="0"/>
        <w:jc w:val="both"/>
      </w:pPr>
      <w:r>
        <w:rPr>
          <w:rFonts w:ascii="B Nazanin" w:hAnsi="B Nazanin" w:cs="B Nazanin" w:hint="cs"/>
          <w:sz w:val="24"/>
          <w:szCs w:val="24"/>
          <w:rtl/>
          <w:lang w:bidi="fa-IR"/>
        </w:rPr>
        <w:t xml:space="preserve">ماهاتو و همکاران) ۲۰۲۵ (در پژوهشی با عنوان "نسل‌های جدید به عنوان سرمایه‌گذار: عوامل رفتاری شکل‌دهنده انتخاب‌های مالی"، به بررسی عوامل روانشناختی مؤثر بر رفتار سرمایه‌گذاری نسل‌های جوان پرداختند. موضوع دقیق پژوهش آن‌ها، تفکیک اثرات ویژگی‌های شخصیتی مختلف (مانند اضطراب، خشم و بیش‌اطمینانی) بر کیفیت و سبک تصمیم‌گیری‌های مالی بود. یافته کلیدی این مطالعه نشان داد که اضطراب صفتی تأثیر منفی و معناداری بر فرآیند سرمایه‌گذاری دارد و اغلب منجر به اجتناب از تصمیم‌گیری یا تصمیمات محافظه‌کارانه افراطی می‌شود. این پژوهش از این جهت برای تحقیق حاضر اهمیت دارد که با تمرکز بر نسل‌های جدید، تأیید می‌کند که اضطراب همچنان یک مانع روانشناختی اصلی در بازارهای مالی مدرن است و مستقیماً بر رفتار معامله‌گر اثر می‌گذارد.</w:t>
      </w:r>
    </w:p>
    <w:p>
      <w:pPr>
        <w:bidi w:val="1"/>
        <w:spacing w:lineRule="exact" w:line="580" w:after="0"/>
        <w:jc w:val="both"/>
      </w:pPr>
      <w:r>
        <w:rPr>
          <w:rFonts w:ascii="B Nazanin" w:hAnsi="B Nazanin" w:cs="B Nazanin" w:hint="cs"/>
          <w:sz w:val="24"/>
          <w:szCs w:val="24"/>
          <w:rtl/>
          <w:lang w:bidi="fa-IR"/>
        </w:rPr>
        <w:t xml:space="preserve">دینگرا و آگاروال) ۲۰۲۵ (در مقاله‌ای با عنوان "کاوش در اضطراب صفتی به عنوان یک سازه روانشناختی: تأثیرات جنسیت، تحصیلات و آموزش مالی"، ابعاد مختلف این ویژگی شخصیتی را در بافت مالی مورد واکاوی قرار دادند. موضوع دقیق پژوهش آن‌ها، بررسی این بود که آیا متغیرهای زمینه‌ای و آموزشی می‌توانند شدت اثرگذاری اضطراب صفتی را تغییر دهند یا خیر. یافته کلیدی این پژوهش نشان داد که اگرچه اضطراب صفتی یک ویژگی پایدار است، اما "آموزش و سواد مالی" می‌تواند به عنوان یک سپرجذبی عمل کرده و تأثیر منفی آن را بر تصمیمات فرد کاهش دهد. این یافته برای بخش کاربردی پژوهش حاضر بسیار ارزشمند است، زیرا نشان می‌دهد مداخلات آموزشی می‌تواند چرخه معیوب "اضطراب-رفتار پرخطر" را بشکند.</w:t>
      </w:r>
    </w:p>
    <w:p>
      <w:pPr>
        <w:bidi w:val="1"/>
        <w:spacing w:lineRule="exact" w:line="580" w:after="0"/>
        <w:jc w:val="both"/>
      </w:pPr>
      <w:r>
        <w:rPr>
          <w:rFonts w:ascii="B Nazanin" w:hAnsi="B Nazanin" w:cs="B Nazanin" w:hint="cs"/>
          <w:sz w:val="24"/>
          <w:szCs w:val="24"/>
          <w:rtl/>
          <w:lang w:bidi="fa-IR"/>
        </w:rPr>
        <w:t xml:space="preserve">سافیتری و همکاران  )۲۰۲۵ (در مطالعه‌ای با عنوان "تأثیر اجتماعی-روانی در تصمیم‌گیری سرمایه‌گذاری با میانجی‌گری تحمل ریسک"، یک مدل ساختاری را آزمون کردند. موضوع دقیق پژوهش آن‌ها، بررسی دقیق مسیری بود که عوامل روانی از طریق آن بر تصمیم نهایی خرید یا فروش اثر می‌گذارند. یافته کلیدی این مطالعه با قطعیت آماری</w:t>
      </w:r>
      <w:r>
        <w:rPr>
          <w:rFonts w:ascii="Times New Roman" w:hAnsi="Times New Roman" w:cs="Times New Roman"/>
          <w:sz w:val="22"/>
          <w:szCs w:val="22"/>
          <w:lang w:val="en-US"/>
        </w:rPr>
        <w:t xml:space="preserve"> (P&lt;0.05) </w:t>
      </w:r>
      <w:r>
        <w:rPr>
          <w:rFonts w:ascii="B Nazanin" w:hAnsi="B Nazanin" w:cs="B Nazanin" w:hint="cs"/>
          <w:sz w:val="24"/>
          <w:szCs w:val="24"/>
          <w:rtl/>
          <w:lang w:bidi="fa-IR"/>
        </w:rPr>
        <w:t xml:space="preserve">نشان داد که عوامل اضطرابی هم بر خودِ فرآیند "تصمیم‌گیری" و هم بر ظرفیت روانی "تحمل ریسک" اثر تخریبی دارند. این مطالعه مستقیماً از مدل مفهومی تحقیق حاضر پشتیبانی می‌کند، زیرا نشان می‌دهد متغیرهای روانشناختی (مانند اضطراب) مستقیماً ظرفیت ریسک‌پذیری (تحمل ریسک) را که شاخص اصلی رفتار مالی در پژوهش حاضر است، دستخوش تغییر می‌کنند.</w:t>
      </w:r>
    </w:p>
    <w:p>
      <w:pPr>
        <w:bidi w:val="1"/>
        <w:spacing w:lineRule="exact" w:line="580" w:after="0"/>
        <w:jc w:val="both"/>
      </w:pPr>
      <w:r>
        <w:rPr>
          <w:rFonts w:ascii="B Nazanin" w:hAnsi="B Nazanin" w:cs="B Nazanin" w:hint="cs"/>
          <w:sz w:val="24"/>
          <w:szCs w:val="24"/>
          <w:rtl/>
          <w:lang w:bidi="fa-IR"/>
        </w:rPr>
        <w:t xml:space="preserve">گرال-برونک و همکاران )۲۰۲۵( در پژوهشی پیشرو با عنوان "توسعه و اعتباریابی مقیاس اختلال معامله‌گری برای سنجش رفتارهای معاملاتی مشکل‌ساز"، به پر کردن خلأ ابزارهای تشخیصی در این حوزه پرداختند. موضوع دقیق پژوهش آن‌ها، ساخت ابزاری استاندارد برای شناسایی مرز بین معامله‌گری عادی و معامله‌گری آسیب‌شناختی (اعتیادگونه) بود. یافته کلیدی آن‌ها نشان داد که یکی از مؤلفه‌های اصلی اختلال معامله‌گری، "اقدام به معامله برای فرار از پریشانی هیجانی (مانند اضطراب و افسردگی)" است. این یافته، قوی‌ترین شاهد برای مکانیسم پژوهش حاضر است و نشان می‌دهد که رفتارهای مالی پرخطر و افراطی، اغلب کارکردی برای تنظیم (یا سوءتنظیم) هیجانات منفی و اضطرابی دارند.</w:t>
      </w:r>
    </w:p>
    <w:p>
      <w:pPr>
        <w:bidi w:val="1"/>
        <w:spacing w:lineRule="exact" w:line="580" w:after="0"/>
        <w:jc w:val="both"/>
      </w:pPr>
      <w:r>
        <w:rPr>
          <w:rFonts w:ascii="B Nazanin" w:hAnsi="B Nazanin" w:cs="B Nazanin" w:hint="cs"/>
          <w:sz w:val="24"/>
          <w:szCs w:val="24"/>
          <w:rtl/>
          <w:lang w:bidi="fa-IR"/>
        </w:rPr>
        <w:t xml:space="preserve">اولولو و همکاران) ۲۰۲۴ (در پژوهشی با عنوان "مداخله کوچینگ رفتاردرمانی عقلانی-هیجانی و شناختی برای ارتقای تحمل ریسک مالی دانشجویان"، اثر تغییر باورها بر رفتار مالی را به صورت تجربی آزمون کردند. موضوع دقیق پژوهش، بررسی اثربخشی تغییر الگوهای فکری و طرحواره‌ای بر میزان تحمل ریسک مالی واقعی افراد بود. یافته کلیدی نشان داد که مداخلات شناختی</w:t>
      </w:r>
      <w:r>
        <w:rPr>
          <w:rFonts w:ascii="B Nazanin" w:hAnsi="B Nazanin" w:cs="B Nazanin" w:hint="cs"/>
          <w:vertAlign w:val="superscript"/>
          <w:rtl/>
        </w:rPr>
        <w:footnoteReference w:id="33"/>
      </w:r>
      <w:r>
        <w:rPr>
          <w:rFonts w:ascii="B Nazanin" w:hAnsi="B Nazanin" w:cs="B Nazanin" w:hint="cs"/>
          <w:sz w:val="24"/>
          <w:szCs w:val="24"/>
          <w:rtl/>
          <w:lang w:bidi="fa-IR"/>
        </w:rPr>
        <w:t xml:space="preserve"> که هدفشان اصلاح باورهای غیرمنطقی است، منجر به بهبود معنادار در تحمل ریسک مالی و تصمیم‌گیری منطقی‌تر می‌شود. این مطالعه از جهت اثبات رابطه علیّتی بین "شناخت" و "رفتار مالی" برای پژوهش حاضر حیاتی است.</w:t>
      </w:r>
    </w:p>
    <w:p>
      <w:pPr>
        <w:bidi w:val="1"/>
        <w:spacing w:lineRule="exact" w:line="580" w:after="0"/>
        <w:jc w:val="both"/>
      </w:pPr>
      <w:r>
        <w:rPr>
          <w:rFonts w:ascii="B Nazanin" w:hAnsi="B Nazanin" w:cs="B Nazanin" w:hint="cs"/>
          <w:sz w:val="24"/>
          <w:szCs w:val="24"/>
          <w:rtl/>
          <w:lang w:bidi="fa-IR"/>
        </w:rPr>
        <w:t xml:space="preserve">صدیقی ارفعی و همکاران</w:t>
      </w:r>
      <w:r>
        <w:rPr>
          <w:rFonts w:ascii="B Nazanin" w:hAnsi="B Nazanin" w:cs="B Nazanin" w:hint="cs"/>
          <w:vertAlign w:val="superscript"/>
          <w:rtl/>
        </w:rPr>
        <w:footnoteReference w:id="99"/>
      </w:r>
      <w:r>
        <w:rPr>
          <w:rFonts w:ascii="B Nazanin" w:hAnsi="B Nazanin" w:cs="B Nazanin" w:hint="cs"/>
          <w:sz w:val="24"/>
          <w:szCs w:val="24"/>
          <w:rtl/>
          <w:lang w:bidi="fa-IR"/>
        </w:rPr>
        <w:t xml:space="preserve"> (۲۰۲۳) در پژوهشی با عنوان «تأثیر طرحواره‌های ناسازگار اولیه بر گرایش به رفتارهای پرخطر با نقش میانجی تنظیم هیجان در دانش‌آموزان پسر دوره دوم متوسطه»، به بررسی ریشه‌های شناختی رفتارهای پرخطر در نوجوانان پرداختند. موضوع دقیق پژوهش آن‌ها، آزمون این فرضیه بود که آیا طرحواره‌های ناسازگار اولیه می‌توانند پیش‌بینی‌کننده تمایل فرد به اتخاذ موقعیت‌های پرخطر باشند. یافته کلیدی این مطالعه نشان داد که طرحواره‌ها اثر مستقیم، مثبت و معناداری بر رفتارهای پرخطر دارند و نقش واسطه‌ای "تنظیم هیجان" در این فرآیند تأیید شد. این پژوهش، هرچند در جامعه‌ای متفاوت (دانش‌آموزان) انجام شده، با فرضیه اصلی پژوهش حاضر هم‌راستاست و نشان می‌دهد که باورهای عمیق شناختی، محرک رفتارهای پرخطر هستند.</w:t>
      </w:r>
    </w:p>
    <w:p>
      <w:pPr>
        <w:bidi w:val="1"/>
        <w:spacing w:lineRule="exact" w:line="580" w:after="0"/>
        <w:jc w:val="both"/>
      </w:pPr>
      <w:r>
        <w:rPr>
          <w:rFonts w:ascii="B Nazanin" w:hAnsi="B Nazanin" w:cs="B Nazanin" w:hint="cs"/>
          <w:sz w:val="24"/>
          <w:szCs w:val="24"/>
          <w:rtl/>
          <w:lang w:bidi="fa-IR"/>
        </w:rPr>
        <w:t xml:space="preserve">آرنا و همکاران</w:t>
      </w:r>
      <w:r>
        <w:rPr>
          <w:rFonts w:ascii="B Nazanin" w:hAnsi="B Nazanin" w:cs="B Nazanin" w:hint="cs"/>
          <w:vertAlign w:val="superscript"/>
          <w:rtl/>
        </w:rPr>
        <w:footnoteReference w:id="100"/>
      </w:r>
      <w:r>
        <w:rPr>
          <w:rFonts w:ascii="B Nazanin" w:hAnsi="B Nazanin" w:cs="B Nazanin" w:hint="cs"/>
          <w:sz w:val="24"/>
          <w:szCs w:val="24"/>
          <w:rtl/>
          <w:lang w:bidi="fa-IR"/>
        </w:rPr>
        <w:t xml:space="preserve">(۲۰۲۲) در پژوهشی با عنوان "ویژگی‌های شخصیتی و سوگیری‌های رفتاری: نقش تعدیل‌گر تحمل ریسک"، یک مدل تعاملی پیچیده را بررسی کردند. موضوع دقیق پژوهش آن‌ها، بررسی این بود که ویژگی‌های شخصیتی چگونه بر سوگیری‌های رفتاری تأثیر می‌گذارند و آیا سطح تحمل ریسک فرد، این رابطه را تغییر می‌دهد. یافته کلیدی این مطالعه نشان داد که شخصیت و تحمل ریسک به صورت جداگانه عمل نمی‌کنند، بلکه در تعامل با یکدیگر، سبک تصمیم‌گیری مالی و میزان بروز سوگیری‌ها را شکل می‌دهند. این پژوهش از این جهت برای تحقیق حاضر مهم است که ضرورت نگاه به مدل‌های پیچیده‌تر (مانند مدل میانجی‌گری) را برجسته می‌کند و نشان می‌دهد که برای درک کامل رفتار مالی، باید به تعامل بین ویژگی‌های شخصیتی و عوامل نگرشی مانند تحمل ریسک توجه کرد.</w:t>
      </w:r>
    </w:p>
    <w:p>
      <w:pPr>
        <w:bidi w:val="1"/>
        <w:spacing w:lineRule="exact" w:line="580" w:after="0"/>
        <w:jc w:val="both"/>
      </w:pPr>
      <w:r>
        <w:rPr>
          <w:rFonts w:ascii="B Nazanin" w:hAnsi="B Nazanin" w:cs="B Nazanin" w:hint="cs"/>
          <w:sz w:val="24"/>
          <w:szCs w:val="24"/>
          <w:rtl/>
          <w:lang w:bidi="fa-IR"/>
        </w:rPr>
        <w:t xml:space="preserve">چارلز و کاسیلینگام (۲۰۲۲) در یک مطالعه جدیدتر، "نقش اضطراب در تصمیمات مالی" را مورد بررسی قرار دادند. موضوع دقیق پژوهش آن‌ها، بررسی ارتباط بین اضطراب (هم به عنوان یک حالت هیجانی و هم به عنوان یک ویژگی شخصیتی) با تحمل ریسک مالی و سوگیری‌های شناختی رایج بود. یافته‌های کلیدی این پژوهش نشان داد که اضطراب، به عنوان یک ویژگی شخصیتی، با کاهش تحمل ریسک مالی و همچنین افزایش احتمال بروز سوگیری اثر گرایش مرتبط است. این مطالعه، یک شاهد تجربی مستقیم و به‌روز است که دو مسیر مهم را در مدل مفهومی پژوهش تأیید می‌کند: اول، ارتباط مستقیم بین متغیر پیش‌بین (اضطراب) و متغیر ملاک (تحمل ریسک)، و دوم، نقش اضطراب در فعال‌سازی رفتارهای مالی غیرمنطقی.</w:t>
      </w:r>
    </w:p>
    <w:p>
      <w:pPr>
        <w:bidi w:val="1"/>
        <w:spacing w:lineRule="exact" w:line="580" w:after="0"/>
        <w:jc w:val="both"/>
      </w:pPr>
      <w:r>
        <w:rPr>
          <w:rFonts w:ascii="B Nazanin" w:hAnsi="B Nazanin" w:cs="B Nazanin" w:hint="cs"/>
          <w:sz w:val="24"/>
          <w:szCs w:val="24"/>
          <w:rtl/>
          <w:lang w:bidi="fa-IR"/>
        </w:rPr>
        <w:t xml:space="preserve">آن و همکاران</w:t>
      </w:r>
      <w:r>
        <w:rPr>
          <w:rFonts w:ascii="B Nazanin" w:hAnsi="B Nazanin" w:cs="B Nazanin" w:hint="cs"/>
          <w:vertAlign w:val="superscript"/>
          <w:rtl/>
        </w:rPr>
        <w:footnoteReference w:id="101"/>
      </w:r>
      <w:r>
        <w:rPr>
          <w:rFonts w:ascii="B Nazanin" w:hAnsi="B Nazanin" w:cs="B Nazanin" w:hint="cs"/>
          <w:sz w:val="24"/>
          <w:szCs w:val="24"/>
          <w:rtl/>
          <w:lang w:bidi="fa-IR"/>
        </w:rPr>
        <w:t xml:space="preserve"> (۲۰۲۱) در پژوهشی روی سرمایه‌گذاران چینی، به طور مستقیم "تأثیر اضطراب مالی بر نگهداری دارایی‌های پرریسک" را بررسی کردند. موضوع دقیق پژوهش آن‌ها، بررسی این بود که آیا احساس نگرانی و اضطراب درباره وضعیت مالی شخصی، بر تصمیم فرد برای سرمایه‌گذاری در دارایی‌های پرریسکی مانند سهام، تأثیر می‌گذارد یا خیر. یافته کلیدی این مطالعه نشان داد که اضطراب مالی، رابطه منفی و معناداری با تمایل به نگهداری دارایی‌های پرریسک دارد. به عبارت دیگر، افرادی که اضطراب مالی بیشتری را تجربه می‌کردند، درصد کمتری از سبد دارایی خود را به سهام اختصاص داده و بیشتر به سمت دارایی‌های امن (مانند اوراق قرضه) متمایل بودند. این یافته، یکی از دو واکنش اصلی به اضطراب (یعنی اجتناب از ریسک)را در یک زمینه واقعی مالی به خوبی نشان می‌دهد و از فرض اصلی پژوهش حاضر مبنی بر اینکه اضطراب، تصمیم‌گیری مالی را تحت تأثیر قرار می‌دهد، پشتیبانی می‌کند.</w:t>
      </w:r>
    </w:p>
    <w:p>
      <w:pPr>
        <w:bidi w:val="1"/>
        <w:spacing w:lineRule="exact" w:line="580" w:after="0"/>
        <w:jc w:val="both"/>
      </w:pPr>
      <w:r>
        <w:rPr>
          <w:rFonts w:ascii="B Nazanin" w:hAnsi="B Nazanin" w:cs="B Nazanin" w:hint="cs"/>
          <w:sz w:val="24"/>
          <w:szCs w:val="24"/>
          <w:rtl/>
          <w:lang w:bidi="fa-IR"/>
        </w:rPr>
        <w:t xml:space="preserve">یافته‌های پژوهشی نشان می‌دهد که طرحواره‌های ناسازگار اولیه (به‌ویژه در حوزه‌های بریدگی و طرد و خودگردانی مختل) نقش میانجی‌گر معناداری در انتقال اثرات تجارب ناگوار به رفتارهای تکانشگرانه و پرخطر ایفا می‌کنند (استِوِز و همکاران، ۲۰۲۴؛ شوری و همکاران، ۲۰۱۲).</w:t>
      </w:r>
    </w:p>
    <w:p>
      <w:pPr>
        <w:bidi w:val="1"/>
        <w:spacing w:lineRule="exact" w:line="580" w:after="0"/>
        <w:jc w:val="both"/>
      </w:pPr>
      <w:r>
        <w:rPr>
          <w:rFonts w:ascii="B Nazanin" w:hAnsi="B Nazanin" w:cs="B Nazanin" w:hint="cs"/>
          <w:sz w:val="24"/>
          <w:szCs w:val="24"/>
          <w:rtl/>
          <w:lang w:bidi="fa-IR"/>
        </w:rPr>
        <w:t xml:space="preserve">مرور نظام‌مند شواهد نشان می‌دهد که طرحواره‌های ناسازگار اولیه با طیفی از اعتیادهای رفتاری مرتبط‌اند (ویرا و همکاران، ۲۰۲۳).</w:t>
      </w:r>
    </w:p>
    <w:p>
      <w:pPr>
        <w:bidi w:val="1"/>
        <w:spacing w:lineRule="exact" w:line="580" w:after="0"/>
        <w:jc w:val="both"/>
      </w:pPr>
      <w:r>
        <w:rPr>
          <w:rFonts w:ascii="B Nazanin" w:hAnsi="B Nazanin" w:cs="B Nazanin" w:hint="cs"/>
          <w:sz w:val="24"/>
          <w:szCs w:val="24"/>
          <w:rtl/>
          <w:lang w:bidi="fa-IR"/>
        </w:rPr>
        <w:t xml:space="preserve">پاک و محمود) ۲۰۱۹(در مطالعه‌ای با عنوان "ویژگی‌های شخصیتی و تحلیل پروفایل سرمایه‌گذار: یک مطالعه مالی رفتاری"، به طور مستقیم به ارتباط بین شخصیت و پروفایل ریسک افراد پرداختند. موضوع دقیق پژوهش آن‌ها، شناسایی الگوهای شخصیتی مرتبط با سطوح مختلف تحمل ریسک در سرمایه‌گذاران بود. یافته‌های کلیدی این پژوهش به وضوح نشان داد که سطوح بالای ناپایداری هیجانی (که اضطراب هسته اصلی آن است) با پروفایل ریسک محافظه‌کارانه‌تر و تحمل ریسک پایین‌تر همراه است. این مطالعه یک تأیید تجربی بسیار مستقیم برای مسیر اصلی پژوهش حاضر است، زیرا دقیقاً نشان می‌دهد که متغیر پیش‌بین (اضطراب) با متغیر ملاک (تحمل ریسک مالی) رابطه منفی و معنادار دارد.</w:t>
      </w:r>
    </w:p>
    <w:p>
      <w:pPr>
        <w:bidi w:val="1"/>
        <w:spacing w:lineRule="exact" w:line="580" w:after="0"/>
        <w:jc w:val="both"/>
      </w:pPr>
      <w:r>
        <w:rPr>
          <w:rFonts w:ascii="B Nazanin" w:hAnsi="B Nazanin" w:cs="B Nazanin" w:hint="cs"/>
          <w:sz w:val="24"/>
          <w:szCs w:val="24"/>
          <w:rtl/>
          <w:lang w:bidi="fa-IR"/>
        </w:rPr>
        <w:t xml:space="preserve">نوین و همکاران ) ۲۰۱۹ (در پژوهشی با عنوان "ویژگی‌های شخصیتی و سرمایه‌گذاری افراد در سهام"، به بررسی تأثیر ابعاد شخصیتی بر تصمیمات سرمایه‌گذاری پرداختند. موضوع دقیق پژوهش آن‌ها، بررسی این بود که کدام یک از ویژگی‌های پنج‌گانه بزرگ شخصیت، قصد افراد برای سرمایه‌گذاری در دارایی‌های پرریسکی مانند سهام را پیش‌بینی می‌کند. یافته‌های کلیدی این پژوهش، که با استفاده از مدل‌یابی معادلات ساختاری به دست آمد، نشان داد که ثبات هیجانی (نقطه مقابل روان‌رنجورخویی) با پذیرش ریسک و نیت سرمایه‌گذاری در سهام ارتباط دارد. این یافته برای پژوهش حاضر اهمیت بالایی دارد، زیرا یک شاهد بین‌المللی قوی برای این فرضیه فراهم می‌کند که بعد شخصیتی مرتبط با اضطراب، یک عامل تعیین‌کننده در میزان ریسک‌پذیری و تصمیمات مالی افراد است.</w:t>
      </w:r>
    </w:p>
    <w:p>
      <w:pPr>
        <w:bidi w:val="1"/>
        <w:spacing w:lineRule="exact" w:line="580" w:after="0"/>
        <w:jc w:val="both"/>
      </w:pPr>
      <w:r>
        <w:rPr>
          <w:rFonts w:ascii="B Nazanin" w:hAnsi="B Nazanin" w:cs="B Nazanin" w:hint="cs"/>
          <w:sz w:val="24"/>
          <w:szCs w:val="24"/>
          <w:rtl/>
          <w:lang w:bidi="fa-IR"/>
        </w:rPr>
        <w:t xml:space="preserve">رایم و همکاران</w:t>
      </w:r>
      <w:r>
        <w:rPr>
          <w:rFonts w:ascii="B Nazanin" w:hAnsi="B Nazanin" w:cs="B Nazanin" w:hint="cs"/>
          <w:vertAlign w:val="superscript"/>
          <w:rtl/>
        </w:rPr>
        <w:footnoteReference w:id="102"/>
      </w:r>
      <w:r>
        <w:rPr>
          <w:rFonts w:ascii="B Nazanin" w:hAnsi="B Nazanin" w:cs="B Nazanin" w:hint="cs"/>
          <w:sz w:val="24"/>
          <w:szCs w:val="24"/>
          <w:rtl/>
          <w:lang w:bidi="fa-IR"/>
        </w:rPr>
        <w:t xml:space="preserve"> (۲۰۱۵) در پژوهشی با عنوان "روان‌رنجورخویی و وجوه آن در رابطه با طرحواره‌های ناسازگار اولیه"، به بررسی ارتباط بین یک ویژگی شخصیتی بنیادین و الگوهای شناختی پرداختند. موضوع دقیق پژوهش آن‌ها، بررسی این بود که آیا ویژگی روان‌رنجورخویی (که اضطراب صفتی مؤلفه اصلی آن است) و وجوه مختلف آن (مانند اضطراب، افسردگی، تکانشگری) با کدام یک از حوزه‌های طرحواره‌های ناسازگار اولیه، همبستگی بیشتری دارند. یافته‌های کلیدی این مطالعه نشان داد که روان‌رنجورخویی، یک همبستگی مستقیم، مثبت و بسیار قوی با تقریباً تمام حوزه‌های طرحواره‌های ناسازگار اولیه دارد. این یافته، یک شاهد تجربی بسیار قوی برای مسیر اول مدل میانجی‌گری پژوهش (اضطراب ← طرحواره) است و نشان می‌دهد که تمایلات اضطرابی، زمینه را برای شکل‌گیری و تداوم باورهای شناختی منفی، فراهم می‌کند.</w:t>
      </w:r>
    </w:p>
    <w:p>
      <w:pPr>
        <w:bidi w:val="1"/>
        <w:spacing w:lineRule="exact" w:line="580" w:after="0"/>
        <w:jc w:val="both"/>
      </w:pPr>
      <w:r>
        <w:rPr>
          <w:rFonts w:ascii="B Nazanin" w:hAnsi="B Nazanin" w:cs="B Nazanin" w:hint="cs"/>
          <w:sz w:val="24"/>
          <w:szCs w:val="24"/>
          <w:rtl/>
          <w:lang w:bidi="fa-IR"/>
        </w:rPr>
        <w:t xml:space="preserve">فنتون-اکریوی و همکاران</w:t>
      </w:r>
      <w:r>
        <w:rPr>
          <w:rFonts w:ascii="B Nazanin" w:hAnsi="B Nazanin" w:cs="B Nazanin" w:hint="cs"/>
          <w:vertAlign w:val="superscript"/>
          <w:rtl/>
        </w:rPr>
        <w:footnoteReference w:id="103"/>
      </w:r>
      <w:r>
        <w:rPr>
          <w:rFonts w:ascii="B Nazanin" w:hAnsi="B Nazanin" w:cs="B Nazanin" w:hint="cs"/>
          <w:sz w:val="24"/>
          <w:szCs w:val="24"/>
          <w:rtl/>
          <w:lang w:bidi="fa-IR"/>
        </w:rPr>
        <w:t xml:space="preserve"> (۲۰۱۱)  در پژوهشی چندوجهی روی معامله‌گران حرفه‌ای در بانک‌های سرمایه‌گذاری لندن، به بررسی "نقش هیجانات در تصمیم‌گیری معامله‌گران" پرداختند. موضوع دقیق پژوهش آن‌ها، درک این بود که معامله‌گران موفق، چگونه هیجانات خود را تنظیم می‌کنند. این پژوهش، هم شامل مصاحبه‌های کیفی و هم آزمون‌های روان‌سنجی بود. یافته کلیدی آن‌ها این بود که برخلاف تصور رایج، معامله‌گران موفق، افرادی بی‌هیجان نیستند، بلکه کسانی هستند که از هوش هیجانی بالاتری برخوردار بوده و بهتر می‌توانند هیجانات منفی مانند اضطراب و پشیمانی را مدیریت کنند. این مطالعه نشان داد که اضطراب، توانایی پردازش منطقی اطلاعات را کاهش داده و منجر به تصمیماتی می‌شود که خود معامله‌گران بعداً آن‌ها را غیرمنطقی ارزیابی می‌کنند.</w:t>
      </w:r>
    </w:p>
    <w:p>
      <w:pPr>
        <w:bidi w:val="1"/>
        <w:spacing w:lineRule="exact" w:line="580" w:after="0"/>
        <w:jc w:val="both"/>
      </w:pPr>
      <w:r>
        <w:rPr>
          <w:rFonts w:ascii="B Nazanin" w:hAnsi="B Nazanin" w:cs="B Nazanin" w:hint="cs"/>
          <w:sz w:val="24"/>
          <w:szCs w:val="24"/>
          <w:rtl/>
          <w:lang w:bidi="fa-IR"/>
        </w:rPr>
        <w:t xml:space="preserve">لیندبرگ و همکاران (۲۰۱۱) در مطالعه‌ای، به طور خاص به بررسی "طرحواره‌های ناسازگار اولیه در قماربازان آسیب‌شناختی" پرداختند. موضوع دقیق پژوهش آن‌ها، مقایسه پروفایل طرحواره‌ای افراد معتاد به قمار با یک گروه کنترل سالم بود. یافته‌های کلیدی این پژوهش نشان داد که گروه قماربازان، نمرات به طور معناداری بالاتری در بسیاری از طرحواره‌ها، به ویژه طرحواره‌هایی مانند "اطاعت"، "بازداری هیجانی" و "معیارهای سرسختانه" کسب کردند. این یافته، نشان می‌دهد که الگوهای شناختی مرتبط با نادیده گرفتن نیازهای شخصی، دشواری در ابراز هیجان و تلاش وسواس‌گونه برای رسیدن به استانداردها، می‌تواند زیربنای رفتارهای اعتیادگونه باشد.</w:t>
      </w:r>
    </w:p>
    <w:p>
      <w:pPr>
        <w:bidi w:val="1"/>
        <w:spacing w:lineRule="exact" w:line="580" w:after="0"/>
        <w:jc w:val="both"/>
      </w:pPr>
      <w:r>
        <w:rPr>
          <w:rFonts w:ascii="B Nazanin" w:hAnsi="B Nazanin" w:cs="B Nazanin" w:hint="cs"/>
          <w:sz w:val="24"/>
          <w:szCs w:val="24"/>
          <w:rtl/>
          <w:lang w:bidi="fa-IR"/>
        </w:rPr>
        <w:t xml:space="preserve">هالورسن و همکاران</w:t>
      </w:r>
      <w:r>
        <w:rPr>
          <w:rFonts w:ascii="B Nazanin" w:hAnsi="B Nazanin" w:cs="B Nazanin" w:hint="cs"/>
          <w:vertAlign w:val="superscript"/>
          <w:rtl/>
        </w:rPr>
        <w:footnoteReference w:id="104"/>
      </w:r>
      <w:r>
        <w:rPr>
          <w:rFonts w:ascii="B Nazanin" w:hAnsi="B Nazanin" w:cs="B Nazanin" w:hint="cs"/>
          <w:sz w:val="24"/>
          <w:szCs w:val="24"/>
          <w:rtl/>
          <w:lang w:bidi="fa-IR"/>
        </w:rPr>
        <w:t xml:space="preserve"> (۲۰۰۹) در پژوهشی، "ارتباط بین اختلالات شخصیت و طرحواره‌های ناسازگار اولیه" را در نمونه‌ای از مراجعان روانپزشکی سرپایی بررسی کردند. یافته کلیدی این مطالعه، یک همبستگی بسیار قوی و معنادار بین شدت علائم اختلالات شخصیت (که اغلب با سطوح بالای روان‌رنجورخویی و اضطراب همراه‌اند) و نمرات بالا در طرحواره‌های ناسازگار اولیه بود. این یافته، یک شاهد تجربی دیگر است که نشان می‌دهد ویژگی‌های شخصیتی پایدار و ناکارآمد، ارتباط تنگاتنگی با باورهای شناختی منفی دارند و از مسیر اول مدل پژوهش حاضر (اضطراب ← طرحواره) پشتیبانی می‌کند.</w:t>
      </w:r>
    </w:p>
    <w:p>
      <w:pPr>
        <w:bidi w:val="1"/>
        <w:spacing w:lineRule="exact" w:line="580" w:after="0"/>
        <w:jc w:val="both"/>
      </w:pPr>
      <w:r>
        <w:rPr>
          <w:rFonts w:ascii="B Nazanin" w:hAnsi="B Nazanin" w:cs="B Nazanin" w:hint="cs"/>
          <w:sz w:val="24"/>
          <w:szCs w:val="24"/>
          <w:rtl/>
          <w:lang w:bidi="fa-IR"/>
        </w:rPr>
        <w:t xml:space="preserve">گوتزمن و کومار (۲۰۰۸) در یک پژوهش تجربی گسترده، "تنوع‌بخشی سبد دارایی سهام" را در میان ده‌ها هزار سرمایه‌گذار خرد بررسی کردند. موضوع دقیق پژوهش آن‌ها، بررسی این بود که آیا سرمایه‌گذاران به صورت منطقی و مطابق با نظریه مدرن سبد دارایی، سبد خود را متنوع می‌کنند یا خیر. یافته کلیدی و شگفت‌انگیز آن‌ها این بود که بسیاری از افراد به طور سیستماتیک، سبدهای بسیار متمرکزی دارند (تنوع‌بخشی ناکافی) و این رفتار با ویژگی‌های جمعیت‌شناختی و روانشناختی آن‌ها (مانند تمایل به سهام‌های آشنا و شبه‌بخت‌آزمایی) مرتبط است. این مطالعه، یکی از ابعاد کلیدی متغیر ملاک پژوهش (رفتارهای مالی پرخطر) را به صورت تجربی تعریف و تأیید می‌کند.</w:t>
      </w:r>
    </w:p>
    <w:p>
      <w:pPr>
        <w:bidi w:val="1"/>
        <w:spacing w:lineRule="exact" w:line="580" w:after="0"/>
        <w:jc w:val="both"/>
      </w:pPr>
      <w:r>
        <w:rPr>
          <w:rFonts w:ascii="B Nazanin" w:hAnsi="B Nazanin" w:cs="B Nazanin" w:hint="cs"/>
          <w:sz w:val="24"/>
          <w:szCs w:val="24"/>
          <w:rtl/>
          <w:lang w:bidi="fa-IR"/>
        </w:rPr>
        <w:t xml:space="preserve">هوانگ و سالمون (۲۰۰۴) در پژوهشی، به بررسی پدیده "استرس بازار و رفتار گله‌ای" پرداختند. موضوع دقیق پژوهش آن‌ها، ارائه یک مدل آماری جدید برای شناسایی دوره‌هایی بود که در آن، حرکات قیمت سهام بیش از حد معمول به یکدیگر شبیه می‌شوند (نشانه‌ای از رفتار گله‌ای). یافته کلیدی این مطالعه این بود که رفتار گله‌ای، یک پدیده واقعی در بازارهای مالی است و شدت آن، به ویژه در دوره‌هایی که بازار با استرس و نوسانات بالا مواجه است، به طور معناداری تشدید می‌شود. این پژوهش، تعریف یکی دیگر از ابعاد متغیر ملاک پژوهش (رفتار گله‌ای) را پشتیبانی می‌کند.</w:t>
      </w:r>
    </w:p>
    <w:p>
      <w:pPr>
        <w:bidi w:val="1"/>
        <w:spacing w:lineRule="exact" w:line="580" w:after="0"/>
        <w:jc w:val="both"/>
      </w:pPr>
      <w:r>
        <w:rPr>
          <w:rFonts w:ascii="B Nazanin" w:hAnsi="B Nazanin" w:cs="B Nazanin" w:hint="cs"/>
          <w:sz w:val="24"/>
          <w:szCs w:val="24"/>
          <w:rtl/>
          <w:lang w:bidi="fa-IR"/>
        </w:rPr>
        <w:t xml:space="preserve">لو و رپین</w:t>
      </w:r>
      <w:r>
        <w:rPr>
          <w:rFonts w:ascii="B Nazanin" w:hAnsi="B Nazanin" w:cs="B Nazanin" w:hint="cs"/>
          <w:vertAlign w:val="superscript"/>
          <w:rtl/>
        </w:rPr>
        <w:footnoteReference w:id="105"/>
      </w:r>
      <w:r>
        <w:rPr>
          <w:rFonts w:ascii="B Nazanin" w:hAnsi="B Nazanin" w:cs="B Nazanin" w:hint="cs"/>
          <w:sz w:val="24"/>
          <w:szCs w:val="24"/>
          <w:rtl/>
          <w:lang w:bidi="fa-IR"/>
        </w:rPr>
        <w:t xml:space="preserve"> (۲۰۰۲)  در یک پژوهش نوآورانه، "روان‌فیزیولوژی پردازش ریسک مالی در لحظه" را بررسی کردند. موضوع دقیق پژوهش آن‌ها، بررسی واکنش‌های سیستم عصبی خودکار (مانند ضربان قلب، فشار خون و رسانایی پوست) در معامله‌گران حرفه‌ای در هنگام انجام معاملات واقعی بود. یافته کلیدی این مطالعه نشان داد که رویدادهای معنادار بازار، واکنش‌های هیجانی قدرتمند و قابل اندازه‌گیری را در معامله‌گران برمی‌انگیزد. جالب‌تر آنکه، معامله‌گران باتجربه‌تر و موفق‌تر، واکنش‌های هیجانی کنترل‌شده‌تری از خود نشان می‌دادند. این پژوهش، یک شاهد عینی و فیزیولوژیک برای نقش محوری تنظیم هیجان در تصمیم‌گیری مالی است.</w:t>
      </w:r>
    </w:p>
    <w:p>
      <w:pPr>
        <w:bidi w:val="1"/>
        <w:spacing w:lineRule="exact" w:line="580" w:after="0"/>
        <w:jc w:val="both"/>
      </w:pPr>
      <w:r>
        <w:rPr>
          <w:rFonts w:ascii="B Nazanin" w:hAnsi="B Nazanin" w:cs="B Nazanin" w:hint="cs"/>
          <w:sz w:val="24"/>
          <w:szCs w:val="24"/>
          <w:rtl/>
          <w:lang w:bidi="fa-IR"/>
        </w:rPr>
        <w:t xml:space="preserve">لوریولا و لوین (۲۰۰۱) در یک مطالعه تجربی، "ارتباط بین ویژگی‌های شخصیتی و تصمیم‌گیری پرریسک" را در یک تکلیف آزمایشگاهی کنترل‌شده بررسی کردند. موضوع دقیق پژوهش آن‌ها، بررسی این بود که چگونه ویژگی‌های مدل پنج عاملی شخصیت، بر انتخاب‌های افراد در موقعیت‌های دارای سود و زیان احتمالی، تأثیر می‌گذارد. یافته کلیدی آن‌ها نشان داد که ویژگی شخصیتی "روان‌رنجورخویی" (که اضطراب صفتی مؤلفه اصلی آن است)، با الگوهای تصمیم‌گیری متناقض مرتبط است: این افراد در موقعیت‌های سودآور، ریسک‌گریز بودند، اما در موقعیت‌های زیان‌ده، رفتارهای ریسکی بیشتری از خود نشان می‌دادند.</w:t>
      </w:r>
    </w:p>
    <w:p>
      <w:pPr>
        <w:bidi w:val="1"/>
        <w:spacing w:lineRule="exact" w:line="580" w:after="0"/>
        <w:jc w:val="both"/>
      </w:pPr>
      <w:r>
        <w:rPr>
          <w:rFonts w:ascii="B Nazanin" w:hAnsi="B Nazanin" w:cs="B Nazanin" w:hint="cs"/>
          <w:sz w:val="24"/>
          <w:szCs w:val="24"/>
          <w:rtl/>
          <w:lang w:bidi="fa-IR"/>
        </w:rPr>
        <w:t xml:space="preserve">باربر و اودین (۲۰۰۰) در مقاله کلاسیک خود با عنوان "معامله‌گری برای ثروت شما خطرناک است"، به بررسی عملکرد سرمایه‌گذاری معامله‌گران فردی پرداختند. موضوع دقیق پژوهش آن‌ها، تحلیل داده‌های واقعی حساب‌های معاملاتی بیش از ۶۶ هزار خانوار بود تا مشخص شود آیا معاملات مکرر، منجر به سود بیشتر می‌شود یا خیر. یافته کلیدی و قاطع آن‌ها این بود که سرمایه‌گذارانی که بیشترین حجم معاملات را دارند، به دلیل سوگیری "بیش‌اطمینانی"، به طور متوسط کمترین بازده را کسب می‌کنند. این پژوهش، تعریف بعد "معامله‌گری بیش از حد" را به عنوان یک رفتار مالی پرخطر، به صورت تجربی تثبیت کرد.</w:t>
      </w:r>
    </w:p>
    <w:p>
      <w:pPr>
        <w:bidi w:val="1"/>
        <w:spacing w:lineRule="exact" w:line="580" w:after="0"/>
        <w:jc w:val="both"/>
      </w:pPr>
      <w:r>
        <w:rPr>
          <w:rFonts w:ascii="B Nazanin" w:hAnsi="B Nazanin" w:cs="B Nazanin" w:hint="cs"/>
          <w:sz w:val="24"/>
          <w:szCs w:val="24"/>
          <w:rtl/>
          <w:lang w:bidi="fa-IR"/>
        </w:rPr>
        <w:t xml:space="preserve">شفرین و استاتمن (۱۹۸۵) در یک مقاله نظری بنیادین، برای اولین بار پدیده "اثر گرایش" را معرفی کردند. موضوع دقیق پژوهش آن‌ها، ارائه یک تبیین روانشناختی برای این رفتار به ظاهر غیرمنطقی بود که چرا سرمایه‌گذاران تمایل دارند سهام سودده خود را خیلی زود فروخته ("فروش برندگان") و سهام زیان‌ده را برای مدتی طولانی نگه دارند ("سوار شدن بر بازندگان"). یافته کلیدی آن‌ها این بود که این رفتار، ریشه در مفاهیم "نظریه چشم‌انداز" (به ویژه زیان‌گریزی) و همچنین "اجتناب از حسرت" دارد. این مقاله، تعریف یکی از مهم‌ترین ابعاد متغیر ملاک پژوهش را پایه‌گذاری کرد.</w:t>
      </w:r>
    </w:p>
    <w:p>
      <w:pPr>
        <w:pStyle w:val="Heading3"/>
        <w:bidi w:val="1"/>
        <w:jc w:val="right"/>
      </w:pPr>
      <w:r>
        <w:rPr>
          <w:rFonts w:ascii="B Nazanin" w:hAnsi="B Nazanin" w:cs="B Nazanin" w:hint="cs"/>
          <w:b/>
          <w:bCs/>
          <w:sz w:val="26"/>
          <w:szCs w:val="26"/>
          <w:rtl/>
          <w:lang w:bidi="fa-IR"/>
        </w:rPr>
        <w:t xml:space="preserve">۲-۳-۳ جمع‌بندی پیشینه و شکاف پژوهشی</w:t>
      </w:r>
    </w:p>
    <w:p>
      <w:pPr>
        <w:bidi w:val="1"/>
        <w:spacing w:lineRule="exact" w:line="580" w:after="0"/>
        <w:jc w:val="both"/>
      </w:pPr>
      <w:r>
        <w:rPr>
          <w:rFonts w:ascii="B Nazanin" w:hAnsi="B Nazanin" w:cs="B Nazanin" w:hint="cs"/>
          <w:sz w:val="24"/>
          <w:szCs w:val="24"/>
          <w:rtl/>
          <w:lang w:bidi="fa-IR"/>
        </w:rPr>
        <w:t xml:space="preserve">مرور پیشینه داخلی و خارجی این فصل یک تصویر کلی روشن دارد: ادبیات موجود، دو رشته شاهد تجربی نسبتاً منسجم را فراهم آورده است. در رشته نخست، شواهدی از پیوند میان متغیرهای مرتبط با اضطراب و پیامدهای مالی گزارش شده است: در بافت داخلی، روان‌رنجورخویی با الگوهای رفتار معاملاتی سرمایه‌گذاران بورس تهران رابطه معنادار داشته (ستایش و همکاران، ۱۳۹۹) و ویژگی‌های فردی و سطح ریسک‌پذیری، بروز رفتار توده‌وار را پیش‌بینی کرده‌اند (بهدیو و همکاران، ۱۳۹۸)؛ در بافت خارجی نیز نقش اضطراب در تصمیم‌های مالی (چارلز و کاسیلینگام، ۲۰۲۲) و تأثیر اضطراب مالی بر کاهش نگهداری دارایی‌های پرریسک (آن و همکاران، ۲۰۲۱) تأیید شده و عوامل اضطرابی، هم فرایند تصمیم‌گیری و هم ظرفیت تحمل ریسک را مختل ساخته‌اند (سافیتری و همکاران</w:t>
      </w:r>
      <w:r>
        <w:rPr>
          <w:rFonts w:ascii="B Nazanin" w:hAnsi="B Nazanin" w:cs="B Nazanin" w:hint="cs"/>
          <w:vertAlign w:val="superscript"/>
          <w:rtl/>
        </w:rPr>
        <w:footnoteReference w:id="106"/>
      </w:r>
      <w:r>
        <w:rPr>
          <w:rFonts w:ascii="B Nazanin" w:hAnsi="B Nazanin" w:cs="B Nazanin" w:hint="cs"/>
          <w:sz w:val="24"/>
          <w:szCs w:val="24"/>
          <w:rtl/>
          <w:lang w:bidi="fa-IR"/>
        </w:rPr>
        <w:t xml:space="preserve">، ۲۰۲۵). در رشته دوم، طرحواره‌های ناسازگار اولیه با رفتارهای تکانشی و اعتیادگونه مرتبط بوده‌اند؛ به‌گونه‌ای که حوزه‌های محدودیت‌های مختل و بریدگی و طرد، گرایش به اعتیاد را پیش‌بینی کرده‌اند (امیدی و همکاران، ۱۳۹۲)، شدت این طرحواره‌ها در قماربازان آسیب‌شناختی بیشتر بوده است (لیندبرگ و همکاران، ۲۰۱۱) و مرور نظام‌مند شواهد نیز پیوند آن‌ها را با اعتیادهای رفتاری تأیید کرده است (ویرا و همکاران، ۲۰۲۳).</w:t>
      </w:r>
    </w:p>
    <w:p>
      <w:pPr>
        <w:bidi w:val="1"/>
        <w:spacing w:lineRule="exact" w:line="580" w:after="0"/>
        <w:jc w:val="both"/>
      </w:pPr>
      <w:r>
        <w:rPr>
          <w:rFonts w:ascii="B Nazanin" w:hAnsi="B Nazanin" w:cs="B Nazanin" w:hint="cs"/>
          <w:sz w:val="24"/>
          <w:szCs w:val="24"/>
          <w:rtl/>
          <w:lang w:bidi="fa-IR"/>
        </w:rPr>
        <w:t xml:space="preserve">با وجود این شواهد، ادبیات موجود از چند ناهمسانی و محدودیت مهم رنج می‌برد. نخست، جهت رابطه اضطراب با رفتار پرخطر یکسان نیست: در مقابل شواهد ریسک‌گریزی، مانند کاهش سهم دارایی‌های پرریسک در افراد مضطرب (آن و همکاران، ۲۰۲۱)، شواهدی نیز از واکنش‌های پرخطر گزارش شده است؛ از جمله معامله‌گری برای فرار از پریشانی هیجانی که از مؤلفه‌های اختلال معامله‌گری شناسایی شده است (گرال-برونک و همکاران، ۲۰۲۵). دوم، بخش قابل‌توجهی از مطالعات به‌جای معامله‌گران واقعی، بر نمونه‌های دانشجویی (نوری و هاشمیان، ۱۳۹۶؛ امیدی و همکاران، ۱۳۹۲؛ اولولو و همکاران</w:t>
      </w:r>
      <w:r>
        <w:rPr>
          <w:rFonts w:ascii="B Nazanin" w:hAnsi="B Nazanin" w:cs="B Nazanin" w:hint="cs"/>
          <w:vertAlign w:val="superscript"/>
          <w:rtl/>
        </w:rPr>
        <w:footnoteReference w:id="107"/>
      </w:r>
      <w:r>
        <w:rPr>
          <w:rFonts w:ascii="B Nazanin" w:hAnsi="B Nazanin" w:cs="B Nazanin" w:hint="cs"/>
          <w:sz w:val="24"/>
          <w:szCs w:val="24"/>
          <w:rtl/>
          <w:lang w:bidi="fa-IR"/>
        </w:rPr>
        <w:t xml:space="preserve">، ۲۰۲۴)، سرمایه‌گذاران عمومی یا نمونه‌های بالینی (هالورسن و همکاران، ۲۰۰۹؛ لیندبرگ و همکاران، ۲۰۱۱) متکی بوده‌اند و پژوهش‌های انجام‌شده بر معامله‌گران حرفه‌ای معدودند (فنتون-اکریوی و همکاران، ۲۰۱۲؛ لو و رپین، ۲۰۰۲). سوم، مدل‌های میانجی به‌ندرت آزمون شده‌اند؛ تنها در یک مطالعه، تحمل ریسک به‌عنوان میانجی میان عوامل اجتماعی-روانی و تصمیم‌گیری سرمایه‌گذاری بررسی شده است (سافیتری و همکاران، ۲۰۲۵) و جای خالی مدل‌هایی که مکانیسم شناختی عمیق‌تری را آزمون کنند، احساس می‌شود.</w:t>
      </w:r>
    </w:p>
    <w:p>
      <w:pPr>
        <w:bidi w:val="1"/>
        <w:spacing w:lineRule="exact" w:line="580" w:after="0"/>
        <w:jc w:val="both"/>
      </w:pPr>
      <w:r>
        <w:rPr>
          <w:rFonts w:ascii="B Nazanin" w:hAnsi="B Nazanin" w:cs="B Nazanin" w:hint="cs"/>
          <w:sz w:val="24"/>
          <w:szCs w:val="24"/>
          <w:rtl/>
          <w:lang w:bidi="fa-IR"/>
        </w:rPr>
        <w:t xml:space="preserve">برآیند این بررسی، شکاف پژوهشی  مشخصی را نمایان می‌سازد: بر اساس مرور انجام‌شده، پژوهشی که در آن رابطه اضطراب صفتی با رفتارهای مالی پرخطر از مسیر میانجی‌گری طرحواره‌های ناسازگار اولیه و در جامعه معامله‌گران ایرانی به‌طور هم‌زمان آزمون شده باشد، یافت نشد. پژوهش حاضر در پی پر کردن این شکاف است؛ به این صورت که سه متغیر اصلی را در یک مدل میانجی یکپارچه و بر روی نمونه‌ای از معامله‌گران بازارهای مالی می‌آزماید و از این رهگذر، هم به ابهام موجود درباره جهت رابطه اضطراب و ریسک‌پذیری پاسخ می‌دهد و هم مکانیسم شناختی تبدیل تنش هیجانی به رفتار مالی پرخطر را تبیین می‌کند. از سوی دیگر، تمرکز بر سازوکار میانجی امکان طراحی مداخله‌های هدفمندتر را فراهم می‌آورد؛ زیرا نقطه اثرگذاری بالینی را از مدیریت صرف اضطراب به سطح باورهای بنیادین منتقل می‌سازد. بر این اساس، نتایج این آزمون، مبنای بحث درباره تعمیم‌پذیری یافته‌ها و کاربردهای بالینی آن‌ها در فصل‌های آتی قرار خواهد گرفت.</w:t>
      </w:r>
    </w:p>
    <w:p>
      <w:pPr>
        <w:pStyle w:val="Heading2"/>
        <w:bidi w:val="1"/>
        <w:jc w:val="right"/>
      </w:pPr>
      <w:r>
        <w:rPr>
          <w:rFonts w:ascii="B Nazanin" w:hAnsi="B Nazanin" w:cs="B Nazanin" w:hint="cs"/>
          <w:b/>
          <w:bCs/>
          <w:sz w:val="28"/>
          <w:szCs w:val="28"/>
          <w:rtl/>
          <w:lang w:bidi="fa-IR"/>
        </w:rPr>
        <w:t xml:space="preserve">۲-۴ مدل مفهومی و چارچوب نهایی پژوهش</w:t>
      </w:r>
    </w:p>
    <w:p>
      <w:pPr>
        <w:bidi w:val="1"/>
        <w:spacing w:lineRule="exact" w:line="580" w:after="0"/>
        <w:jc w:val="both"/>
      </w:pPr>
      <w:r>
        <w:rPr>
          <w:rFonts w:ascii="B Nazanin" w:hAnsi="B Nazanin" w:cs="B Nazanin" w:hint="cs"/>
          <w:sz w:val="24"/>
          <w:szCs w:val="24"/>
          <w:rtl/>
          <w:lang w:bidi="fa-IR"/>
        </w:rPr>
        <w:t xml:space="preserve">بر پایه مبانی نظری و پیشینه پژوهشی مرورشده در این فصل، مدل مفهومی پژوهش حاضر از سه متغیر اصلی تشکیل شده است که جایگاه هر یک در ساختار مدل و ابزار سنجش آن به‌طور مشخص تعریف می‌شود. اضطراب صفتی به‌عنوان متغیر مستقل، نقطه آغاز مدل است و با فرم اضطراب صفتی پرسشنامه اضطراب حالت-صفت اسپیلبرگر سنجیده می‌شود. طرحواره‌های ناسازگار اولیه به‌عنوان متغیر میانجی، مکانیسم انتقال اثر اضطراب به رفتار مالی را بازنمایی می‌کنند و با پرسشنامه طرحواره یانگ — فرم کوتاه ارزیابی می‌گردند. رفتارهای مالی پرخطر نیز به‌عنوان متغیر وابسته، در قالب سازه تحمل ریسک مالی و با مقیاس سیزده‌سؤالی گرابل و لایتون اندازه‌گیری می‌شود؛ به‌گونه‌ای که نمرات بالاتر، نشان‌دهنده تمایل بیشتر به پذیرش ریسک و در نتیجه بروز بیشتر رفتارهای مالی پرخطر است. انتخاب این سه سازه و ابزارهای سنجش آن‌ها، برآیند مستقیم تحلیل نظری فصل حاضر است و در عین حال با تعاریف عملیاتی مندرج در فصل اول پایان‌نامه هم‌خوانی کامل دارد.</w:t>
      </w:r>
    </w:p>
    <w:tbl>
      <w:tblPr>
        <w:tblStyle w:val="TableGrid"/>
        <w:tblW w:type="auto" w:w="0"/>
        <w:tblLook w:firstColumn="1" w:firstRow="1" w:lastColumn="0" w:lastRow="0" w:noHBand="0" w:noVBand="1" w:val="04A0"/>
        <w:bidiVisual/>
      </w:tblPr>
      <w:tblGrid>
        <w:gridCol w:w="2740"/>
        <w:gridCol w:w="2740"/>
        <w:gridCol w:w="2740"/>
      </w:tblGrid>
      <w:tr>
        <w:tc>
          <w:tcPr>
            <w:tcW w:type="dxa" w:w="2740"/>
          </w:tcPr>
          <w:p>
            <w:pPr>
              <w:bidi w:val="1"/>
              <w:jc w:val="center"/>
            </w:pPr>
            <w:r/>
            <w:r>
              <w:rPr>
                <w:rFonts w:ascii="B Nazanin" w:hAnsi="B Nazanin" w:cs="B Nazanin" w:hint="cs"/>
                <w:b/>
                <w:bCs/>
                <w:sz w:val="22"/>
                <w:szCs w:val="22"/>
                <w:rtl/>
                <w:lang w:bidi="fa-IR"/>
              </w:rPr>
              <w:t xml:space="preserve">اضطراب صفتی (متغیر مستقل)</w:t>
            </w:r>
          </w:p>
        </w:tc>
        <w:tc>
          <w:tcPr>
            <w:tcW w:type="dxa" w:w="2740"/>
          </w:tcPr>
          <w:p>
            <w:pPr>
              <w:bidi w:val="1"/>
              <w:jc w:val="center"/>
            </w:pPr>
            <w:r/>
            <w:r>
              <w:rPr>
                <w:rFonts w:ascii="B Nazanin" w:hAnsi="B Nazanin" w:cs="B Nazanin" w:hint="cs"/>
                <w:b/>
                <w:bCs/>
                <w:sz w:val="22"/>
                <w:szCs w:val="22"/>
                <w:rtl/>
                <w:lang w:bidi="fa-IR"/>
              </w:rPr>
              <w:t xml:space="preserve">طرحواره‌های ناسازگار اولیه (متغیر میانجی)</w:t>
            </w:r>
          </w:p>
        </w:tc>
        <w:tc>
          <w:tcPr>
            <w:tcW w:type="dxa" w:w="2740"/>
          </w:tcPr>
          <w:p>
            <w:pPr>
              <w:bidi w:val="1"/>
              <w:jc w:val="center"/>
            </w:pPr>
            <w:r/>
            <w:r>
              <w:rPr>
                <w:rFonts w:ascii="B Nazanin" w:hAnsi="B Nazanin" w:cs="B Nazanin" w:hint="cs"/>
                <w:b/>
                <w:bCs/>
                <w:sz w:val="22"/>
                <w:szCs w:val="22"/>
                <w:rtl/>
                <w:lang w:bidi="fa-IR"/>
              </w:rPr>
              <w:t xml:space="preserve">رفتارهای مالی پرخطر (متغیر وابسته)</w:t>
            </w:r>
          </w:p>
        </w:tc>
      </w:tr>
      <w:tr>
        <w:tc>
          <w:tcPr>
            <w:tcW w:type="dxa" w:w="2740"/>
          </w:tcPr>
          <w:p>
            <w:pPr>
              <w:bidi w:val="1"/>
              <w:jc w:val="center"/>
            </w:pPr>
            <w:r/>
            <w:r>
              <w:rPr>
                <w:rFonts w:ascii="B Nazanin" w:hAnsi="B Nazanin" w:cs="B Nazanin" w:hint="cs"/>
                <w:sz w:val="22"/>
                <w:szCs w:val="22"/>
                <w:rtl/>
                <w:lang w:bidi="fa-IR"/>
              </w:rPr>
              <w:t xml:space="preserve">مسیر</w:t>
            </w:r>
            <w:r>
              <w:rPr>
                <w:rFonts w:ascii="Times New Roman" w:hAnsi="Times New Roman" w:cs="Times New Roman"/>
                <w:sz w:val="20"/>
                <w:szCs w:val="20"/>
                <w:lang w:val="en-US"/>
              </w:rPr>
              <w:t xml:space="preserve"> a</w:t>
            </w:r>
          </w:p>
        </w:tc>
        <w:tc>
          <w:tcPr>
            <w:tcW w:type="dxa" w:w="2740"/>
          </w:tcPr>
          <w:p>
            <w:pPr>
              <w:bidi w:val="1"/>
              <w:jc w:val="center"/>
            </w:pPr>
            <w:r/>
            <w:r>
              <w:rPr>
                <w:rFonts w:ascii="B Nazanin" w:hAnsi="B Nazanin" w:cs="B Nazanin" w:hint="cs"/>
                <w:sz w:val="22"/>
                <w:szCs w:val="22"/>
                <w:rtl/>
                <w:lang w:bidi="fa-IR"/>
              </w:rPr>
              <w:t xml:space="preserve">مسیر غیرمستقیم</w:t>
            </w:r>
            <w:r>
              <w:rPr>
                <w:rFonts w:ascii="Times New Roman" w:hAnsi="Times New Roman" w:cs="Times New Roman"/>
                <w:sz w:val="20"/>
                <w:szCs w:val="20"/>
                <w:lang w:val="en-US"/>
              </w:rPr>
              <w:t xml:space="preserve"> (a×b)</w:t>
            </w:r>
          </w:p>
        </w:tc>
        <w:tc>
          <w:tcPr>
            <w:tcW w:type="dxa" w:w="2740"/>
          </w:tcPr>
          <w:p>
            <w:pPr>
              <w:bidi w:val="1"/>
              <w:jc w:val="center"/>
            </w:pPr>
            <w:r/>
            <w:r>
              <w:rPr>
                <w:rFonts w:ascii="B Nazanin" w:hAnsi="B Nazanin" w:cs="B Nazanin" w:hint="cs"/>
                <w:sz w:val="22"/>
                <w:szCs w:val="22"/>
                <w:rtl/>
                <w:lang w:bidi="fa-IR"/>
              </w:rPr>
              <w:t xml:space="preserve">مسیر</w:t>
            </w:r>
            <w:r>
              <w:rPr>
                <w:rFonts w:ascii="Times New Roman" w:hAnsi="Times New Roman" w:cs="Times New Roman"/>
                <w:sz w:val="20"/>
                <w:szCs w:val="20"/>
                <w:lang w:val="en-US"/>
              </w:rPr>
              <w:t xml:space="preserve"> b</w:t>
            </w:r>
          </w:p>
        </w:tc>
      </w:tr>
    </w:tbl>
    <w:p>
      <w:pPr>
        <w:bidi w:val="1"/>
        <w:spacing w:lineRule="exact" w:line="580" w:before="60" w:after="120"/>
        <w:jc w:val="center"/>
      </w:pPr>
      <w:r>
        <w:rPr>
          <w:rFonts w:ascii="B Nazanin" w:hAnsi="B Nazanin" w:cs="B Nazanin" w:hint="cs"/>
          <w:b/>
          <w:bCs/>
          <w:sz w:val="24"/>
          <w:szCs w:val="24"/>
          <w:rtl/>
          <w:lang w:bidi="fa-IR"/>
        </w:rPr>
        <w:t xml:space="preserve">شکل ۲-۱. مدل مفهومی پژوهش</w:t>
      </w:r>
    </w:p>
    <w:p>
      <w:pPr>
        <w:bidi w:val="1"/>
        <w:spacing w:lineRule="exact" w:line="580" w:after="0"/>
        <w:jc w:val="both"/>
      </w:pPr>
      <w:r>
        <w:rPr>
          <w:rFonts w:ascii="B Nazanin" w:hAnsi="B Nazanin" w:cs="B Nazanin" w:hint="cs"/>
          <w:sz w:val="24"/>
          <w:szCs w:val="24"/>
          <w:rtl/>
          <w:lang w:bidi="fa-IR"/>
        </w:rPr>
        <w:t xml:space="preserve">مسیرهای این مدل به شرح زیر تعریف می‌شوند:</w:t>
      </w:r>
    </w:p>
    <w:p>
      <w:pPr>
        <w:bidi w:val="1"/>
        <w:spacing w:lineRule="exact" w:line="580" w:after="0"/>
        <w:ind w:right="425"/>
        <w:jc w:val="both"/>
      </w:pPr>
      <w:r>
        <w:rPr>
          <w:rFonts w:ascii="B Nazanin" w:hAnsi="B Nazanin" w:cs="B Nazanin" w:hint="cs"/>
          <w:sz w:val="24"/>
          <w:szCs w:val="24"/>
          <w:rtl/>
          <w:lang w:bidi="fa-IR"/>
        </w:rPr>
        <w:t xml:space="preserve">• مسیر مستقیم: اضطراب صفتی ← رفتارهای مالی پرخطر</w:t>
      </w:r>
    </w:p>
    <w:p>
      <w:pPr>
        <w:bidi w:val="1"/>
        <w:spacing w:lineRule="exact" w:line="580" w:after="0"/>
        <w:ind w:right="425"/>
        <w:jc w:val="both"/>
      </w:pPr>
      <w:r>
        <w:rPr>
          <w:rFonts w:ascii="B Nazanin" w:hAnsi="B Nazanin" w:cs="B Nazanin" w:hint="cs"/>
          <w:sz w:val="24"/>
          <w:szCs w:val="24"/>
          <w:rtl/>
          <w:lang w:bidi="fa-IR"/>
        </w:rPr>
        <w:t xml:space="preserve">• 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اضطراب صفتی ← طرحواره‌های ناسازگار اولیه</w:t>
      </w:r>
    </w:p>
    <w:p>
      <w:pPr>
        <w:bidi w:val="1"/>
        <w:spacing w:lineRule="exact" w:line="580" w:after="0"/>
        <w:ind w:right="425"/>
        <w:jc w:val="both"/>
      </w:pPr>
      <w:r>
        <w:rPr>
          <w:rFonts w:ascii="B Nazanin" w:hAnsi="B Nazanin" w:cs="B Nazanin" w:hint="cs"/>
          <w:sz w:val="24"/>
          <w:szCs w:val="24"/>
          <w:rtl/>
          <w:lang w:bidi="fa-IR"/>
        </w:rPr>
        <w:t xml:space="preserve">•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طرحواره‌های ناسازگار اولیه ← رفتارهای مالی پرخطر</w:t>
      </w:r>
    </w:p>
    <w:p>
      <w:pPr>
        <w:bidi w:val="1"/>
        <w:spacing w:lineRule="exact" w:line="580" w:after="0"/>
        <w:ind w:right="425"/>
        <w:jc w:val="both"/>
      </w:pPr>
      <w:r>
        <w:rPr>
          <w:rFonts w:ascii="B Nazanin" w:hAnsi="B Nazanin" w:cs="B Nazanin" w:hint="cs"/>
          <w:sz w:val="24"/>
          <w:szCs w:val="24"/>
          <w:rtl/>
          <w:lang w:bidi="fa-IR"/>
        </w:rPr>
        <w:t xml:space="preserve">• مسیر غیرمستقیم</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اثر میانجی طرحواره‌ها در انتقال اثر اضطراب صفتی به رفتارهای مالی پرخطر</w:t>
      </w:r>
    </w:p>
    <w:p>
      <w:pPr>
        <w:bidi w:val="1"/>
        <w:spacing w:lineRule="exact" w:line="580" w:after="0"/>
        <w:jc w:val="both"/>
      </w:pPr>
      <w:r>
        <w:rPr>
          <w:rFonts w:ascii="B Nazanin" w:hAnsi="B Nazanin" w:cs="B Nazanin" w:hint="cs"/>
          <w:sz w:val="24"/>
          <w:szCs w:val="24"/>
          <w:rtl/>
          <w:lang w:bidi="fa-IR"/>
        </w:rPr>
        <w:t xml:space="preserve">فرضیه‌های پژوهش دقیقاً بر همین ساختار مسیرها استوارند و هر فرضیه به مسیر متناظر خود در مدل ارجاع می‌شود. بر این اساس، فرضیه فرعی دوم مقرر می‌دارد که «بین اضطراب صفتی و رفتارهای مالی پرخطر، رابطه مثبت و معناداری وجود دارد» و ناظر به مسیر مستقیم مدل است. فرضیه فرعی سوم بیان می‌کند که «بین اضطراب صفتی و طرحواره‌های ناسازگار اولیه، رابطه مثبت و معناداری وجود دارد» و 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را آزمون می‌کند. فرضیه فرعی چهارم نیز مقرر می‌دارد که «بین طرحواره‌های ناسازگار اولیه و رفتارهای مالی پرخطر، رابطه مثبت و معناداری وجود دارد» و با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متناظر است. در نهایت، فرضیه اصلی پژوهش تصریح می‌کند که «طرحواره‌های ناسازگار اولیه در رابطه بین اضطراب صفتی و رفتارهای مالی پرخطر، نقش میانجی‌گر معناداری دارند»؛ این فرضیه به‌طور مشخص بر معناداری مسیر غیرمستقیم</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دلالت دارد و آزمون آن، هسته تحلیلی پژوهش حاضر را تشکیل می‌دهد.</w:t>
      </w:r>
    </w:p>
    <w:p>
      <w:pPr>
        <w:bidi w:val="1"/>
        <w:spacing w:lineRule="exact" w:line="580" w:after="0"/>
        <w:jc w:val="both"/>
      </w:pPr>
      <w:r>
        <w:rPr>
          <w:rFonts w:ascii="B Nazanin" w:hAnsi="B Nazanin" w:cs="B Nazanin" w:hint="cs"/>
          <w:sz w:val="24"/>
          <w:szCs w:val="24"/>
          <w:rtl/>
          <w:lang w:bidi="fa-IR"/>
        </w:rPr>
        <w:t xml:space="preserve">مهم‌ترین ویژگی این مدل مفهومی، یکپارچه‌سازی سه سطح تحلیل در یک چارچوب واحد است. این سه سطح عبارت‌اند از سطح هیجانی با سازه اضطراب صفتی، سطح شناختی عمیق با سازه طرحواره‌های ناسازگار اولیه، و سطح رفتار عینی با سازه رفتارهای مالی پرخطر. این یکپارچگی امکان آن را فراهم می‌آورد که پژوهش حاضر از توصیف صرف روابط دوجانبه فراتر رفته و به پرسش مکانیسمی پاسخ دهد؛ پرسشی که می‌پرسد اضطراب از چه مسیری به رفتار مالی پرخطر تبدیل می‌شود. در عین حال، این مدل با تکیه بر ابزارهای استاندارد و اعتباریابی‌شده، امکان آزمون کمّی دقیق فرضیه‌ها را در چارچوب روش‌های تحلیل چندمتغیری فراهم می‌سازد و چارچوبی روشن برای تفسیر یافته‌ها در فصل‌های بعدی ارائه می‌دهد. شایان ذکر است که ساختار تک‌میانجی این مدل، سادگی تحلیلی لازم برای آزمون در حجم نمونه پیش‌بینی‌شده را حفظ می‌کند و در صورت تأیید، می‌تواند در پژوهش‌های آتی با افزودن میانجی‌ها یا متغیرهای تعدیل‌گر بیشتر گسترش یابد.</w:t>
      </w:r>
    </w:p>
    <w:p>
      <w:pPr>
        <w:bidi w:val="1"/>
        <w:spacing w:lineRule="exact" w:line="580" w:after="0"/>
        <w:jc w:val="both"/>
      </w:pPr>
      <w:r>
        <w:rPr>
          <w:rFonts w:ascii="B Nazanin" w:hAnsi="B Nazanin" w:cs="B Nazanin" w:hint="cs"/>
          <w:sz w:val="24"/>
          <w:szCs w:val="24"/>
          <w:rtl/>
          <w:lang w:bidi="fa-IR"/>
        </w:rPr>
        <w:t xml:space="preserve">با تکمیل مبانی نظری، پیشینه پژوهشی و مدل مفهومی در این فصل، زمینه ورود به مرحله عملیاتی پژوهش فراهم می‌شود. در فصل سوم، روش پژوهش شامل طرح مطالعه، جامعه و نمونه، ابزارهای اندازه‌گیری و روش تحلیل داده‌ها برای آزمون فرضیه‌های مدل مفهومی به تفصیل ارائه خواهد شد. تا چارچوب مفهومی این فصل به برنامه‌ای اجرایی و قابل آزمون تبدیل شود.</w:t>
      </w:r>
    </w:p>
    <w:p>
      <w:pPr>
        <w:sectPr>
          <w:footerReference w:type="default" r:id="rId14"/>
          <w:footerReference w:type="first" r:id="rId15"/>
          <w:footnotePr>
            <w:numFmt w:val="hindi"/>
            <w:numRestart w:val="eachPage"/>
          </w:footnotePr>
          <w:pgSz w:w="11906" w:h="16838"/>
          <w:pgMar w:top="1701" w:right="2268" w:bottom="1417" w:left="1417" w:header="720" w:footer="567" w:gutter="0"/>
          <w:pgNumType w:numFmt="hindi"/>
          <w:cols w:space="720"/>
          <w:titlePg/>
          <w:bidi/>
          <w:docGrid w:linePitch="360"/>
        </w:sectPr>
      </w:pPr>
    </w:p>
    <w:p>
      <w:pPr>
        <w:bidi w:val="1"/>
        <w:spacing w:lineRule="exact" w:line="580" w:before="480" w:after="180"/>
        <w:jc w:val="center"/>
        <w:outlineLvl w:val="0"/>
      </w:pPr>
      <w:r>
        <w:rPr>
          <w:rFonts w:ascii="B Nazanin" w:hAnsi="B Nazanin" w:cs="B Nazanin" w:hint="cs"/>
          <w:b/>
          <w:bCs/>
          <w:sz w:val="56"/>
          <w:szCs w:val="56"/>
          <w:rtl/>
          <w:lang w:bidi="fa-IR"/>
        </w:rPr>
        <w:t xml:space="preserve">فصل سوم</w:t>
      </w:r>
    </w:p>
    <w:p>
      <w:pPr>
        <w:bidi w:val="1"/>
        <w:spacing w:lineRule="exact" w:line="580" w:before="120" w:after="480"/>
        <w:jc w:val="center"/>
      </w:pPr>
      <w:r>
        <w:rPr>
          <w:rFonts w:ascii="B Nazanin" w:hAnsi="B Nazanin" w:cs="B Nazanin" w:hint="cs"/>
          <w:b/>
          <w:bCs/>
          <w:sz w:val="52"/>
          <w:szCs w:val="52"/>
          <w:rtl/>
          <w:lang w:bidi="fa-IR"/>
        </w:rPr>
        <w:t xml:space="preserve">روش‌شناسی پژوهش</w:t>
      </w:r>
    </w:p>
    <w:p>
      <w:pPr>
        <w:pStyle w:val="Heading2"/>
        <w:bidi w:val="1"/>
        <w:jc w:val="right"/>
      </w:pPr>
      <w:r>
        <w:rPr>
          <w:rFonts w:ascii="B Nazanin" w:hAnsi="B Nazanin" w:cs="B Nazanin" w:hint="cs"/>
          <w:b/>
          <w:bCs/>
          <w:sz w:val="28"/>
          <w:szCs w:val="28"/>
          <w:rtl/>
          <w:lang w:bidi="fa-IR"/>
        </w:rPr>
        <w:t xml:space="preserve">۳-۱. مقدمه</w:t>
      </w:r>
    </w:p>
    <w:p>
      <w:pPr>
        <w:bidi w:val="1"/>
        <w:spacing w:lineRule="exact" w:line="580" w:after="0"/>
        <w:jc w:val="both"/>
      </w:pPr>
      <w:r>
        <w:rPr>
          <w:rFonts w:ascii="B Nazanin" w:hAnsi="B Nazanin" w:cs="B Nazanin" w:hint="cs"/>
          <w:sz w:val="24"/>
          <w:szCs w:val="24"/>
          <w:rtl/>
          <w:lang w:bidi="fa-IR"/>
        </w:rPr>
        <w:t xml:space="preserve">فصل سوم به تشریح دقیق روش پژوهش اختصاص دارد؛ روشی که برای آزمون فرضیه‌های پژوهش تدوین شده و در همه مراحل اجرا مبنای عمل خواهد بود. در پژوهش‌های همبستگی، به‌ویژه هنگامی که داده‌ها در بافت طبیعی و بدون کنترل آزمایشگاهی گردآوری می‌شوند، شفافیت روش‌شناختی اهمیت مضاعفی می‌یابد؛ زیرا اعتبار نتیجه‌گیری‌ها بیش از آنکه به حجم داده‌ها وابسته باشد، به وضوح و از پیش تعیین‌شدگی مسیر گردآوری و تحلیل آن‌ها وابسته است. بر این اساس، در این فصل نخست طرح پژوهش (بخش ۳-۲) معرفی می‌شود و پس از آن، جامعه آماری، نمونه و روش نمونه‌گیری (بخش ۳-۳) و ابزارهای اندازه‌گیری (بخش ۳-۴) ارائه خواهند شد. ادامه فصل نیز به روش اجرای پژوهش (بخش ۳-۵)، روش تحلیل داده‌ها (بخش ۳-۶) و ملاحظات اخلاقی (بخش ۳-۷) اختصاص دارد. آنچه در ادامه این بخش از فصل می‌آید، چهار بخش نخست را در بر می‌گیرد و بخش‌های بعدی در ادامه تدوین فصل تکمیل خواهند شد.</w:t>
      </w:r>
    </w:p>
    <w:p>
      <w:pPr>
        <w:pStyle w:val="Heading2"/>
        <w:bidi w:val="1"/>
        <w:jc w:val="right"/>
      </w:pPr>
      <w:r>
        <w:rPr>
          <w:rFonts w:ascii="B Nazanin" w:hAnsi="B Nazanin" w:cs="B Nazanin" w:hint="cs"/>
          <w:b/>
          <w:bCs/>
          <w:sz w:val="28"/>
          <w:szCs w:val="28"/>
          <w:rtl/>
          <w:lang w:bidi="fa-IR"/>
        </w:rPr>
        <w:t xml:space="preserve">۳-۲. طرح پژوهش</w:t>
      </w:r>
    </w:p>
    <w:p>
      <w:pPr>
        <w:bidi w:val="1"/>
        <w:spacing w:lineRule="exact" w:line="580" w:after="0"/>
        <w:jc w:val="both"/>
      </w:pPr>
      <w:r>
        <w:rPr>
          <w:rFonts w:ascii="B Nazanin" w:hAnsi="B Nazanin" w:cs="B Nazanin" w:hint="cs"/>
          <w:sz w:val="24"/>
          <w:szCs w:val="24"/>
          <w:rtl/>
          <w:lang w:bidi="fa-IR"/>
        </w:rPr>
        <w:t xml:space="preserve">پژوهش حاضر از نظر هدف، در زمره پژوهش‌های کاربردی</w:t>
      </w:r>
      <w:r>
        <w:rPr>
          <w:rFonts w:ascii="B Nazanin" w:hAnsi="B Nazanin" w:cs="B Nazanin" w:hint="cs"/>
          <w:vertAlign w:val="superscript"/>
          <w:rtl/>
        </w:rPr>
        <w:footnoteReference w:id="34"/>
      </w:r>
      <w:r>
        <w:rPr>
          <w:rFonts w:ascii="B Nazanin" w:hAnsi="B Nazanin" w:cs="B Nazanin" w:hint="cs"/>
          <w:sz w:val="24"/>
          <w:szCs w:val="24"/>
          <w:rtl/>
          <w:lang w:bidi="fa-IR"/>
        </w:rPr>
        <w:t xml:space="preserve"> قرار می‌گیرد؛ زیرا در پی تولید دانشی است که نتایج آن به طور مستقیم در طراحی ابزارهای غربالگری روانشناختی، تدوین پروتکل‌های درمانی کوتاه‌مدت و برنامه‌های آموزشی ویژه معامله‌گران بازارهای مالی به کار گرفته می‌شود. در واقع، خروجی این پژوهش صرفاً توصیف یک وضعیت نیست، بلکه مبنایی عملیاتی برای مداخله در یکی از مسائل ملموس سلامت روان در بازارهای مالی فراهم می‌آورد.</w:t>
      </w:r>
    </w:p>
    <w:p>
      <w:pPr>
        <w:bidi w:val="1"/>
        <w:spacing w:lineRule="exact" w:line="580" w:after="0"/>
        <w:jc w:val="both"/>
      </w:pPr>
      <w:r>
        <w:rPr>
          <w:rFonts w:ascii="B Nazanin" w:hAnsi="B Nazanin" w:cs="B Nazanin" w:hint="cs"/>
          <w:sz w:val="24"/>
          <w:szCs w:val="24"/>
          <w:rtl/>
          <w:lang w:bidi="fa-IR"/>
        </w:rPr>
        <w:t xml:space="preserve">از نظر روش گردآوری داده‌ها، این پژوهش توصیفی-همبستگی</w:t>
      </w:r>
      <w:r>
        <w:rPr>
          <w:rFonts w:ascii="B Nazanin" w:hAnsi="B Nazanin" w:cs="B Nazanin" w:hint="cs"/>
          <w:vertAlign w:val="superscript"/>
          <w:rtl/>
        </w:rPr>
        <w:footnoteReference w:id="35"/>
      </w:r>
      <w:r>
        <w:rPr>
          <w:rFonts w:ascii="B Nazanin" w:hAnsi="B Nazanin" w:cs="B Nazanin" w:hint="cs"/>
          <w:sz w:val="24"/>
          <w:szCs w:val="24"/>
          <w:rtl/>
          <w:lang w:bidi="fa-IR"/>
        </w:rPr>
        <w:t xml:space="preserve"> است. توصیفی بودن طرح از آن رو است که متغیرهای پژوهش — اضطراب صفتی، طرحواره‌های ناسازگار اولیه و رفتارهای مالی پرخطر — بدون هیچ‌گونه دستکاری آزمایشگاهی و در وضعیت طبیعی خود اندازه‌گیری می‌شوند؛ و همبستگی بودن آن به این دلیل است که هدف اصلی، بررسی نظام‌مند روابط میان این متغیرها در یک بافت واقعی است. این طرح با ماهیت پرسش‌محور و غیرمداخله‌ای پژوهش سازگار است و امکان گردآوری داده‌ها را از طیف گسترده‌ای از معامله‌گران در بازارهای مختلف فراهم می‌آورد.</w:t>
      </w:r>
    </w:p>
    <w:p>
      <w:pPr>
        <w:bidi w:val="1"/>
        <w:spacing w:lineRule="exact" w:line="580" w:after="0"/>
        <w:jc w:val="both"/>
      </w:pPr>
      <w:r>
        <w:rPr>
          <w:rFonts w:ascii="B Nazanin" w:hAnsi="B Nazanin" w:cs="B Nazanin" w:hint="cs"/>
          <w:sz w:val="24"/>
          <w:szCs w:val="24"/>
          <w:rtl/>
          <w:lang w:bidi="fa-IR"/>
        </w:rPr>
        <w:t xml:space="preserve">مهم‌تر آنکه، مدل تحلیلی پژوهش از نوع مدل میانجی‌گری</w:t>
      </w:r>
      <w:r>
        <w:rPr>
          <w:rFonts w:ascii="B Nazanin" w:hAnsi="B Nazanin" w:cs="B Nazanin" w:hint="cs"/>
          <w:vertAlign w:val="superscript"/>
          <w:rtl/>
        </w:rPr>
        <w:footnoteReference w:id="36"/>
      </w:r>
      <w:r>
        <w:rPr>
          <w:rFonts w:ascii="B Nazanin" w:hAnsi="B Nazanin" w:cs="B Nazanin" w:hint="cs"/>
          <w:sz w:val="24"/>
          <w:szCs w:val="24"/>
          <w:rtl/>
          <w:lang w:bidi="fa-IR"/>
        </w:rPr>
        <w:t xml:space="preserve"> است. از آنجا که پرسش بنیادین پژوهش حاضر نه صرفاً وجود رابطه میان اضطراب صفتی و رفتارهای مالی پرخطر، بلکه چگونگی تبدیل یک ویژگی شخصیتی پایدار به رفتار مالی عینی است، طرح همبستگی ساده برای پاسخ به آن کافی نیست. مدل میانجی‌گری امکان می‌دهد اثر کل اضطراب صفتی (متغیر مستقل) بر رفتارهای مالی پرخطر (متغیر وابسته) به دو مؤلفه اثر مستقیم و اثر غیرمستقیم تجزیه شود؛ اثر غیرمستقیم مسیری است که از مجرای طرحواره‌های ناسازگار اولیه (متغیر میانجی) عبور می‌کند و در واقع سازوکار شناختی پیشنهادی پژوهش را به آزمون می‌گذارد.</w:t>
      </w:r>
    </w:p>
    <w:p>
      <w:pPr>
        <w:bidi w:val="1"/>
        <w:spacing w:lineRule="exact" w:line="580" w:after="0"/>
        <w:jc w:val="both"/>
      </w:pPr>
      <w:r>
        <w:rPr>
          <w:rFonts w:ascii="B Nazanin" w:hAnsi="B Nazanin" w:cs="B Nazanin" w:hint="cs"/>
          <w:sz w:val="24"/>
          <w:szCs w:val="24"/>
          <w:rtl/>
          <w:lang w:bidi="fa-IR"/>
        </w:rPr>
        <w:t xml:space="preserve">انتخاب طرح مشاهده‌ای-همبستگی صرفاً یک ترجیح روش‌شناختی نیست، بلکه ضرورتی برخاسته از ماهیت متغیرهای پژوهش است. اضطراب صفتی یک ویژگی شخصیتی پایدار است که نمی‌توان آن را به صورت آزمایشی در افراد ایجاد یا دستکاری کرد و طرحواره‌های ناسازگار اولیه نیز ساختارهای شناختی ریشه‌داری هستند که در طول سال‌ها شکل گرفته‌اند. افزون بر این، تخصیص تصادفی معامله‌گران به شرایط مختلف در بافت واقعی بازارهای مالی عملاً امکان‌پذیر نیست. بنابراین، تنها مسیر ممکن برای آزمون مدل پیشنهادی، گردآوری داده‌ها در وضعیت طبیعی و بهره‌گیری از روش‌های آماری مناسب برای تحلیل روابط میان متغیرهاست؛ مسیری که در ادبیات پژوهش‌های روانشناسی مالی رویه‌ای متعارف محسوب می‌شود.</w:t>
      </w:r>
    </w:p>
    <w:p>
      <w:pPr>
        <w:bidi w:val="1"/>
        <w:spacing w:lineRule="exact" w:line="580" w:after="0"/>
        <w:jc w:val="both"/>
      </w:pPr>
      <w:r>
        <w:rPr>
          <w:rFonts w:ascii="B Nazanin" w:hAnsi="B Nazanin" w:cs="B Nazanin" w:hint="cs"/>
          <w:sz w:val="24"/>
          <w:szCs w:val="24"/>
          <w:rtl/>
          <w:lang w:bidi="fa-IR"/>
        </w:rPr>
        <w:t xml:space="preserve">برای برآورد این مدل، دو چارچوب تحلیلی در نظر گرفته شده است: روش اصلی، مدل‌سازی معادلات ساختاری است که در صورت کفایت حجم نمونه به کار گرفته خواهد شد، و روش جایگزین، تحلیل مسیر با ماکروی پراسس — الگوی شماره ۴</w:t>
      </w:r>
      <w:r>
        <w:rPr>
          <w:rFonts w:ascii="Times New Roman" w:hAnsi="Times New Roman" w:cs="Times New Roman"/>
          <w:sz w:val="22"/>
          <w:szCs w:val="22"/>
          <w:lang w:val="en-US"/>
        </w:rPr>
        <w:t xml:space="preserve"> (PROCESS, Model 4) </w:t>
      </w:r>
      <w:r>
        <w:rPr>
          <w:rFonts w:ascii="B Nazanin" w:hAnsi="B Nazanin" w:cs="B Nazanin" w:hint="cs"/>
          <w:sz w:val="24"/>
          <w:szCs w:val="24"/>
          <w:rtl/>
          <w:lang w:bidi="fa-IR"/>
        </w:rPr>
        <w:t xml:space="preserve">همراه با آزمون بوت‌استرپ برای اثرات غیرمستقیم است (هایز، ۲۰۱۸). تفصیل روش‌های تحلیل، مفروضه‌ها و شاخص‌های برازش در بخش روش تحلیل داده‌ها ارائه خواهد شد.</w:t>
      </w:r>
    </w:p>
    <w:p>
      <w:pPr>
        <w:bidi w:val="1"/>
        <w:spacing w:lineRule="exact" w:line="580" w:after="0"/>
        <w:jc w:val="both"/>
      </w:pPr>
      <w:r>
        <w:rPr>
          <w:rFonts w:ascii="B Nazanin" w:hAnsi="B Nazanin" w:cs="B Nazanin" w:hint="cs"/>
          <w:sz w:val="24"/>
          <w:szCs w:val="24"/>
          <w:rtl/>
          <w:lang w:bidi="fa-IR"/>
        </w:rPr>
        <w:t xml:space="preserve">در پایان باید یادآور شد که طرح حاضر، مقطعی و مبتنی پرسشنامه است؛ بنابراین یافته‌های آن در سطح روابط همبستگی و الگوهای میانجی‌گری تفسیر می‌شوند و ادعای علّیت به معنای آزمایشگاهی آن مطرح نیست. با این حال، منطق مدل میانجی‌گری در چارچوب نظری استعداد-استرس، تبیینی فراتر از همبستگی‌های دوجانبه فراهم می‌آورد و جهت‌گیری نظری روابط را مشخص می‌سازد.</w:t>
      </w:r>
    </w:p>
    <w:p>
      <w:pPr>
        <w:pStyle w:val="Heading2"/>
        <w:bidi w:val="1"/>
        <w:jc w:val="right"/>
      </w:pPr>
      <w:r>
        <w:rPr>
          <w:rFonts w:ascii="B Nazanin" w:hAnsi="B Nazanin" w:cs="B Nazanin" w:hint="cs"/>
          <w:b/>
          <w:bCs/>
          <w:sz w:val="28"/>
          <w:szCs w:val="28"/>
          <w:rtl/>
          <w:lang w:bidi="fa-IR"/>
        </w:rPr>
        <w:t xml:space="preserve">۳-۳. جامعه آماری، نمونه و روش نمونه‌گیری</w:t>
      </w:r>
    </w:p>
    <w:p>
      <w:pPr>
        <w:pStyle w:val="Heading3"/>
        <w:bidi w:val="1"/>
        <w:jc w:val="right"/>
      </w:pPr>
      <w:r>
        <w:rPr>
          <w:rFonts w:ascii="B Nazanin" w:hAnsi="B Nazanin" w:cs="B Nazanin" w:hint="cs"/>
          <w:b/>
          <w:bCs/>
          <w:sz w:val="26"/>
          <w:szCs w:val="26"/>
          <w:rtl/>
          <w:lang w:bidi="fa-IR"/>
        </w:rPr>
        <w:t xml:space="preserve">۳-۳-۱. جامعه آماری</w:t>
      </w:r>
    </w:p>
    <w:p>
      <w:pPr>
        <w:bidi w:val="1"/>
        <w:spacing w:lineRule="exact" w:line="580" w:after="0"/>
        <w:jc w:val="both"/>
      </w:pPr>
      <w:r>
        <w:rPr>
          <w:rFonts w:ascii="B Nazanin" w:hAnsi="B Nazanin" w:cs="B Nazanin" w:hint="cs"/>
          <w:sz w:val="24"/>
          <w:szCs w:val="24"/>
          <w:rtl/>
          <w:lang w:bidi="fa-IR"/>
        </w:rPr>
        <w:t xml:space="preserve">جامعه آماری پژوهش حاضر را کلیه معامله‌گران حقیقی فارسی‌زبان تشکیل می‌دهند که در بازه زمانی اجرای پژوهش، حداقل به مدت شش ماه در بازارهای مالی ایران (شامل بورس اوراق بهادار تهران، فرابورس و بورس انرژی) یا بازارهای مالی بین‌المللی (شامل بازار تبادل ارزهای خارجی و بازار ارزهای دیجیتال) سابقه فعالیت و انجام معامله داشته‌اند. انتخاب این جامعه از آن رو است که پژوهش حاضر به دنبال تبیین رفتار مالی در شرایط واقعی تصمیم‌گیری با پیامدهای عینی است و معامله‌گران حقیقی — برخلاف سرمایه‌گذاران نهادی — شخصاً بار هیجانی و شناختی تصمیم‌های مالی خود را تحمل می‌کنند؛ ویژگی‌ای که آنان را به جامعه مناسبی برای مطالعه نقش متغیرهای روانشناختی در رفتار مالی بدل می‌سازد.</w:t>
      </w:r>
    </w:p>
    <w:p>
      <w:pPr>
        <w:pStyle w:val="Heading3"/>
        <w:bidi w:val="1"/>
        <w:jc w:val="right"/>
      </w:pPr>
      <w:r>
        <w:rPr>
          <w:rFonts w:ascii="B Nazanin" w:hAnsi="B Nazanin" w:cs="B Nazanin" w:hint="cs"/>
          <w:b/>
          <w:bCs/>
          <w:sz w:val="26"/>
          <w:szCs w:val="26"/>
          <w:rtl/>
          <w:lang w:bidi="fa-IR"/>
        </w:rPr>
        <w:t xml:space="preserve">۳-۳-۲. روش نمونه‌گیری و گردآوری داده‌ها</w:t>
      </w:r>
    </w:p>
    <w:p>
      <w:pPr>
        <w:bidi w:val="1"/>
        <w:spacing w:lineRule="exact" w:line="580" w:after="0"/>
        <w:jc w:val="both"/>
      </w:pPr>
      <w:r>
        <w:rPr>
          <w:rFonts w:ascii="B Nazanin" w:hAnsi="B Nazanin" w:cs="B Nazanin" w:hint="cs"/>
          <w:sz w:val="24"/>
          <w:szCs w:val="24"/>
          <w:rtl/>
          <w:lang w:bidi="fa-IR"/>
        </w:rPr>
        <w:t xml:space="preserve">با توجه به نبود فهرست جامع و قابل دسترس از تمامی معامله‌گران فعال و نامشخص بودن حجم دقیق جامعه، در این پژوهش از روش نمونه‌گیری غیرتصادفی در دسترس</w:t>
      </w:r>
      <w:r>
        <w:rPr>
          <w:rFonts w:ascii="B Nazanin" w:hAnsi="B Nazanin" w:cs="B Nazanin" w:hint="cs"/>
          <w:vertAlign w:val="superscript"/>
          <w:rtl/>
        </w:rPr>
        <w:footnoteReference w:id="37"/>
      </w:r>
      <w:r>
        <w:rPr>
          <w:rFonts w:ascii="B Nazanin" w:hAnsi="B Nazanin" w:cs="B Nazanin" w:hint="cs"/>
          <w:sz w:val="24"/>
          <w:szCs w:val="24"/>
          <w:rtl/>
          <w:lang w:bidi="fa-IR"/>
        </w:rPr>
        <w:t xml:space="preserve"> به همراه روش گلوله‌برفی</w:t>
      </w:r>
      <w:r>
        <w:rPr>
          <w:rFonts w:ascii="B Nazanin" w:hAnsi="B Nazanin" w:cs="B Nazanin" w:hint="cs"/>
          <w:vertAlign w:val="superscript"/>
          <w:rtl/>
        </w:rPr>
        <w:footnoteReference w:id="38"/>
      </w:r>
      <w:r>
        <w:rPr>
          <w:rFonts w:ascii="B Nazanin" w:hAnsi="B Nazanin" w:cs="B Nazanin" w:hint="cs"/>
          <w:sz w:val="24"/>
          <w:szCs w:val="24"/>
          <w:rtl/>
          <w:lang w:bidi="fa-IR"/>
        </w:rPr>
        <w:t xml:space="preserve"> استفاده می‌شود. بدین صورت که پرسشنامه آنلاین پژوهش — شامل فرم رضایت آگاهانه، سؤالات جمعیت‌شناختی و ابزارهای اندازه‌گیری متغیرها — در پلتفرم پرس‌لاین طراحی شده و از طریق کانال‌ها، گروه‌ها و انجمن‌های تخصصی معامله‌گری در شبکه‌های اجتماعی (مانند تلگرام، اینستاگرام و سایر پلتفرم‌ها) منتشر می‌شود. از شرکت‌کنندگان واجد شرایط نیز خواسته می‌شود لینک پرسشنامه را برای سایر همکاران و آشنایان معامله‌گر خود ارسال کنند؛ هدف، افزایش دامنه دسترسی به نمونه‌های واجد شرایط در بازارهای مختلف است. به این ترتیب، نمونه پژوهش ترکیبی از معامله‌گران خُرد و نیمه‌حرفه‌ای خواهد بود که به صورت فردی یا در قالب عضویت در گروه‌ها و کانال‌های آموزشی-تحلیلی بازارهای مالی فعالیت می‌کنند.</w:t>
      </w:r>
    </w:p>
    <w:p>
      <w:pPr>
        <w:bidi w:val="1"/>
        <w:spacing w:lineRule="exact" w:line="580" w:after="0"/>
        <w:jc w:val="both"/>
      </w:pPr>
      <w:r>
        <w:rPr>
          <w:rFonts w:ascii="B Nazanin" w:hAnsi="B Nazanin" w:cs="B Nazanin" w:hint="cs"/>
          <w:sz w:val="24"/>
          <w:szCs w:val="24"/>
          <w:rtl/>
          <w:lang w:bidi="fa-IR"/>
        </w:rPr>
        <w:t xml:space="preserve">گردآوری داده‌ها به شیوه آنلاین، متناسب با ویژگی‌های جامعه هدف انتخاب شده است؛ زیرا معامله‌گران در مناطق جغرافیایی مختلف پراکنده‌اند و بسیاری از آنان در بستر گروه‌ها و کانال‌های مجازی فعالیت می‌کنند. همچنین ناشناس بودن پاسخ‌دهی در فرم آنلاین، زمینه گزارش‌دهی صادقانه‌تر را درباره خطاها و رفتارهای پرخطر معاملاتی فراهم می‌آورد؛ موضوعی که در پژوهش‌های مرتبط با تصمیم‌گیری مالی اهمیت ویژه‌ای دارد.</w:t>
      </w:r>
    </w:p>
    <w:p>
      <w:pPr>
        <w:bidi w:val="1"/>
        <w:spacing w:lineRule="exact" w:line="580" w:after="0"/>
        <w:jc w:val="both"/>
      </w:pPr>
      <w:r>
        <w:rPr>
          <w:rFonts w:ascii="B Nazanin" w:hAnsi="B Nazanin" w:cs="B Nazanin" w:hint="cs"/>
          <w:sz w:val="24"/>
          <w:szCs w:val="24"/>
          <w:rtl/>
          <w:lang w:bidi="fa-IR"/>
        </w:rPr>
        <w:t xml:space="preserve">گردآوری داده‌ها به مدت تقریبی دو ماه ادامه خواهد یافت و پس از رسیدن به حجم نمونه مطلوب، متوقف می‌شود. در صفحه ابتدایی پرسشنامه، رضایت‌نامه آگاهانه الکترونیکی قرار داده شده است و شرکت‌کنندگان تنها در صورت تأیید گزینه موافقت با شرکت در پژوهش، وارد بخش اصلی پرسشنامه‌ها می‌شوند؛ شرکت در پژوهش کاملاً داوطلبانه است و امکان انصراف در هر مرحله بدون هیچ پیامد منفی وجود دارد.</w:t>
      </w:r>
    </w:p>
    <w:p>
      <w:pPr>
        <w:bidi w:val="1"/>
        <w:spacing w:lineRule="exact" w:line="580" w:after="0"/>
        <w:jc w:val="both"/>
      </w:pPr>
      <w:r>
        <w:rPr>
          <w:rFonts w:ascii="B Nazanin" w:hAnsi="B Nazanin" w:cs="B Nazanin" w:hint="cs"/>
          <w:sz w:val="24"/>
          <w:szCs w:val="24"/>
          <w:rtl/>
          <w:lang w:bidi="fa-IR"/>
        </w:rPr>
        <w:t xml:space="preserve">لازم است ذکر شود که استفاده از روش نمونه‌گیری غیرتصادفی، هرچند با توجه به ویژگی‌های جامعه مورد نظر عملی‌ترین روش دسترسی به تعداد مناسبی از معامله‌گران است، قابلیت تعمیم‌پذیری نتایج را محدود می‌کند؛ این موضوع به عنوان یکی از محدودیت‌های اصلی پژوهش در فصل پنجم مورد بحث قرار خواهد گرفت.</w:t>
      </w:r>
    </w:p>
    <w:p>
      <w:pPr>
        <w:pStyle w:val="Heading3"/>
        <w:bidi w:val="1"/>
        <w:jc w:val="right"/>
      </w:pPr>
      <w:r>
        <w:rPr>
          <w:rFonts w:ascii="B Nazanin" w:hAnsi="B Nazanin" w:cs="B Nazanin" w:hint="cs"/>
          <w:b/>
          <w:bCs/>
          <w:sz w:val="26"/>
          <w:szCs w:val="26"/>
          <w:rtl/>
          <w:lang w:bidi="fa-IR"/>
        </w:rPr>
        <w:t xml:space="preserve">۳-۳-۳. حجم نمونه</w:t>
      </w:r>
    </w:p>
    <w:p>
      <w:pPr>
        <w:bidi w:val="1"/>
        <w:spacing w:lineRule="exact" w:line="580" w:after="0"/>
        <w:jc w:val="both"/>
      </w:pPr>
      <w:r>
        <w:rPr>
          <w:rFonts w:ascii="B Nazanin" w:hAnsi="B Nazanin" w:cs="B Nazanin" w:hint="cs"/>
          <w:sz w:val="24"/>
          <w:szCs w:val="24"/>
          <w:rtl/>
          <w:lang w:bidi="fa-IR"/>
        </w:rPr>
        <w:t xml:space="preserve">از آنجا که روش اصلی تحلیل داده‌ها در این پژوهش مدل‌یابی معادلات ساختاری است، حجم نمونه بر اساس قواعد تجربی مربوط به این روش تعیین می‌شود. بر اساس پیشنهادهای مطرح‌شده در ادبیات مدل‌یابی معادلات ساختاری (کلاین</w:t>
      </w:r>
      <w:r>
        <w:rPr>
          <w:rFonts w:ascii="B Nazanin" w:hAnsi="B Nazanin" w:cs="B Nazanin" w:hint="cs"/>
          <w:vertAlign w:val="superscript"/>
          <w:rtl/>
        </w:rPr>
        <w:footnoteReference w:id="108"/>
      </w:r>
      <w:r>
        <w:rPr>
          <w:rFonts w:ascii="B Nazanin" w:hAnsi="B Nazanin" w:cs="B Nazanin" w:hint="cs"/>
          <w:sz w:val="24"/>
          <w:szCs w:val="24"/>
          <w:rtl/>
          <w:lang w:bidi="fa-IR"/>
        </w:rPr>
        <w:t xml:space="preserve">، ۲۰۱۶)، برای دستیابی به برآوردهای پایا و نتایج قابل اعتماد، استفاده از حجم نمونه حداقل ۲۰۰ نفر مناسب تلقی می‌شود؛ به ویژه زمانی که تعداد متغیرهای پنهان و مشاهده‌شده در مدل متوسط یا زیاد باشد. با این حال، با در نظر گرفتن محدودیت‌های عملی در دسترسی به معامله‌گران فعال و ماهیت داوطلبانه شرکت در پژوهش، تلاش می‌شود حداقل بین ۱۵۰ تا ۲۰۰ نفر از شرکت‌کنندگان واجد شرایط وارد تحلیل نهایی شوند و در صورتی که امکان دسترسی کمتر از این مقدار فراهم شود، تحلیل با حداقل ۱۰۰ نفر نیز اجرا می‌گیرد؛ در این صورت، موضوع یادشده در گزارش نتایج به وضوح به‌عنوان یکی از محدودیت‌های پژوهش ذکر خواهد شد. لازم به تأکید است که حجم نهایی نمونه تحقق‌یافته، پس از اتمام گردآوری و پاک‌سازی داده‌ها در فصل چهارم گزارش می‌شود. تعیین حجم نمونه پیش از آغاز گردآوری داده‌ها انجام شده و جمع‌آوری تا رسیدن به کران مطلوب ادامه می‌یابد.</w:t>
      </w:r>
    </w:p>
    <w:p>
      <w:pPr>
        <w:pStyle w:val="Heading3"/>
        <w:bidi w:val="1"/>
        <w:jc w:val="right"/>
      </w:pPr>
      <w:r>
        <w:rPr>
          <w:rFonts w:ascii="B Nazanin" w:hAnsi="B Nazanin" w:cs="B Nazanin" w:hint="cs"/>
          <w:b/>
          <w:bCs/>
          <w:sz w:val="26"/>
          <w:szCs w:val="26"/>
          <w:rtl/>
          <w:lang w:bidi="fa-IR"/>
        </w:rPr>
        <w:t xml:space="preserve">۳-۳-۴. ملاک‌های ورود و خروج</w:t>
      </w:r>
    </w:p>
    <w:p>
      <w:pPr>
        <w:bidi w:val="1"/>
        <w:spacing w:lineRule="exact" w:line="580" w:after="0"/>
        <w:jc w:val="both"/>
      </w:pPr>
      <w:r>
        <w:rPr>
          <w:rFonts w:ascii="B Nazanin" w:hAnsi="B Nazanin" w:cs="B Nazanin" w:hint="cs"/>
          <w:b/>
          <w:bCs/>
          <w:sz w:val="24"/>
          <w:szCs w:val="24"/>
          <w:rtl/>
          <w:lang w:bidi="fa-IR"/>
        </w:rPr>
        <w:t xml:space="preserve">ملاک‌های ورود</w:t>
      </w:r>
      <w:r>
        <w:rPr>
          <w:rFonts w:ascii="B Nazanin" w:hAnsi="B Nazanin" w:cs="B Nazanin" w:hint="cs"/>
          <w:sz w:val="24"/>
          <w:szCs w:val="24"/>
          <w:rtl/>
          <w:lang w:bidi="fa-IR"/>
        </w:rPr>
        <w:t xml:space="preserve"> به پژوهش عبارت‌اند از: (۱) داشتن سن ۱۸ سال یا بیشتر؛ (۲) معامله‌گر حقیقی بودن و فعالیت با سرمایه شخصی؛ (۳) داشتن حداقل ۶ ماه سابقه فعالیت و انجام معامله واقعی (نه صرفاً حساب آزمایشی) در حداقل یکی از بازارهای بورس اوراق بهادار تهران، فرابورس، بورس انرژی، فارکس یا ارزهای دیجیتال؛ (۴) تسلط کافی به زبان فارسی جهت درک سؤالات پرسشنامه‌ها؛ و (۵) تمایل به شرکت در پژوهش و تأیید فرم رضایت‌نامه آگاهانه.</w:t>
      </w:r>
    </w:p>
    <w:p>
      <w:pPr>
        <w:bidi w:val="1"/>
        <w:spacing w:lineRule="exact" w:line="580" w:after="0"/>
        <w:jc w:val="both"/>
      </w:pPr>
      <w:r>
        <w:rPr>
          <w:rFonts w:ascii="B Nazanin" w:hAnsi="B Nazanin" w:cs="B Nazanin" w:hint="cs"/>
          <w:b/>
          <w:bCs/>
          <w:sz w:val="24"/>
          <w:szCs w:val="24"/>
          <w:rtl/>
          <w:lang w:bidi="fa-IR"/>
        </w:rPr>
        <w:t xml:space="preserve">ملاک‌های خروج</w:t>
      </w:r>
      <w:r>
        <w:rPr>
          <w:rFonts w:ascii="B Nazanin" w:hAnsi="B Nazanin" w:cs="B Nazanin" w:hint="cs"/>
          <w:sz w:val="24"/>
          <w:szCs w:val="24"/>
          <w:rtl/>
          <w:lang w:bidi="fa-IR"/>
        </w:rPr>
        <w:t xml:space="preserve"> نیز شامل موارد زیر است: (۱) عدم تکمیل پرسشنامه‌ها به صورت کامل؛ (۲) انصراف شرکت‌کننده یا عدم تأیید رضایت‌نامه آگاهانه؛ (۳) ارائه پاسخ‌های تصادفی یا نامعتبر که از طریق نشانگرهایی مانند زمان پاسخ‌دهی بسیار کوتاه یا الگوی پاسخ یکسان در همه گویه‌ها شناسایی می‌شوند؛ و (۴) گزارش نداشتن تجربه معامله واقعی یا تمرکز اصلی بر حساب آزمایشی توسط شرکت‌کننده.</w:t>
      </w:r>
    </w:p>
    <w:p>
      <w:pPr>
        <w:bidi w:val="1"/>
        <w:spacing w:lineRule="exact" w:line="580" w:after="0"/>
        <w:jc w:val="both"/>
      </w:pPr>
      <w:r>
        <w:rPr>
          <w:rFonts w:ascii="B Nazanin" w:hAnsi="B Nazanin" w:cs="B Nazanin" w:hint="cs"/>
          <w:sz w:val="24"/>
          <w:szCs w:val="24"/>
          <w:rtl/>
          <w:lang w:bidi="fa-IR"/>
        </w:rPr>
        <w:t xml:space="preserve">ملاک‌های خروج یادشده در مرحله پاک‌سازی داده‌ها و پیش از تحلیل نهایی اعمال می‌شوند تا کیفیت پاسخ‌های واردشده به مدل تضمین گردد.</w:t>
      </w:r>
    </w:p>
    <w:p>
      <w:pPr>
        <w:pStyle w:val="Heading2"/>
        <w:bidi w:val="1"/>
        <w:jc w:val="right"/>
      </w:pPr>
      <w:r>
        <w:rPr>
          <w:rFonts w:ascii="B Nazanin" w:hAnsi="B Nazanin" w:cs="B Nazanin" w:hint="cs"/>
          <w:b/>
          <w:bCs/>
          <w:sz w:val="28"/>
          <w:szCs w:val="28"/>
          <w:rtl/>
          <w:lang w:bidi="fa-IR"/>
        </w:rPr>
        <w:t xml:space="preserve">۳-۴. ابزارهای اندازه‌گیری</w:t>
      </w:r>
    </w:p>
    <w:p>
      <w:pPr>
        <w:bidi w:val="1"/>
        <w:spacing w:lineRule="exact" w:line="580" w:after="0"/>
        <w:jc w:val="both"/>
      </w:pPr>
      <w:r>
        <w:rPr>
          <w:rFonts w:ascii="B Nazanin" w:hAnsi="B Nazanin" w:cs="B Nazanin" w:hint="cs"/>
          <w:sz w:val="24"/>
          <w:szCs w:val="24"/>
          <w:rtl/>
          <w:lang w:bidi="fa-IR"/>
        </w:rPr>
        <w:t xml:space="preserve">برای سنجش متغیرهای پژوهش از سه ابزار استاندارد استفاده می‌شود که هر یک با یکی از متغیرهای مدل میانجی‌گری متناظر است: پرسشنامه اضطراب حالت-صفت اسپیلبرگر — فرم صفتی برای سنجش اضطراب صفتی، پرسشنامه طرحواره یانگ — فرم کوتاه برای سنجش طرحواره‌های ناسازگار اولیه، و مقیاس تحمل ریسک مالی گرابل و لایتون برای سنجش رفتارهای مالی پرخطر. این سه ابزار به همراه سؤالات جمعیت‌شناختی در قالب یک پرسشنامه آنلاین یکپارچه ارائه می‌شوند. در ادامه، ساختار، نمره‌گذاری و ویژگی‌های روان‌سنجی هر ابزار به تفصیل بیان می‌شود. در فرم آنلاین، این ابزارها به ترتیب پس از سؤالات جمعیت‌شناختی و با فاصله‌گذاری مناسب ارائه می‌شوند تا خستگی پاسخ‌دهنده به حداقل برسد.</w:t>
      </w:r>
    </w:p>
    <w:p>
      <w:pPr>
        <w:pStyle w:val="Heading3"/>
        <w:bidi w:val="1"/>
        <w:jc w:val="right"/>
      </w:pPr>
      <w:r>
        <w:rPr>
          <w:rFonts w:ascii="B Nazanin" w:hAnsi="B Nazanin" w:cs="B Nazanin" w:hint="cs"/>
          <w:b/>
          <w:bCs/>
          <w:sz w:val="26"/>
          <w:szCs w:val="26"/>
          <w:rtl/>
          <w:lang w:bidi="fa-IR"/>
        </w:rPr>
        <w:t xml:space="preserve">۳-۴-۱. پرسشنامه اضطراب حالت-صفت اسپیلبرگر — فرم صفتی</w:t>
      </w:r>
    </w:p>
    <w:p>
      <w:pPr>
        <w:bidi w:val="1"/>
        <w:spacing w:lineRule="exact" w:line="580" w:after="0"/>
        <w:jc w:val="both"/>
      </w:pPr>
      <w:r>
        <w:rPr>
          <w:rFonts w:ascii="B Nazanin" w:hAnsi="B Nazanin" w:cs="B Nazanin" w:hint="cs"/>
          <w:sz w:val="24"/>
          <w:szCs w:val="24"/>
          <w:rtl/>
          <w:lang w:bidi="fa-IR"/>
        </w:rPr>
        <w:t xml:space="preserve">پرسشنامه اضطراب حالت-صفت اسپیلبرگر در اصل توسط اسپیلبرگر، گورچ و لوشن</w:t>
      </w:r>
      <w:r>
        <w:rPr>
          <w:rFonts w:ascii="B Nazanin" w:hAnsi="B Nazanin" w:cs="B Nazanin" w:hint="cs"/>
          <w:vertAlign w:val="superscript"/>
          <w:rtl/>
        </w:rPr>
        <w:footnoteReference w:id="109"/>
      </w:r>
      <w:r>
        <w:rPr>
          <w:rFonts w:ascii="B Nazanin" w:hAnsi="B Nazanin" w:cs="B Nazanin" w:hint="cs"/>
          <w:sz w:val="24"/>
          <w:szCs w:val="24"/>
          <w:rtl/>
          <w:lang w:bidi="fa-IR"/>
        </w:rPr>
        <w:t xml:space="preserve"> (۱۹۷۰) ساخته شد و راهنمای بازنگری‌شده آن توسط اسپیلبرگر (۱۹۸۳) منتشر شده است. این پرسشنامه برای سنجش اضطراب در دو سطح طراحی شده است. سطح نخست، اضطراب حالتی است؛ واکنشی هیجانی، گذرا و وابسته به موقعیت. سطح دوم، اضطراب صفتی؛ یعنی ویژگی شخصیتی پایدار فرد. در پژوهش حاضر تنها از فرم اضطراب صفتی استفاده می‌شود؛ هدف، سنجش زمینه شخصیتی پایدار اضطراب در معامله‌گران است، نه واکنش لحظه‌ای آنان به یک موقعیت خاص. بر همین اساس، فرم حالت (اضطراب حالتی) در این پژوهش اجرا نمی‌شود؛ چه آنکه هدف، سنجش زمینه پایدار آسیب‌پذیری در برابر فشارهای بازار است، نه شدت اضطراب آزمودنی در لحظه پاسخ‌دهی.</w:t>
      </w:r>
    </w:p>
    <w:p>
      <w:pPr>
        <w:bidi w:val="1"/>
        <w:spacing w:lineRule="exact" w:line="580" w:after="0"/>
        <w:jc w:val="both"/>
      </w:pPr>
      <w:r>
        <w:rPr>
          <w:rFonts w:ascii="B Nazanin" w:hAnsi="B Nazanin" w:cs="B Nazanin" w:hint="cs"/>
          <w:sz w:val="24"/>
          <w:szCs w:val="24"/>
          <w:rtl/>
          <w:lang w:bidi="fa-IR"/>
        </w:rPr>
        <w:t xml:space="preserve">فرم صفتی شامل ۲۰ گویه است که احساسات کلی و معمول فرد را توصیف می‌کنند و آزمودنی میزان انطباق هر گویه با احساسات خود را بر اساس مقیاس ۴ درجه‌ای لیکرت با گزینه‌های «تقریباً هرگز»، «گاهی اوقات»، «بیشتر اوقات» و «تقریباً همیشه» (از ۱ تا ۴) مشخص می‌کند. این فرم شامل گویه‌هایی با نمره‌گذاری معکوس نیز هست. دامنه نمره کل بین ۲۰ تا ۸۰ است و نمره بالاتر نشان‌دهنده سطح بالاتر اضطراب صفتی است.</w:t>
      </w:r>
    </w:p>
    <w:p>
      <w:pPr>
        <w:bidi w:val="1"/>
        <w:spacing w:lineRule="exact" w:line="580" w:after="0"/>
        <w:jc w:val="both"/>
      </w:pPr>
      <w:r>
        <w:rPr>
          <w:rFonts w:ascii="B Nazanin" w:hAnsi="B Nazanin" w:cs="B Nazanin" w:hint="cs"/>
          <w:sz w:val="24"/>
          <w:szCs w:val="24"/>
          <w:rtl/>
          <w:lang w:bidi="fa-IR"/>
        </w:rPr>
        <w:t xml:space="preserve">از نظر ویژگی‌های روان‌سنجی، پایایی درونی این ابزار از ابتدا با ضرایب آلفای کرونباخ بالا (۰٫۸۶ تا ۰٫۹۵) تأیید شده است (اسپیلبرگر، ۱۹۸۳). در ایران نیز پژوهش بشارت و همکاران (۱۳۹۵) ساختار عاملی و پایایی نسخه فارسی این پرسشنامه را در نمونه‌های ایرانی بررسی و تأیید کرده است؛ در این پژوهش آلفای کرونباخ ۰٫۸۹ گزارش 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pStyle w:val="Heading3"/>
        <w:bidi w:val="1"/>
        <w:jc w:val="right"/>
      </w:pPr>
      <w:r>
        <w:rPr>
          <w:rFonts w:ascii="B Nazanin" w:hAnsi="B Nazanin" w:cs="B Nazanin" w:hint="cs"/>
          <w:b/>
          <w:bCs/>
          <w:sz w:val="26"/>
          <w:szCs w:val="26"/>
          <w:rtl/>
          <w:lang w:bidi="fa-IR"/>
        </w:rPr>
        <w:t xml:space="preserve">۳-۴-۲. پرسشنامه طرحواره‌های ناسازگار اولیه یانگ — فرم کوتاه</w:t>
      </w:r>
    </w:p>
    <w:p>
      <w:pPr>
        <w:bidi w:val="1"/>
        <w:spacing w:lineRule="exact" w:line="580" w:after="0"/>
        <w:jc w:val="both"/>
      </w:pPr>
      <w:r>
        <w:rPr>
          <w:rFonts w:ascii="B Nazanin" w:hAnsi="B Nazanin" w:cs="B Nazanin" w:hint="cs"/>
          <w:sz w:val="24"/>
          <w:szCs w:val="24"/>
          <w:rtl/>
          <w:lang w:bidi="fa-IR"/>
        </w:rPr>
        <w:t xml:space="preserve">پرسشنامه طرحواره یانگ — فرم کوتاه توسط یانگ (۱۹۹۸) به عنوان نسخه‌ای کوتاه‌تر از ابزار اصلی برای سنجش ۱۵ طرحواره ناسازگار اولیه تدوین شده است. این پرسشنامه شامل ۷۵ گویه است که به ازای هر طرحواره، ۵ گویه را در بر می‌گیرد و بر اساس نظریه طرحواره، الگوهای هیجانی و شناختی عمیق و پایداری را می‌سنجد که در دوران کودکی و نوجوانی شکل گرفته‌اند و تفسیر فرد از موقعیت‌های زندگی را جهت می‌دهند.</w:t>
      </w:r>
    </w:p>
    <w:p>
      <w:pPr>
        <w:bidi w:val="1"/>
        <w:spacing w:lineRule="exact" w:line="580" w:after="0"/>
        <w:jc w:val="both"/>
      </w:pPr>
      <w:r>
        <w:rPr>
          <w:rFonts w:ascii="B Nazanin" w:hAnsi="B Nazanin" w:cs="B Nazanin" w:hint="cs"/>
          <w:sz w:val="24"/>
          <w:szCs w:val="24"/>
          <w:rtl/>
          <w:lang w:bidi="fa-IR"/>
        </w:rPr>
        <w:t xml:space="preserve">نمره‌گذاری گویه‌ها بر اساس مقیاس ۶ درجه‌ای لیکرت انجام می‌شود. گزینه‌های این مقیاس — همان‌گونه که در نسخه آنلاین منتشرشده پژوهش آمده است — به ترتیب عبارت‌اند از: «۱=کاملاً در مورد من غلط است»، «۲=تقریباً غلط است»، «۳=بیشتر غلط است تا درست»، «۴=اندکی درست است»، «۵=تقریباً درست است» و «۶=کاملاً مرا توصیف می‌کند». برای هر طرحواره نمره‌ای بین ۵ تا ۳۰ به دست می‌آید و نمره بالاتر نشان‌دهنده شدت بیشتر آن طرحواره است. ترتیب گزینه‌ها در نسخه آنلاین منتشرشده پژوهش با همین جهت نمره‌گذاری هم‌خوان است و نیازی به وارونه‌سازی نمرات در مرحله کدگذاری وجود ندارد.</w:t>
      </w:r>
    </w:p>
    <w:p>
      <w:pPr>
        <w:bidi w:val="1"/>
        <w:spacing w:lineRule="exact" w:line="580" w:after="0"/>
        <w:jc w:val="both"/>
      </w:pPr>
      <w:r>
        <w:rPr>
          <w:rFonts w:ascii="B Nazanin" w:hAnsi="B Nazanin" w:cs="B Nazanin" w:hint="cs"/>
          <w:sz w:val="24"/>
          <w:szCs w:val="24"/>
          <w:rtl/>
          <w:lang w:bidi="fa-IR"/>
        </w:rPr>
        <w:t xml:space="preserve">ویژگی‌های روان‌سنجی ابزار اصلی طرحواره‌ها در مطالعات متعدد بررسی و تأیید شده است (یانگ، ۱۹۹۸؛ اشمیت و همکاران، ۱۹۹۵). در ایران نیز پژوهش یوسفی (۱۳۹۶) ویژگی‌های روان‌سنجی نسخه فارسی این پرسشنامه را در نمونه غیربالینی بررسی کرده است؛ در این پژوهش پایایی خرده‌مقیاس‌ها با ضرایب آلفای ۰٫۶۸ تا ۰٫۸۵ و روایی سازه قابل قبول گزارش 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pStyle w:val="Heading3"/>
        <w:bidi w:val="1"/>
        <w:jc w:val="right"/>
      </w:pPr>
      <w:r>
        <w:rPr>
          <w:rFonts w:ascii="B Nazanin" w:hAnsi="B Nazanin" w:cs="B Nazanin" w:hint="cs"/>
          <w:b/>
          <w:bCs/>
          <w:sz w:val="26"/>
          <w:szCs w:val="26"/>
          <w:rtl/>
          <w:lang w:bidi="fa-IR"/>
        </w:rPr>
        <w:t xml:space="preserve">۳-۴-۳. مقیاس تحمل ریسک مالی گرابل و لایتون</w:t>
      </w:r>
      <w:r>
        <w:rPr>
          <w:rFonts w:ascii="B Nazanin" w:hAnsi="B Nazanin" w:cs="B Nazanin" w:hint="cs"/>
          <w:vertAlign w:val="superscript"/>
          <w:rtl/>
        </w:rPr>
        <w:footnoteReference w:id="39"/>
      </w:r>
    </w:p>
    <w:p>
      <w:pPr>
        <w:bidi w:val="1"/>
        <w:spacing w:lineRule="exact" w:line="580" w:after="0"/>
        <w:jc w:val="both"/>
      </w:pPr>
      <w:r>
        <w:rPr>
          <w:rFonts w:ascii="B Nazanin" w:hAnsi="B Nazanin" w:cs="B Nazanin" w:hint="cs"/>
          <w:sz w:val="24"/>
          <w:szCs w:val="24"/>
          <w:rtl/>
          <w:lang w:bidi="fa-IR"/>
        </w:rPr>
        <w:t xml:space="preserve">مقیاس تحمل ریسک مالی توسط گرابل و لایتون (۱۹۹۹) ساخته شده است؛ ابزاری برای سنجش تمایل، ظرفیت و نگرش فرد نسبت به پذیرش ریسک در تصمیم‌های مالی. این مقیاس شامل ۱۳ سؤال تک‌گزینه‌ای است که هر سؤال گزینه‌های متنی مختص خود را دارد و پاسخ‌دهنده از میان چهار گزینه هر سؤال، گزینه‌ای را انتخاب می‌کند که به بهترین وجه دیدگاه یا ترجیح واقعی او را منعکس می‌سازد؛ در این مقیاس پاسخ درست یا غلطی وجود ندارد. سؤالات این مقیاس عمدتاً در قالب موقعیت‌های فرضی و سؤالات ترجیحی طراحی شده‌اند؛ برای نمونه، انتخاب میان دریافت مبلغ قطعی یا شرکت در یک شانس با بازده بالاتر، یا تعیین ترجیح میان انواع دارایی‌های سرمایه‌گذاری. این ساختار موجب می‌شود پاسخ‌دهنده بدون آنکه خود را در معرض قضاوت ببیند، تمایل واقعی خود به پذیرش ریسک را آشکار سازد.</w:t>
      </w:r>
    </w:p>
    <w:p>
      <w:pPr>
        <w:bidi w:val="1"/>
        <w:spacing w:lineRule="exact" w:line="580" w:after="0"/>
        <w:jc w:val="both"/>
      </w:pPr>
      <w:r>
        <w:rPr>
          <w:rFonts w:ascii="B Nazanin" w:hAnsi="B Nazanin" w:cs="B Nazanin" w:hint="cs"/>
          <w:sz w:val="24"/>
          <w:szCs w:val="24"/>
          <w:rtl/>
          <w:lang w:bidi="fa-IR"/>
        </w:rPr>
        <w:t xml:space="preserve">نمره کل مقیاس بین ۱۳ تا ۴۵ محاسبه می‌شود و نمره بالاتر نشان‌دهنده تحمل ریسک بیشتر و در نتیجه تمایل بالاتر به بروز رفتارهای مالی پرخطر است.</w:t>
      </w:r>
    </w:p>
    <w:p>
      <w:pPr>
        <w:bidi w:val="1"/>
        <w:spacing w:lineRule="exact" w:line="580" w:after="0"/>
        <w:jc w:val="both"/>
      </w:pPr>
      <w:r>
        <w:rPr>
          <w:rFonts w:ascii="B Nazanin" w:hAnsi="B Nazanin" w:cs="B Nazanin" w:hint="cs"/>
          <w:sz w:val="24"/>
          <w:szCs w:val="24"/>
          <w:rtl/>
          <w:lang w:bidi="fa-IR"/>
        </w:rPr>
        <w:t xml:space="preserve">به‌کارگیری این مقیاس به عنوان شاخص عملیاتی رفتارهای مالی پرخطر نیازمند توضیح روش‌شناختی مشخص است. نکته کلیدی این است: «تحمل ریسک» یک نگرش روانشناختی است و «رفتار پرخطر» یک عمل عینی. با این حال، ادبیات پژوهشی گسترده نشان داده است که مقیاس گرابل و لایتون از روایی پیش‌بین بسیار بالایی برخوردار است؛ به این معنا که نمرات افراد در این مقیاس توانایی پیش‌بینی رفتارهای مالی واقعی آنان را دارد (گرابل و لایتون، ۱۹۹۹؛ گرابل، ۲۰۱۷). بر همین اساس، در پژوهش حاضر این مقیاس به عنوان شاخص نیابتی</w:t>
      </w:r>
      <w:r>
        <w:rPr>
          <w:rFonts w:ascii="B Nazanin" w:hAnsi="B Nazanin" w:cs="B Nazanin" w:hint="cs"/>
          <w:vertAlign w:val="superscript"/>
          <w:rtl/>
        </w:rPr>
        <w:footnoteReference w:id="40"/>
      </w:r>
      <w:r>
        <w:rPr>
          <w:rFonts w:ascii="B Nazanin" w:hAnsi="B Nazanin" w:cs="B Nazanin" w:hint="cs"/>
          <w:sz w:val="24"/>
          <w:szCs w:val="24"/>
          <w:rtl/>
          <w:lang w:bidi="fa-IR"/>
        </w:rPr>
        <w:t xml:space="preserve"> قابل اعتمادی برای سنجش تمایل به رفتارهای مالی پرخطر استفاده می‌شود؛ رویکردی که با تعریف عملیاتی متغیر وابسته در فصل اول هم‌خوان است.</w:t>
      </w:r>
    </w:p>
    <w:p>
      <w:pPr>
        <w:bidi w:val="1"/>
        <w:spacing w:lineRule="exact" w:line="580" w:after="0"/>
        <w:jc w:val="both"/>
      </w:pPr>
      <w:r>
        <w:rPr>
          <w:rFonts w:ascii="B Nazanin" w:hAnsi="B Nazanin" w:cs="B Nazanin" w:hint="cs"/>
          <w:sz w:val="24"/>
          <w:szCs w:val="24"/>
          <w:rtl/>
          <w:lang w:bidi="fa-IR"/>
        </w:rPr>
        <w:t xml:space="preserve">نسخه فارسی این مقیاس توسط طالبی و همکاران (۱۳۹۸) بر روی نمونه‌ای از سرمایه‌گذاران بورس اوراق بهادار تهران اعتباریابی شده است؛ در این پژوهش پایایی ابزار با آلفای کرونباخ ۰٫۷۹ گزارش و ساختار عاملی آن تأیید 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bidi w:val="1"/>
        <w:spacing w:lineRule="exact" w:line="580" w:before="180" w:after="40"/>
        <w:jc w:val="center"/>
      </w:pPr>
      <w:r>
        <w:rPr>
          <w:rFonts w:ascii="B Nazanin" w:hAnsi="B Nazanin" w:cs="B Nazanin" w:hint="cs"/>
          <w:b/>
          <w:bCs/>
          <w:sz w:val="24"/>
          <w:szCs w:val="24"/>
          <w:rtl/>
          <w:lang w:bidi="fa-IR"/>
        </w:rPr>
        <w:t xml:space="preserve">جدول ۳-۱. خلاصه ابزارهای پژوهش</w:t>
      </w:r>
    </w:p>
    <w:tbl>
      <w:tblPr>
        <w:tblStyle w:val="TableGrid"/>
        <w:tblW w:type="auto" w:w="0"/>
        <w:tblLook w:firstColumn="1" w:firstRow="1" w:lastColumn="0" w:lastRow="0" w:noHBand="0" w:noVBand="1" w:val="04A0"/>
        <w:bidiVisual/>
      </w:tblPr>
      <w:tblGrid>
        <w:gridCol w:w="1644"/>
        <w:gridCol w:w="1644"/>
        <w:gridCol w:w="1644"/>
        <w:gridCol w:w="1644"/>
        <w:gridCol w:w="1644"/>
      </w:tblGrid>
      <w:tr>
        <w:tc>
          <w:tcPr>
            <w:tcW w:type="dxa" w:w="1644"/>
          </w:tcPr>
          <w:p>
            <w:pPr>
              <w:bidi w:val="1"/>
              <w:jc w:val="center"/>
            </w:pPr>
            <w:r/>
            <w:r>
              <w:rPr>
                <w:rFonts w:ascii="B Nazanin" w:hAnsi="B Nazanin" w:cs="B Nazanin" w:hint="cs"/>
                <w:b/>
                <w:bCs/>
                <w:sz w:val="22"/>
                <w:szCs w:val="22"/>
                <w:rtl/>
                <w:lang w:bidi="fa-IR"/>
              </w:rPr>
              <w:t xml:space="preserve">ابزار</w:t>
            </w:r>
          </w:p>
        </w:tc>
        <w:tc>
          <w:tcPr>
            <w:tcW w:type="dxa" w:w="1644"/>
          </w:tcPr>
          <w:p>
            <w:pPr>
              <w:bidi w:val="1"/>
              <w:jc w:val="center"/>
            </w:pPr>
            <w:r/>
            <w:r>
              <w:rPr>
                <w:rFonts w:ascii="B Nazanin" w:hAnsi="B Nazanin" w:cs="B Nazanin" w:hint="cs"/>
                <w:b/>
                <w:bCs/>
                <w:sz w:val="22"/>
                <w:szCs w:val="22"/>
                <w:rtl/>
                <w:lang w:bidi="fa-IR"/>
              </w:rPr>
              <w:t xml:space="preserve">تعداد گویه</w:t>
            </w:r>
          </w:p>
        </w:tc>
        <w:tc>
          <w:tcPr>
            <w:tcW w:type="dxa" w:w="1644"/>
          </w:tcPr>
          <w:p>
            <w:pPr>
              <w:bidi w:val="1"/>
              <w:jc w:val="center"/>
            </w:pPr>
            <w:r/>
            <w:r>
              <w:rPr>
                <w:rFonts w:ascii="B Nazanin" w:hAnsi="B Nazanin" w:cs="B Nazanin" w:hint="cs"/>
                <w:b/>
                <w:bCs/>
                <w:sz w:val="22"/>
                <w:szCs w:val="22"/>
                <w:rtl/>
                <w:lang w:bidi="fa-IR"/>
              </w:rPr>
              <w:t xml:space="preserve">طیف پاسخ</w:t>
            </w:r>
          </w:p>
        </w:tc>
        <w:tc>
          <w:tcPr>
            <w:tcW w:type="dxa" w:w="1644"/>
          </w:tcPr>
          <w:p>
            <w:pPr>
              <w:bidi w:val="1"/>
              <w:jc w:val="center"/>
            </w:pPr>
            <w:r/>
            <w:r>
              <w:rPr>
                <w:rFonts w:ascii="B Nazanin" w:hAnsi="B Nazanin" w:cs="B Nazanin" w:hint="cs"/>
                <w:b/>
                <w:bCs/>
                <w:sz w:val="22"/>
                <w:szCs w:val="22"/>
                <w:rtl/>
                <w:lang w:bidi="fa-IR"/>
              </w:rPr>
              <w:t xml:space="preserve">دامنه نمره</w:t>
            </w:r>
          </w:p>
        </w:tc>
        <w:tc>
          <w:tcPr>
            <w:tcW w:type="dxa" w:w="1644"/>
          </w:tcPr>
          <w:p>
            <w:pPr>
              <w:bidi w:val="1"/>
              <w:jc w:val="center"/>
            </w:pPr>
            <w:r/>
            <w:r>
              <w:rPr>
                <w:rFonts w:ascii="B Nazanin" w:hAnsi="B Nazanin" w:cs="B Nazanin" w:hint="cs"/>
                <w:b/>
                <w:bCs/>
                <w:sz w:val="22"/>
                <w:szCs w:val="22"/>
                <w:rtl/>
                <w:lang w:bidi="fa-IR"/>
              </w:rPr>
              <w:t xml:space="preserve">نسخه فارسی</w:t>
            </w:r>
          </w:p>
        </w:tc>
      </w:tr>
      <w:tr>
        <w:tc>
          <w:tcPr>
            <w:tcW w:type="dxa" w:w="1644"/>
          </w:tcPr>
          <w:p>
            <w:pPr>
              <w:bidi w:val="1"/>
              <w:jc w:val="both"/>
            </w:pPr>
            <w:r/>
            <w:r>
              <w:rPr>
                <w:rFonts w:ascii="B Nazanin" w:hAnsi="B Nazanin" w:cs="B Nazanin" w:hint="cs"/>
                <w:sz w:val="22"/>
                <w:szCs w:val="22"/>
                <w:rtl/>
                <w:lang w:bidi="fa-IR"/>
              </w:rPr>
              <w:t xml:space="preserve">پرسشنامه اضطراب حالت-صفت اسپیلبرگر — فرم صفتی</w:t>
            </w:r>
            <w:r>
              <w:rPr>
                <w:rFonts w:ascii="Times New Roman" w:hAnsi="Times New Roman" w:cs="Times New Roman"/>
                <w:sz w:val="20"/>
                <w:szCs w:val="20"/>
                <w:lang w:val="en-US"/>
              </w:rPr>
              <w:t xml:space="preserve"> (STAI-Y2)</w:t>
            </w:r>
          </w:p>
        </w:tc>
        <w:tc>
          <w:tcPr>
            <w:tcW w:type="dxa" w:w="1644"/>
          </w:tcPr>
          <w:p>
            <w:pPr>
              <w:bidi w:val="1"/>
              <w:jc w:val="both"/>
            </w:pPr>
            <w:r/>
            <w:r>
              <w:rPr>
                <w:rFonts w:ascii="B Nazanin" w:hAnsi="B Nazanin" w:cs="B Nazanin" w:hint="cs"/>
                <w:sz w:val="22"/>
                <w:szCs w:val="22"/>
                <w:rtl/>
                <w:lang w:bidi="fa-IR"/>
              </w:rPr>
              <w:t xml:space="preserve">۲۰</w:t>
            </w:r>
          </w:p>
        </w:tc>
        <w:tc>
          <w:tcPr>
            <w:tcW w:type="dxa" w:w="1644"/>
          </w:tcPr>
          <w:p>
            <w:pPr>
              <w:bidi w:val="1"/>
              <w:jc w:val="both"/>
            </w:pPr>
            <w:r/>
            <w:r>
              <w:rPr>
                <w:rFonts w:ascii="B Nazanin" w:hAnsi="B Nazanin" w:cs="B Nazanin" w:hint="cs"/>
                <w:sz w:val="22"/>
                <w:szCs w:val="22"/>
                <w:rtl/>
                <w:lang w:bidi="fa-IR"/>
              </w:rPr>
              <w:t xml:space="preserve">لیکرت ۴ درجه‌ای (تقریباً هرگز تا تقریباً همیشه)</w:t>
            </w:r>
          </w:p>
        </w:tc>
        <w:tc>
          <w:tcPr>
            <w:tcW w:type="dxa" w:w="1644"/>
          </w:tcPr>
          <w:p>
            <w:pPr>
              <w:bidi w:val="1"/>
              <w:jc w:val="both"/>
            </w:pPr>
            <w:r/>
            <w:r>
              <w:rPr>
                <w:rFonts w:ascii="B Nazanin" w:hAnsi="B Nazanin" w:cs="B Nazanin" w:hint="cs"/>
                <w:sz w:val="22"/>
                <w:szCs w:val="22"/>
                <w:rtl/>
                <w:lang w:bidi="fa-IR"/>
              </w:rPr>
              <w:t xml:space="preserve">۲۰ تا ۸۰</w:t>
            </w:r>
          </w:p>
        </w:tc>
        <w:tc>
          <w:tcPr>
            <w:tcW w:type="dxa" w:w="1644"/>
          </w:tcPr>
          <w:p>
            <w:pPr>
              <w:bidi w:val="1"/>
              <w:jc w:val="both"/>
            </w:pPr>
            <w:r/>
            <w:r>
              <w:rPr>
                <w:rFonts w:ascii="B Nazanin" w:hAnsi="B Nazanin" w:cs="B Nazanin" w:hint="cs"/>
                <w:sz w:val="22"/>
                <w:szCs w:val="22"/>
                <w:rtl/>
                <w:lang w:bidi="fa-IR"/>
              </w:rPr>
              <w:t xml:space="preserve">بشارت و همکاران (۱۳۹۵)</w:t>
            </w:r>
          </w:p>
        </w:tc>
      </w:tr>
      <w:tr>
        <w:tc>
          <w:tcPr>
            <w:tcW w:type="dxa" w:w="1644"/>
          </w:tcPr>
          <w:p>
            <w:pPr>
              <w:bidi w:val="1"/>
              <w:jc w:val="both"/>
            </w:pPr>
            <w:r/>
            <w:r>
              <w:rPr>
                <w:rFonts w:ascii="B Nazanin" w:hAnsi="B Nazanin" w:cs="B Nazanin" w:hint="cs"/>
                <w:sz w:val="22"/>
                <w:szCs w:val="22"/>
                <w:rtl/>
                <w:lang w:bidi="fa-IR"/>
              </w:rPr>
              <w:t xml:space="preserve">پرسشنامه طرحواره یانگ — فرم کوتاه</w:t>
            </w:r>
            <w:r>
              <w:rPr>
                <w:rFonts w:ascii="Times New Roman" w:hAnsi="Times New Roman" w:cs="Times New Roman"/>
                <w:sz w:val="20"/>
                <w:szCs w:val="20"/>
                <w:lang w:val="en-US"/>
              </w:rPr>
              <w:t xml:space="preserve"> (YSQ-SF)</w:t>
            </w:r>
          </w:p>
        </w:tc>
        <w:tc>
          <w:tcPr>
            <w:tcW w:type="dxa" w:w="1644"/>
          </w:tcPr>
          <w:p>
            <w:pPr>
              <w:bidi w:val="1"/>
              <w:jc w:val="both"/>
            </w:pPr>
            <w:r/>
            <w:r>
              <w:rPr>
                <w:rFonts w:ascii="B Nazanin" w:hAnsi="B Nazanin" w:cs="B Nazanin" w:hint="cs"/>
                <w:sz w:val="22"/>
                <w:szCs w:val="22"/>
                <w:rtl/>
                <w:lang w:bidi="fa-IR"/>
              </w:rPr>
              <w:t xml:space="preserve">۷۵ (۱۵ خرده‌مقیاس × ۵ گویه)</w:t>
            </w:r>
          </w:p>
        </w:tc>
        <w:tc>
          <w:tcPr>
            <w:tcW w:type="dxa" w:w="1644"/>
          </w:tcPr>
          <w:p>
            <w:pPr>
              <w:bidi w:val="1"/>
              <w:jc w:val="both"/>
            </w:pPr>
            <w:r/>
            <w:r>
              <w:rPr>
                <w:rFonts w:ascii="B Nazanin" w:hAnsi="B Nazanin" w:cs="B Nazanin" w:hint="cs"/>
                <w:sz w:val="22"/>
                <w:szCs w:val="22"/>
                <w:rtl/>
                <w:lang w:bidi="fa-IR"/>
              </w:rPr>
              <w:t xml:space="preserve">لیکرت ۶ درجه‌ای (کاملاً در مورد من غلط است تا کاملاً مرا توصیف می‌کند)</w:t>
            </w:r>
          </w:p>
        </w:tc>
        <w:tc>
          <w:tcPr>
            <w:tcW w:type="dxa" w:w="1644"/>
          </w:tcPr>
          <w:p>
            <w:pPr>
              <w:bidi w:val="1"/>
              <w:jc w:val="both"/>
            </w:pPr>
            <w:r/>
            <w:r>
              <w:rPr>
                <w:rFonts w:ascii="B Nazanin" w:hAnsi="B Nazanin" w:cs="B Nazanin" w:hint="cs"/>
                <w:sz w:val="22"/>
                <w:szCs w:val="22"/>
                <w:rtl/>
                <w:lang w:bidi="fa-IR"/>
              </w:rPr>
              <w:t xml:space="preserve">۵ تا ۳۰ برای هر طرحواره</w:t>
            </w:r>
          </w:p>
        </w:tc>
        <w:tc>
          <w:tcPr>
            <w:tcW w:type="dxa" w:w="1644"/>
          </w:tcPr>
          <w:p>
            <w:pPr>
              <w:bidi w:val="1"/>
              <w:jc w:val="both"/>
            </w:pPr>
            <w:r/>
            <w:r>
              <w:rPr>
                <w:rFonts w:ascii="B Nazanin" w:hAnsi="B Nazanin" w:cs="B Nazanin" w:hint="cs"/>
                <w:sz w:val="22"/>
                <w:szCs w:val="22"/>
                <w:rtl/>
                <w:lang w:bidi="fa-IR"/>
              </w:rPr>
              <w:t xml:space="preserve">یوسفی (۱۳۹۶)</w:t>
            </w:r>
          </w:p>
        </w:tc>
      </w:tr>
      <w:tr>
        <w:tc>
          <w:tcPr>
            <w:tcW w:type="dxa" w:w="1644"/>
          </w:tcPr>
          <w:p>
            <w:pPr>
              <w:bidi w:val="1"/>
              <w:jc w:val="both"/>
            </w:pPr>
            <w:r/>
            <w:r>
              <w:rPr>
                <w:rFonts w:ascii="B Nazanin" w:hAnsi="B Nazanin" w:cs="B Nazanin" w:hint="cs"/>
                <w:sz w:val="22"/>
                <w:szCs w:val="22"/>
                <w:rtl/>
                <w:lang w:bidi="fa-IR"/>
              </w:rPr>
              <w:t xml:space="preserve">مقیاس تحمل ریسک مالی گرابل و لایتون</w:t>
            </w:r>
            <w:r>
              <w:rPr>
                <w:rFonts w:ascii="Times New Roman" w:hAnsi="Times New Roman" w:cs="Times New Roman"/>
                <w:sz w:val="20"/>
                <w:szCs w:val="20"/>
                <w:lang w:val="en-US"/>
              </w:rPr>
              <w:t xml:space="preserve"> (GL-RTS)</w:t>
            </w:r>
          </w:p>
        </w:tc>
        <w:tc>
          <w:tcPr>
            <w:tcW w:type="dxa" w:w="1644"/>
          </w:tcPr>
          <w:p>
            <w:pPr>
              <w:bidi w:val="1"/>
              <w:jc w:val="both"/>
            </w:pPr>
            <w:r/>
            <w:r>
              <w:rPr>
                <w:rFonts w:ascii="B Nazanin" w:hAnsi="B Nazanin" w:cs="B Nazanin" w:hint="cs"/>
                <w:sz w:val="22"/>
                <w:szCs w:val="22"/>
                <w:rtl/>
                <w:lang w:bidi="fa-IR"/>
              </w:rPr>
              <w:t xml:space="preserve">۱۳</w:t>
            </w:r>
          </w:p>
        </w:tc>
        <w:tc>
          <w:tcPr>
            <w:tcW w:type="dxa" w:w="1644"/>
          </w:tcPr>
          <w:p>
            <w:pPr>
              <w:bidi w:val="1"/>
              <w:jc w:val="both"/>
            </w:pPr>
            <w:r/>
            <w:r>
              <w:rPr>
                <w:rFonts w:ascii="B Nazanin" w:hAnsi="B Nazanin" w:cs="B Nazanin" w:hint="cs"/>
                <w:sz w:val="22"/>
                <w:szCs w:val="22"/>
                <w:rtl/>
                <w:lang w:bidi="fa-IR"/>
              </w:rPr>
              <w:t xml:space="preserve">تک‌گزینه‌ای با ۴ گزینه متنی ویژه هر سؤال</w:t>
            </w:r>
          </w:p>
        </w:tc>
        <w:tc>
          <w:tcPr>
            <w:tcW w:type="dxa" w:w="1644"/>
          </w:tcPr>
          <w:p>
            <w:pPr>
              <w:bidi w:val="1"/>
              <w:jc w:val="both"/>
            </w:pPr>
            <w:r/>
            <w:r>
              <w:rPr>
                <w:rFonts w:ascii="B Nazanin" w:hAnsi="B Nazanin" w:cs="B Nazanin" w:hint="cs"/>
                <w:sz w:val="22"/>
                <w:szCs w:val="22"/>
                <w:rtl/>
                <w:lang w:bidi="fa-IR"/>
              </w:rPr>
              <w:t xml:space="preserve">۱۳ تا ۴۵</w:t>
            </w:r>
          </w:p>
        </w:tc>
        <w:tc>
          <w:tcPr>
            <w:tcW w:type="dxa" w:w="1644"/>
          </w:tcPr>
          <w:p>
            <w:pPr>
              <w:bidi w:val="1"/>
              <w:jc w:val="both"/>
            </w:pPr>
            <w:r/>
            <w:r>
              <w:rPr>
                <w:rFonts w:ascii="B Nazanin" w:hAnsi="B Nazanin" w:cs="B Nazanin" w:hint="cs"/>
                <w:sz w:val="22"/>
                <w:szCs w:val="22"/>
                <w:rtl/>
                <w:lang w:bidi="fa-IR"/>
              </w:rPr>
              <w:t xml:space="preserve">طالبی و همکاران (۱۳۹۸)</w:t>
            </w:r>
          </w:p>
        </w:tc>
      </w:tr>
    </w:tbl>
    <w:p>
      <w:pPr>
        <w:bidi w:val="1"/>
        <w:spacing w:lineRule="exact" w:line="580" w:after="0"/>
        <w:jc w:val="both"/>
      </w:pPr>
      <w:r>
        <w:rPr>
          <w:rFonts w:ascii="B Nazanin" w:hAnsi="B Nazanin" w:cs="B Nazanin" w:hint="cs"/>
          <w:sz w:val="24"/>
          <w:szCs w:val="24"/>
          <w:rtl/>
          <w:lang w:bidi="fa-IR"/>
        </w:rPr>
        <w:t xml:space="preserve">سه ابزار معرفی‌شده با مدل میانجی‌گری پژوهش هم‌راستا هستند؛ به این صورت که فرم صفتی اسپیلبرگر متغیر مستقل (اضطراب صفتی)، فرم کوتاه پرسشنامه طرحواره یانگ متغیر میانجی (طرحواره‌های ناسازگار اولیه) و مقیاس تحمل ریسک مالی گرابل و لایتون متغیر وابسته (رفتارهای مالی پرخطر) را می‌سنجند. جهت نمره‌گذاری در هر سه ابزار به گونه‌ای تنظیم شده است که نمره بالاتر، نشان‌دهنده شدت بیشتر سازه متناظر باشد و این ویژگی، تفسیر روابط فرضیه‌های پژوهش را در فصل چهارم تسهیل می‌کند. هر سه ابزار به همراه سؤالات جمعیت‌شناختی در یک پرسشنامه آنلاین یکپارچه در پلتفرم پرس‌لاین اجرا می‌شوند تا نرخ ریزش شرکت‌کنندگان در میانه پاسخ‌دهی به حداقل برسد.</w:t>
      </w:r>
    </w:p>
    <w:p>
      <w:pPr>
        <w:pStyle w:val="Heading2"/>
        <w:bidi w:val="1"/>
        <w:jc w:val="right"/>
      </w:pPr>
      <w:r>
        <w:rPr>
          <w:rFonts w:ascii="B Nazanin" w:hAnsi="B Nazanin" w:cs="B Nazanin" w:hint="cs"/>
          <w:b/>
          <w:bCs/>
          <w:sz w:val="28"/>
          <w:szCs w:val="28"/>
          <w:rtl/>
          <w:lang w:bidi="fa-IR"/>
        </w:rPr>
        <w:t xml:space="preserve">۳-۵. روش اجرای پژوهش</w:t>
      </w:r>
    </w:p>
    <w:p>
      <w:pPr>
        <w:bidi w:val="1"/>
        <w:spacing w:lineRule="exact" w:line="580" w:after="0"/>
        <w:jc w:val="both"/>
      </w:pPr>
      <w:r>
        <w:rPr>
          <w:rFonts w:ascii="B Nazanin" w:hAnsi="B Nazanin" w:cs="B Nazanin" w:hint="cs"/>
          <w:sz w:val="24"/>
          <w:szCs w:val="24"/>
          <w:rtl/>
          <w:lang w:bidi="fa-IR"/>
        </w:rPr>
        <w:t xml:space="preserve">اجرای پژوهش حاضر به‌صورت آنلاین و از طریق یک فرم یکپارچه در نظر گرفته شده است و همه مراحل آن — از اخذ رضایت آگاهانه تا آماده‌سازی داده‌ها برای تحلیل — بر اساس مصوبات پروپوزال طراحی شده است. پیش‌شرط آغاز گردآوری داده‌ها، طی‌شدن دو مرحله اداری است: تصویب نهایی پروپوزال در شورای پژوهشی دانشکده و ارسال آن به کمیته اخلاق در پژوهش دانشگاه علم و هنر یزد جهت اخذ کد اخلاق؛ بنابراین جمع‌آوری داده‌ها تنها پس از دریافت تأییدیه نهایی کمیته اخلاق آغاز خواهد شد.</w:t>
      </w:r>
    </w:p>
    <w:p>
      <w:pPr>
        <w:bidi w:val="1"/>
        <w:spacing w:lineRule="exact" w:line="580" w:after="0"/>
        <w:jc w:val="both"/>
      </w:pPr>
      <w:r>
        <w:rPr>
          <w:rFonts w:ascii="B Nazanin" w:hAnsi="B Nazanin" w:cs="B Nazanin" w:hint="cs"/>
          <w:sz w:val="24"/>
          <w:szCs w:val="24"/>
          <w:rtl/>
          <w:lang w:bidi="fa-IR"/>
        </w:rPr>
        <w:t xml:space="preserve">ساختار فرم آنلاین که در پلتفرم پرس‌لاین طراحی شده است، صفحه‌های زیر را به ترتیب در بر می‌گیرد: صفحه معرفی پژوهش؛ صفحه رضایت‌نامه آگاهانه همراه با سؤال موافقت؛ سه سؤال غربالگری؛ سؤالات جمعیت‌شناختی و معاملاتی؛ پرسشنامه اضطراب حالت-صفت اسپیلبرگر — فرم صفتی؛ پرسشنامه طرحواره یانگ — فرم کوتاه در سه صفحه متوالی؛ مقیاس تحمل ریسک مالی گرابل و لایتون؛ و در پایان، صفحه تشکر. همه سؤالات فرم اجباری تنظیم شده‌اند تا از ثبت داده ناقص جلوگیری شود، نوار پیشرفت برای شرکت‌کنندگان فعال است و تکمیل فرم حدود ۱۵ تا ۲۰ دقیقه برآورد می‌شود.</w:t>
      </w:r>
    </w:p>
    <w:p>
      <w:pPr>
        <w:bidi w:val="1"/>
        <w:spacing w:lineRule="exact" w:line="580" w:after="0"/>
        <w:jc w:val="both"/>
      </w:pPr>
      <w:r>
        <w:rPr>
          <w:rFonts w:ascii="B Nazanin" w:hAnsi="B Nazanin" w:cs="B Nazanin" w:hint="cs"/>
          <w:sz w:val="24"/>
          <w:szCs w:val="24"/>
          <w:rtl/>
          <w:lang w:bidi="fa-IR"/>
        </w:rPr>
        <w:t xml:space="preserve">مراحل اخذ رضایت آگاهانه به این صورت طراحی شده است که در صفحه نخست، متن کامل رضایت‌نامه شامل اهداف پژوهش، ماهیت داوطلبانه شرکت، تضمین کامل محرمانه‌ماندن و ناشناس‌بودن اطلاعات شرکت‌کنندگان به‌طور شفاف در اختیار شرکت‌کننده قرار می‌گیرد و بر داوطلبانه و آزادانه‌بودن رضایت تأکید می‌شود. سپس سؤال تک‌گزینه‌ای موافقت با دو گزینه «بله، رضایت دارم» و «خیر، مایل به شرکت نیستم» نمایش داده می‌شود. تنها در صورت انتخاب گزینه موافقت، ورود به ادامه فرم ممکن خواهد بود و در غیر این صورت، فرم با پیام تشکر پایان می‌یابد.</w:t>
      </w:r>
    </w:p>
    <w:p>
      <w:pPr>
        <w:bidi w:val="1"/>
        <w:spacing w:lineRule="exact" w:line="580" w:after="0"/>
        <w:jc w:val="both"/>
      </w:pPr>
      <w:r>
        <w:rPr>
          <w:rFonts w:ascii="B Nazanin" w:hAnsi="B Nazanin" w:cs="B Nazanin" w:hint="cs"/>
          <w:sz w:val="24"/>
          <w:szCs w:val="24"/>
          <w:rtl/>
          <w:lang w:bidi="fa-IR"/>
        </w:rPr>
        <w:t xml:space="preserve">پس از تأیید رضایت، نوبت به منطق غربالگری می‌رسد؛ منطقی متشکل از سه سؤال بله/خیر اجباری: (۱) داشتن ۱۸ سال یا بیشتر؛ (۲) معامله‌گر حقیقی بودن و معامله با سرمایه شخصی؛ و (۳) داشتن حداقل شش ماه سابقه معامله‌گری واقعی. در هر یک از این سه سؤال، پاسخ منفی به پایان فرم و نمایش پیام تشکر منجر می‌شود؛ به این ترتیب، ملاک‌های ورود به‌صورت خودکار و پیش از ورود به بخش اصلی پرسشنامه‌ها اعمال می‌شوند و تنها شرکت‌کنندگان واجد شرایط به ابزارهای اصلی دسترسی خواهند یافت. این منطق غربالگری در فرم آنلاین به‌صورت شرطی پیاده‌سازی شده است تا هیچ پاسخ غیرمربوطی وارد داده‌های تحلیل نشود.</w:t>
      </w:r>
    </w:p>
    <w:p>
      <w:pPr>
        <w:bidi w:val="1"/>
        <w:spacing w:lineRule="exact" w:line="580" w:after="0"/>
        <w:jc w:val="both"/>
      </w:pPr>
      <w:r>
        <w:rPr>
          <w:rFonts w:ascii="B Nazanin" w:hAnsi="B Nazanin" w:cs="B Nazanin" w:hint="cs"/>
          <w:sz w:val="24"/>
          <w:szCs w:val="24"/>
          <w:rtl/>
          <w:lang w:bidi="fa-IR"/>
        </w:rPr>
        <w:t xml:space="preserve">ترتیب اجرای پرسشنامه‌ها نیز به این صورت است. نخست اطلاعات جمعیت‌شناختی و معاملاتی ثبت می‌شود؛ متغیرهایی شامل سن، جنسیت، وضعیت تأهل، سطح تحصیلات و وضعیت اشتغال، و نیز بازار اصلی فعالیت، سابقه معامله‌گری به ماه، تعداد معاملات در شش ماه اخیر و حدود سرمایه. سپس پرسشنامه اضطراب صفتی اسپیلبرگر اجرا می‌شود؛ پس از آن پرسشنامه طرحواره‌های ناسازگار اولیه یانگ در سه صفحه ارائه می‌شود؛ و در نهایت مقیاس تحمل ریسک مالی گرابل و لایتون اجرا خواهد شد. این ترتیب در مشخصه ساخت فرم آنلاین نیز به همین شکل تعیین شده است.</w:t>
      </w:r>
    </w:p>
    <w:p>
      <w:pPr>
        <w:bidi w:val="1"/>
        <w:spacing w:lineRule="exact" w:line="580" w:after="0"/>
        <w:jc w:val="both"/>
      </w:pPr>
      <w:r>
        <w:rPr>
          <w:rFonts w:ascii="B Nazanin" w:hAnsi="B Nazanin" w:cs="B Nazanin" w:hint="cs"/>
          <w:sz w:val="24"/>
          <w:szCs w:val="24"/>
          <w:rtl/>
          <w:lang w:bidi="fa-IR"/>
        </w:rPr>
        <w:t xml:space="preserve">گردآوری داده‌ها به مدت تقریبی دو ماه برنامه‌ریزی شده است. لینک فرم از طریق کانال‌ها، گروه‌ها و انجمن‌های تخصصی معامله‌گری در شبکه‌های اجتماعی (مانند تلگرام، اینستاگرام و سایر پلتفرم‌ها) منتشر خواهد شد و از شرکت‌کنندگان واجد شرایط نیز خواسته می‌شود لینک را برای سایر معامله‌گران آشنای خود ارسال کنند. پس از رسیدن به حجم نمونه هدف، گردآوری داده‌ها متوقف می‌شود. از آنجا که فرآیند گردآوری کاملاً آنلاین انجام می‌شود، همه مراحل اجرا برای تمامی شرکت‌کنندگان با ترتیب یکسانی صورت می‌گیرد و شرایط اجرا برای همه افراد یکسان است؛ این یکنواختی، قابلیت مقایسه پاسخ‌ها را افزایش می‌دهد و در پایان فرم نیز صفحه تشکر از شرکت‌کنندگان نمایش داده می‌شود.</w:t>
      </w:r>
    </w:p>
    <w:p>
      <w:pPr>
        <w:bidi w:val="1"/>
        <w:spacing w:lineRule="exact" w:line="580" w:after="0"/>
        <w:jc w:val="both"/>
      </w:pPr>
      <w:r>
        <w:rPr>
          <w:rFonts w:ascii="B Nazanin" w:hAnsi="B Nazanin" w:cs="B Nazanin" w:hint="cs"/>
          <w:sz w:val="24"/>
          <w:szCs w:val="24"/>
          <w:rtl/>
          <w:lang w:bidi="fa-IR"/>
        </w:rPr>
        <w:t xml:space="preserve">در راستای حفاظت از ناشناس‌بودن پاسخ‌ها، در فرم هیچ سؤالی برای دریافت نام، شماره تماس، کد ملی یا ایمیل گنجانده نشده است و اطلاعات هویتی ذخیره نخواهد شد. برای جلوگیری از ثبت پاسخ تکراری نیز محدودیت «هر کاربر فقط یک بار» بدون ذخیره هیچ داده هویتی فعال می‌شود.</w:t>
      </w:r>
    </w:p>
    <w:p>
      <w:pPr>
        <w:bidi w:val="1"/>
        <w:spacing w:lineRule="exact" w:line="580" w:after="0"/>
        <w:jc w:val="both"/>
      </w:pPr>
      <w:r>
        <w:rPr>
          <w:rFonts w:ascii="B Nazanin" w:hAnsi="B Nazanin" w:cs="B Nazanin" w:hint="cs"/>
          <w:sz w:val="24"/>
          <w:szCs w:val="24"/>
          <w:rtl/>
          <w:lang w:bidi="fa-IR"/>
        </w:rPr>
        <w:t xml:space="preserve">کنترل کیفیت داده‌ها پس از اتمام گردآوری و در مرحله پاک‌سازی صورت می‌گیرد. در این مرحله، پاسخ‌های فاقد تأیید رضایت‌نامه حذف می‌شوند؛ فرم‌های ناقص کنار گذاشته می‌شوند؛ پاسخ‌هایی که الگوی یکنواخت و غیرواقعی دارند (مانند انتخاب یک گزینه ثابت در همه گویه‌ها) شناسایی و از مجموعه داده خارج می‌شوند؛ پاسخ‌هایی که زمان تکمیل آن‌ها به‌طور نامتعارفی کوتاه‌تر از حداقل زمان لازم برای مطالعه سؤالات باشد حذف می‌گردند؛ و تکرار احتمالی پاسخ‌ها نیز بررسی می‌شود. همچنین در صورت مشاهده پاسخ‌های مشابه از سوی بیش از یک نفر، موارد تکراری بررسی و در صورت لزوم حذف می‌شوند. در پایان، داده‌های باقی‌مانده بر اساس کدهای خروجی فرم کدگذاری می‌شوند و برای تحلیل در اختیار نرم‌افزار آماری قرار می‌گیرند.</w:t>
      </w:r>
    </w:p>
    <w:p>
      <w:pPr>
        <w:pStyle w:val="Heading2"/>
        <w:bidi w:val="1"/>
        <w:jc w:val="right"/>
      </w:pPr>
      <w:r>
        <w:rPr>
          <w:rFonts w:ascii="B Nazanin" w:hAnsi="B Nazanin" w:cs="B Nazanin" w:hint="cs"/>
          <w:b/>
          <w:bCs/>
          <w:sz w:val="28"/>
          <w:szCs w:val="28"/>
          <w:rtl/>
          <w:lang w:bidi="fa-IR"/>
        </w:rPr>
        <w:t xml:space="preserve">۳-۶. روش تحلیل داده‌ها</w:t>
      </w:r>
    </w:p>
    <w:p>
      <w:pPr>
        <w:bidi w:val="1"/>
        <w:spacing w:lineRule="exact" w:line="580" w:after="0"/>
        <w:jc w:val="both"/>
      </w:pPr>
      <w:r>
        <w:rPr>
          <w:rFonts w:ascii="B Nazanin" w:hAnsi="B Nazanin" w:cs="B Nazanin" w:hint="cs"/>
          <w:sz w:val="24"/>
          <w:szCs w:val="24"/>
          <w:rtl/>
          <w:lang w:bidi="fa-IR"/>
        </w:rPr>
        <w:t xml:space="preserve">تحلیل داده‌ها در دو سطح توصیفی و استنباطی و بر اساس طرح تحلیلی مندرج در پروپوزال صورت می‌گیرد. در این بخش، مراحل آماده‌سازی داده‌ها، شاخص‌های توصیفی، روش ارزیابی پایایی ابزارها، پیش‌فرض‌های تحلیل، روش‌های آزمون فرضیه‌ها و نرم‌افزارهای مورد استفاده به تفصیل بیان می‌شود.</w:t>
      </w:r>
    </w:p>
    <w:p>
      <w:pPr>
        <w:bidi w:val="1"/>
        <w:spacing w:lineRule="exact" w:line="580" w:after="0"/>
        <w:jc w:val="both"/>
      </w:pPr>
      <w:r>
        <w:rPr>
          <w:rFonts w:ascii="B Nazanin" w:hAnsi="B Nazanin" w:cs="B Nazanin" w:hint="cs"/>
          <w:b/>
          <w:bCs/>
          <w:sz w:val="24"/>
          <w:szCs w:val="24"/>
          <w:rtl/>
          <w:lang w:bidi="fa-IR"/>
        </w:rPr>
        <w:t xml:space="preserve">آماده‌سازی داده‌ها.</w:t>
      </w:r>
      <w:r>
        <w:rPr>
          <w:rFonts w:ascii="B Nazanin" w:hAnsi="B Nazanin" w:cs="B Nazanin" w:hint="cs"/>
          <w:sz w:val="24"/>
          <w:szCs w:val="24"/>
          <w:rtl/>
          <w:lang w:bidi="fa-IR"/>
        </w:rPr>
        <w:t xml:space="preserve"> پس از پایان گردآوری و اعمال کنترل‌های کیفی بیان‌شده در بخش روش اجرا، داده‌های خام بر اساس کدهای خروجی فرم شامل سؤالات جمعیت‌شناختی و معاملاتی، گویه‌های اضطراب صفتی، گویه‌های طرحواره‌ها و سؤالات تحمل ریسک کدگذاری می‌شوند؛ متغیرهای طبقه‌ای مانند جنسیت، سطح تحصیلات و بازار اصلی فعالیت نیز در همین مرحله کد عددی می‌گیرند. نمره‌گذاری گویه‌ها بر اساس راهنمای رسمی هر ابزار صورت می‌گیرد (اسپیلبرگر، ۱۹۸۳؛ یانگ، ۱۹۹۸؛ گرابل و لایتون، ۱۹۹۹). برای فرم صفتی اسپیلبرگر، نمره کل با احتساب نمره‌گذاری معکوس گویه‌های معکوس طبق راهنمای ابزار، در دامنه ۲۰ تا ۸۰ محاسبه می‌شود؛ برای فرم کوتاه یانگ، نمره هر یک از ۱۵ طرحواره در دامنه ۵ تا ۳۰ به دست می‌آید؛ و نمره کل مقیاس تحمل ریسک مالی بین ۱۳ تا ۴۵ محاسبه می‌شود. از آنجا که کلید نمره‌گذاری، فهرست گویه‌های معکوس و مرز خرده‌مقیاس‌ها در فرم منتشرشده درج نشده است، این کلیدها پیش از تحلیل از راهنمای اصلی ابزارها استخراج می‌شوند. در همین مرحله، داده‌های ناقص باقی‌مانده، پاسخ‌های پرت و الگوهای مشکوک نیز بررسی می‌شوند و وضعیت آن‌ها تعیین می‌گردد. گفتنی است که به دلیل اجباری‌بودن همه سؤالات فرم، وقوع داده گمشده به حداقل ممکن محدود شده است و موارد معدود باقی‌مانده نیز پیش از تحلیل رسیدگی می‌شوند.</w:t>
      </w:r>
    </w:p>
    <w:p>
      <w:pPr>
        <w:bidi w:val="1"/>
        <w:spacing w:lineRule="exact" w:line="580" w:after="0"/>
        <w:jc w:val="both"/>
      </w:pPr>
      <w:r>
        <w:rPr>
          <w:rFonts w:ascii="B Nazanin" w:hAnsi="B Nazanin" w:cs="B Nazanin" w:hint="cs"/>
          <w:b/>
          <w:bCs/>
          <w:sz w:val="24"/>
          <w:szCs w:val="24"/>
          <w:rtl/>
          <w:lang w:bidi="fa-IR"/>
        </w:rPr>
        <w:t xml:space="preserve">آمار توصیفی.</w:t>
      </w:r>
      <w:r>
        <w:rPr>
          <w:rFonts w:ascii="B Nazanin" w:hAnsi="B Nazanin" w:cs="B Nazanin" w:hint="cs"/>
          <w:sz w:val="24"/>
          <w:szCs w:val="24"/>
          <w:rtl/>
          <w:lang w:bidi="fa-IR"/>
        </w:rPr>
        <w:t xml:space="preserve"> برای توصیف متغیرهای اصلی پژوهش — اضطراب صفتی، طرحواره‌های ناسازگار اولیه و رفتارهای مالی پرخطر — از شاخص‌های میانگین، انحراف معیار، حداقل و حداکثر استفاده می‌شود. برای متغیرهای جمعیت‌شناختی و معاملاتی نیز فراوانی و درصد گزارش می‌شود؛ این متغیرها شامل سن، جنسیت، وضعیت تأهل و سطح تحصیلات از یک سو و وضعیت اشتغال، بازار اصلی فعالیت و سابقه معامله‌گری از سوی دیگر هستند. این شاخص‌ها تصویری کلی از ویژگی‌های نمونه ارائه می‌دهند و مبنای تفسیر یافته‌های استنباطی خواهند بود و در قالب جدول و نمودار در فصل چهارم ارائه می‌شوند.</w:t>
      </w:r>
    </w:p>
    <w:p>
      <w:pPr>
        <w:bidi w:val="1"/>
        <w:spacing w:lineRule="exact" w:line="580" w:after="0"/>
        <w:jc w:val="both"/>
      </w:pPr>
      <w:r>
        <w:rPr>
          <w:rFonts w:ascii="B Nazanin" w:hAnsi="B Nazanin" w:cs="B Nazanin" w:hint="cs"/>
          <w:b/>
          <w:bCs/>
          <w:sz w:val="24"/>
          <w:szCs w:val="24"/>
          <w:rtl/>
          <w:lang w:bidi="fa-IR"/>
        </w:rPr>
        <w:t xml:space="preserve">پایایی ابزارها در نمونه پژوهش.</w:t>
      </w:r>
      <w:r>
        <w:rPr>
          <w:rFonts w:ascii="B Nazanin" w:hAnsi="B Nazanin" w:cs="B Nazanin" w:hint="cs"/>
          <w:sz w:val="24"/>
          <w:szCs w:val="24"/>
          <w:rtl/>
          <w:lang w:bidi="fa-IR"/>
        </w:rPr>
        <w:t xml:space="preserve"> پایایی درونی هر سه ابزار برای نمونه پژوهش حاضر با آلفای کرونباخ محاسبه می‌شود و مقادیر آن به تفکیک ابزار و خرده‌مقیاس‌ها در فصل چهارم گزارش خواهد شد. افزون بر نمره‌های کل سه ابزار، پایایی ۱۵ خرده‌مقیاس فرم کوتاه یانگ نیز به‌صورت جداگانه ارزیابی می‌شود. از آنجا که در این مرحله از تدوین رساله هنوز داده‌ای گردآوری نشده است، هیچ مقدار عددی برای پایایی در این فصل ذکر نمی‌شود و گزارش کمّی آن به فصل چهارم موکول می‌گردد و سازگاری مقادیر به‌دست‌آمده با یافته‌های روان‌سنجی پژوهش‌های پیشین نیز در همان فصل بحث می‌شود.</w:t>
      </w:r>
    </w:p>
    <w:p>
      <w:pPr>
        <w:bidi w:val="1"/>
        <w:spacing w:lineRule="exact" w:line="580" w:after="0"/>
        <w:jc w:val="both"/>
      </w:pPr>
      <w:r>
        <w:rPr>
          <w:rFonts w:ascii="B Nazanin" w:hAnsi="B Nazanin" w:cs="B Nazanin" w:hint="cs"/>
          <w:b/>
          <w:bCs/>
          <w:sz w:val="24"/>
          <w:szCs w:val="24"/>
          <w:rtl/>
          <w:lang w:bidi="fa-IR"/>
        </w:rPr>
        <w:t xml:space="preserve">بررسی پیش‌فرض‌های تحلیل.</w:t>
      </w:r>
      <w:r>
        <w:rPr>
          <w:rFonts w:ascii="B Nazanin" w:hAnsi="B Nazanin" w:cs="B Nazanin" w:hint="cs"/>
          <w:sz w:val="24"/>
          <w:szCs w:val="24"/>
          <w:rtl/>
          <w:lang w:bidi="fa-IR"/>
        </w:rPr>
        <w:t xml:space="preserve"> پیش از اجرای آزمون‌های استنباطی، مفروضه‌های لازم بررسی می‌شوند: نرمال‌بودن توزیع متغیرها با شاخص‌های توصیفی مانند چولگی و کشیدگی و نیز بررسی نمودارها ارزیابی می‌شود. در صورت انحراف شدید از توزیع نرمال نیز تصمیم مقتضی درباره شیوه تحلیل بر همین اساس اتخاذ می‌گردد. خطی‌بودن روابط میان متغیرها بررسی می‌شود؛ نبود هم‌خطی شدید میان متغیرهای پیش‌بین ارزیابی می‌گردد؛ داده‌های پرت — که می‌توانند برآورد ضرایب همبستگی و پارامترهای مدل میانجی‌گری را مخدوش کنند — شناسایی و وضعیت آن‌ها تعیین می‌شود؛ و کفایت حجم نمونه برای روش اصلی تحلیل مورد ارزیابی قرار می‌گیرد. بر اساس قواعد تجربی مدل‌یابی معادلات ساختاری، حجم نمونه‌ای در حدود ۲۰۰ نفر برای برآوردهای پایا مناسب تلقی می‌شود (کلاین، ۲۰۱۶)؛ همان‌گونه که در بخش حجم نمونه بیان شد، هدف پژوهش رسیدن به همین کران است و در صورت عدم دسترسی کافی، تحلیل با حداقل ۱۰۰ نفر و با ذکر صریح محدودیت انجام می‌گیرد. نتیجه بررسی این پیش‌فرض‌ها، چارچوب روش تحلیلی نهایی را مشخص می‌کند و مستندسازی آن در گزارش فصل چهارم انجام می‌گیرد.</w:t>
      </w:r>
    </w:p>
    <w:p>
      <w:pPr>
        <w:bidi w:val="1"/>
        <w:spacing w:lineRule="exact" w:line="580" w:after="0"/>
        <w:jc w:val="both"/>
      </w:pPr>
      <w:r>
        <w:rPr>
          <w:rFonts w:ascii="B Nazanin" w:hAnsi="B Nazanin" w:cs="B Nazanin" w:hint="cs"/>
          <w:b/>
          <w:bCs/>
          <w:sz w:val="24"/>
          <w:szCs w:val="24"/>
          <w:rtl/>
          <w:lang w:bidi="fa-IR"/>
        </w:rPr>
        <w:t xml:space="preserve">آزمون فرضیه‌های فرعی.</w:t>
      </w:r>
      <w:r>
        <w:rPr>
          <w:rFonts w:ascii="B Nazanin" w:hAnsi="B Nazanin" w:cs="B Nazanin" w:hint="cs"/>
          <w:sz w:val="24"/>
          <w:szCs w:val="24"/>
          <w:rtl/>
          <w:lang w:bidi="fa-IR"/>
        </w:rPr>
        <w:t xml:space="preserve"> برای بررسی روابط دوجانبه میان متغیرهای پژوهش در قالب فرضیه‌های فرعی، از ضریب همبستگی پیرسون استفاده خواهد شد؛ پیش از آن، ماتریس همبستگی میان همه متغیرهای اصلی تشکیل می‌شود که مبنای بررسی هم‌خطی نیز خواهد بود. این ضریب، جهت و شدت رابطه خطی میان هر جفت از متغیرها را نشان می‌دهد. باید توجه داشت که با توجه به مقطعی‌بودن طرح پژوهش، همبستگی‌ها صرفاً در سطح رابطه تفسیر می‌شوند و دلالت علّی ندارند. سطح معناداری در همه آزمون‌های پژوهش ۰٫۰۵ در نظر گرفته شده است.</w:t>
      </w:r>
    </w:p>
    <w:p>
      <w:pPr>
        <w:bidi w:val="1"/>
        <w:spacing w:lineRule="exact" w:line="580" w:after="0"/>
        <w:jc w:val="both"/>
      </w:pPr>
      <w:r>
        <w:rPr>
          <w:rFonts w:ascii="B Nazanin" w:hAnsi="B Nazanin" w:cs="B Nazanin" w:hint="cs"/>
          <w:b/>
          <w:bCs/>
          <w:sz w:val="24"/>
          <w:szCs w:val="24"/>
          <w:rtl/>
          <w:lang w:bidi="fa-IR"/>
        </w:rPr>
        <w:t xml:space="preserve">آزمون فرضیه اصلی و مدل میانجی‌گری.</w:t>
      </w:r>
      <w:r>
        <w:rPr>
          <w:rFonts w:ascii="B Nazanin" w:hAnsi="B Nazanin" w:cs="B Nazanin" w:hint="cs"/>
          <w:sz w:val="24"/>
          <w:szCs w:val="24"/>
          <w:rtl/>
          <w:lang w:bidi="fa-IR"/>
        </w:rPr>
        <w:t xml:space="preserve"> برای آزمون نقش میانجی طرحواره‌های ناسازگار اولیه در رابطه میان اضطراب صفتی و رفتارهای مالی پرخطر، دو چارچوب تحلیلی در نظر گرفته شده است. در این مدل، اثر کل اضطراب صفتی بر رفتارهای مالی پرخطر به دو مؤلفه اثر مستقیم و اثر غیرمستقیم تجزیه می‌شود و مؤلفه غیرمستقیم، مسیری است که از مجرای طرحواره‌های ناسازگار اولیه عبور می‌کند. روش اصلی، مدل‌سازی معادلات ساختاری در نرم‌افزار</w:t>
      </w:r>
      <w:r>
        <w:rPr>
          <w:rFonts w:ascii="Times New Roman" w:hAnsi="Times New Roman" w:cs="Times New Roman"/>
          <w:sz w:val="22"/>
          <w:szCs w:val="22"/>
          <w:lang w:val="en-US"/>
        </w:rPr>
        <w:t xml:space="preserve"> Amos </w:t>
      </w:r>
      <w:r>
        <w:rPr>
          <w:rFonts w:ascii="B Nazanin" w:hAnsi="B Nazanin" w:cs="B Nazanin" w:hint="cs"/>
          <w:sz w:val="24"/>
          <w:szCs w:val="24"/>
          <w:rtl/>
          <w:lang w:bidi="fa-IR"/>
        </w:rPr>
        <w:t xml:space="preserve">است که در صورت کفایت حجم نمونه (در حدود ۲۰۰ نفر) به کار می‌رود و برازش مدل با شاخص‌های کای‌دو نسبت به درجه آزادی، شاخص برازش تطبیقی و ریشه میانگین مربعات خطای برآورد ارزیابی می‌شود. روش جایگزین و تکمیلی، تحلیل مسیر با ماکروی</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و الگوی شماره ۴ است که اثرات مستقیم و غیرمستقیم را برآورد می‌کند و معناداری اثر غیرمستقیم از طریق روش بوت‌استرپ همراه با فاصله اطمینان ۹۵ درصد آزمون می‌شود (هایز، ۲۰۱۸)؛ در این چارچوب، در صورتی که فاصله اطمینان بوت‌استرپ برای اثر غیرمستقیم عدد صفر را در بر نگیرد، اثر میانجی در سطح ۰٫۰۵ معنادار تلقی می‌شود. انتخاب میان این دو روش بر اساس حجم نهایی نمونه تحقق‌یافته و نتایج بررسی پیش‌فرض‌ها صورت می‌گیرد؛ در هر دو حالت، تفسیر نتایج بر اساس منطق میانجی‌گری و در چارچوب نظری پژوهش انجام می‌شود و هیچ نتیجه‌ای پیش از گردآوری و تحلیل واقعی داده‌ها قابل گزارش نیست.</w:t>
      </w:r>
    </w:p>
    <w:p>
      <w:pPr>
        <w:bidi w:val="1"/>
        <w:spacing w:lineRule="exact" w:line="580" w:after="0"/>
        <w:jc w:val="both"/>
      </w:pPr>
      <w:r>
        <w:rPr>
          <w:rFonts w:ascii="B Nazanin" w:hAnsi="B Nazanin" w:cs="B Nazanin" w:hint="cs"/>
          <w:b/>
          <w:bCs/>
          <w:sz w:val="24"/>
          <w:szCs w:val="24"/>
          <w:rtl/>
          <w:lang w:bidi="fa-IR"/>
        </w:rPr>
        <w:t xml:space="preserve">نرم‌افزارها.</w:t>
      </w:r>
      <w:r>
        <w:rPr>
          <w:rFonts w:ascii="B Nazanin" w:hAnsi="B Nazanin" w:cs="B Nazanin" w:hint="cs"/>
          <w:sz w:val="24"/>
          <w:szCs w:val="24"/>
          <w:rtl/>
          <w:lang w:bidi="fa-IR"/>
        </w:rPr>
        <w:t xml:space="preserve"> تحلیل‌های آماری پژوهش با نرم‌افزار</w:t>
      </w:r>
      <w:r>
        <w:rPr>
          <w:rFonts w:ascii="Times New Roman" w:hAnsi="Times New Roman" w:cs="Times New Roman"/>
          <w:sz w:val="22"/>
          <w:szCs w:val="22"/>
          <w:lang w:val="en-US"/>
        </w:rPr>
        <w:t xml:space="preserve"> SPSS </w:t>
      </w:r>
      <w:r>
        <w:rPr>
          <w:rFonts w:ascii="B Nazanin" w:hAnsi="B Nazanin" w:cs="B Nazanin" w:hint="cs"/>
          <w:sz w:val="24"/>
          <w:szCs w:val="24"/>
          <w:rtl/>
          <w:lang w:bidi="fa-IR"/>
        </w:rPr>
        <w:t xml:space="preserve">نسخه ۲۶ و (در صورت امکان) نرم‌افزار</w:t>
      </w:r>
      <w:r>
        <w:rPr>
          <w:rFonts w:ascii="Times New Roman" w:hAnsi="Times New Roman" w:cs="Times New Roman"/>
          <w:sz w:val="22"/>
          <w:szCs w:val="22"/>
          <w:lang w:val="en-US"/>
        </w:rPr>
        <w:t xml:space="preserve"> Amos </w:t>
      </w:r>
      <w:r>
        <w:rPr>
          <w:rFonts w:ascii="B Nazanin" w:hAnsi="B Nazanin" w:cs="B Nazanin" w:hint="cs"/>
          <w:sz w:val="24"/>
          <w:szCs w:val="24"/>
          <w:rtl/>
          <w:lang w:bidi="fa-IR"/>
        </w:rPr>
        <w:t xml:space="preserve">نسخه ۲۴ انجام می‌شود و برای تحلیل مسیر جایگزین، از ماکروی</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بر بستر</w:t>
      </w:r>
      <w:r>
        <w:rPr>
          <w:rFonts w:ascii="Times New Roman" w:hAnsi="Times New Roman" w:cs="Times New Roman"/>
          <w:sz w:val="22"/>
          <w:szCs w:val="22"/>
          <w:lang w:val="en-US"/>
        </w:rPr>
        <w:t xml:space="preserve"> SPSS </w:t>
      </w:r>
      <w:r>
        <w:rPr>
          <w:rFonts w:ascii="B Nazanin" w:hAnsi="B Nazanin" w:cs="B Nazanin" w:hint="cs"/>
          <w:sz w:val="24"/>
          <w:szCs w:val="24"/>
          <w:rtl/>
          <w:lang w:bidi="fa-IR"/>
        </w:rPr>
        <w:t xml:space="preserve">استفاده می‌گردد.</w:t>
      </w:r>
    </w:p>
    <w:p>
      <w:pPr>
        <w:bidi w:val="1"/>
        <w:spacing w:lineRule="exact" w:line="580" w:after="0"/>
        <w:jc w:val="both"/>
      </w:pPr>
      <w:r>
        <w:rPr>
          <w:rFonts w:ascii="B Nazanin" w:hAnsi="B Nazanin" w:cs="B Nazanin" w:hint="cs"/>
          <w:sz w:val="24"/>
          <w:szCs w:val="24"/>
          <w:rtl/>
          <w:lang w:bidi="fa-IR"/>
        </w:rPr>
        <w:t xml:space="preserve">نتیجه همه تحلیل‌های توصیفی و استنباطی یادشده در فصل چهارم در قالب جدول‌ها و نمودارها گزارش می‌شود و در فصل حاضر هیچ نتیجه، عدد تحلیلی یا یافته‌ای پیش از گردآوری واقعی داده‌ها ارائه نمی‌شود.</w:t>
      </w:r>
    </w:p>
    <w:p>
      <w:pPr>
        <w:pStyle w:val="Heading2"/>
        <w:bidi w:val="1"/>
        <w:jc w:val="right"/>
      </w:pPr>
      <w:r>
        <w:rPr>
          <w:rFonts w:ascii="B Nazanin" w:hAnsi="B Nazanin" w:cs="B Nazanin" w:hint="cs"/>
          <w:b/>
          <w:bCs/>
          <w:sz w:val="28"/>
          <w:szCs w:val="28"/>
          <w:rtl/>
          <w:lang w:bidi="fa-IR"/>
        </w:rPr>
        <w:t xml:space="preserve">۳-۷. ملاحظات اخلاقی</w:t>
      </w:r>
    </w:p>
    <w:p>
      <w:pPr>
        <w:bidi w:val="1"/>
        <w:spacing w:lineRule="exact" w:line="580" w:after="0"/>
        <w:jc w:val="both"/>
      </w:pPr>
      <w:r>
        <w:rPr>
          <w:rFonts w:ascii="B Nazanin" w:hAnsi="B Nazanin" w:cs="B Nazanin" w:hint="cs"/>
          <w:sz w:val="24"/>
          <w:szCs w:val="24"/>
          <w:rtl/>
          <w:lang w:bidi="fa-IR"/>
        </w:rPr>
        <w:t xml:space="preserve">رعایت اصول اخلاقی در این پژوهش یک الزام بنیادین است. پژوهش حاضر نیز با پایبندی کامل به اصول اخلاقی حاکم بر پژوهش‌های رفتاری با شرکت انسان‌ها طراحی شده و بر همین مبنا اجرا خواهد گردید. پیش از آغاز گردآوری داده‌ها، پروپوزال پس از تصویب شورای تحصیلات تکمیلی گروه روان‌شناسی برای بررسی ملاحظات اخلاقی به کمیته اخلاق در پژوهش دانشگاه علم و هنر یزد ارسال خواهد شد و کد اخلاق پژوهش از این کمیته اخذ می‌گردد؛ آغاز جمع‌آوری داده‌ها منوط به دریافت تأییدیه نهایی کمیته اخلاق است و اجرای کامل پژوهش، در صورت نیاز، پس از اخذ مجوزهای دانشگاهی انجام خواهد شد.</w:t>
      </w:r>
    </w:p>
    <w:p>
      <w:pPr>
        <w:bidi w:val="1"/>
        <w:spacing w:lineRule="exact" w:line="580" w:after="0"/>
        <w:jc w:val="both"/>
      </w:pPr>
      <w:r>
        <w:rPr>
          <w:rFonts w:ascii="B Nazanin" w:hAnsi="B Nazanin" w:cs="B Nazanin" w:hint="cs"/>
          <w:sz w:val="24"/>
          <w:szCs w:val="24"/>
          <w:rtl/>
          <w:lang w:bidi="fa-IR"/>
        </w:rPr>
        <w:t xml:space="preserve">شرکت در پژوهش کاملاً داوطلبانه است. در صفحه ابتدایی فرم، هدف و ماهیت پژوهش به‌طور روشن برای شرکت‌کنندگان توضیح داده می‌شود و شرکت‌کنندگان تنها در صورت تأیید رضایت‌نامه آگاهانه وارد فرم می‌شوند. در متن رضایت‌نامه بر آزادانه و آگاهانه‌بودن رضایت تأکید می‌شود و بیان می‌گردد که شرکت‌کننده اطلاعات مربوط به پژوهش را مطالعه کرده و فرصت پرسیدن سؤالات خود را داشته است؛ همچنین تصریح می‌شود که این پژوهش شامل هیچ‌گونه مداخله درمانی یا مالی نیست و پاسخ‌ها هیچ تأثیری بر وضعیت شغلی یا مالی معامله‌گران نخواهد داشت. همچنین به شرکت‌کنندگان اعلام می‌شود که در هر مرحله امکان انصراف بدون هیچ پیامد منفی را دارند؛ در فرم آنلاین، خروج از فرم در هر لحظه به‌منزله انصراف تلقی می‌شود و داده‌های ثبت‌نشده در هیچ تحلیلی وارد نخواهند شد.</w:t>
      </w:r>
    </w:p>
    <w:p>
      <w:pPr>
        <w:bidi w:val="1"/>
        <w:spacing w:lineRule="exact" w:line="580" w:after="0"/>
        <w:jc w:val="both"/>
      </w:pPr>
      <w:r>
        <w:rPr>
          <w:rFonts w:ascii="B Nazanin" w:hAnsi="B Nazanin" w:cs="B Nazanin" w:hint="cs"/>
          <w:sz w:val="24"/>
          <w:szCs w:val="24"/>
          <w:rtl/>
          <w:lang w:bidi="fa-IR"/>
        </w:rPr>
        <w:t xml:space="preserve">ناشناس‌بودن و محرمانگی پاسخ‌ها در تمام مراحل حفظ می‌شود. هیچ‌گونه اطلاعات هویتی قابل شناسایی مانند نام، نام خانوادگی، شماره تماس، کد ملی یا ایمیل دریافت نمی‌شود و برای جلوگیری از پاسخ تکراری نیز از سازوکاری استفاده می‌شود که در آن هیچ داده هویتی ذخیره نمی‌شود. داده‌ها صرفاً برای اهداف علمی گردآوری می‌شوند و فقط به‌صورت کلی و گروهی و در چارچوب اهداف علمی گزارش می‌شوند و در اختیار هیچ شخص یا نهاد ثالثی قرار نمی‌گیرند؛ هیچ گزارشی در سطح فردی منتشر نمی‌شود و در انتشار نتایج پژوهش نیز هیچ اطلاعاتی که بتواند منجر به شناسایی افراد شود ارائه نمی‌گردد. فایل‌های خروجی پژوهش نیز به‌صورت امن نگهداری می‌شوند و تنها در دسترس پژوهشگر و برای اهداف علمی و دانشگاهی مورد استفاده قرار می‌گیرند.</w:t>
      </w:r>
    </w:p>
    <w:p>
      <w:pPr>
        <w:bidi w:val="1"/>
        <w:spacing w:lineRule="exact" w:line="580" w:after="0"/>
        <w:jc w:val="both"/>
      </w:pPr>
      <w:r>
        <w:rPr>
          <w:rFonts w:ascii="B Nazanin" w:hAnsi="B Nazanin" w:cs="B Nazanin" w:hint="cs"/>
          <w:sz w:val="24"/>
          <w:szCs w:val="24"/>
          <w:rtl/>
          <w:lang w:bidi="fa-IR"/>
        </w:rPr>
        <w:t xml:space="preserve">از آنجا که بخشی از سؤالات پژوهش به احساسات، نگرانی‌ها و تصمیم‌های مالی شرکت‌کنندگان — از جمله تجربه‌های مرتبط با زیان مالی — مربوط می‌شوند، ممکن است پاسخ‌دادن به این سؤالات برای برخی افراد حساسیت‌برانگیز باشد. این نکته در طراحی ابزارها لحاظ شده است؛ چه آنکه گویه‌ها در قالب عبارات کلی درباره احساسات و رفتارهای معمول مطرح می‌شوند و شرکت‌کننده را ملزم به بازگویی جزئیات رویدادهای خاص نمی‌کنند. برای مدیریت این حساسیت، امکان توقف یا انصراف در هر لحظه فراهم است و در رضایت‌نامه به‌طور صریح ذکر می‌شود که پاسخ‌ها هیچ پیامد شغلی یا مالی برای فرد نخواهند داشت. با توجه به ماهیت توصیفی و غیرمداخله‌ای پژوهش، هیچ‌گونه عوارضی متوجه شرکت‌کنندگان نخواهد بود و چارچوب اجرای پژوهش به‌گونه‌ای طراحی شده است که پاسخ‌دادن به سؤالات، بار روانی غیرمتعارفی بر شرکت‌کنندگان تحمیل نکند.</w:t>
      </w:r>
    </w:p>
    <w:p>
      <w:pPr>
        <w:bidi w:val="1"/>
        <w:spacing w:lineRule="exact" w:line="580" w:after="0"/>
        <w:jc w:val="both"/>
      </w:pPr>
      <w:r>
        <w:rPr>
          <w:rFonts w:ascii="B Nazanin" w:hAnsi="B Nazanin" w:cs="B Nazanin" w:hint="cs"/>
          <w:sz w:val="24"/>
          <w:szCs w:val="24"/>
          <w:rtl/>
          <w:lang w:bidi="fa-IR"/>
        </w:rPr>
        <w:t xml:space="preserve">بدین ترتیب، چهارچوب اخلاقی پژوهش بر سه اصل داوطلبانه‌بودن شرکت، ناشناس‌بودن و محرمانگی داده‌ها، و محدود بودن استفاده از داده‌ها به اهداف علمی استوار است و همه سازوکارهای اجرایی فرم آنلاین نیز بر همین اساس طراحی شده‌اند. این ملاحظات، تعهدات پژوهشگر مندرج در پروپوزال و رضایت‌نامه آگاهانه پژوهش را نیز پوشش می‌دهند.</w:t>
      </w:r>
    </w:p>
    <w:p>
      <w:pPr>
        <w:sectPr>
          <w:footerReference w:type="default" r:id="rId16"/>
          <w:footerReference w:type="first" r:id="rId17"/>
          <w:footnotePr>
            <w:numFmt w:val="hindi"/>
            <w:numRestart w:val="eachPage"/>
          </w:footnotePr>
          <w:pgSz w:w="11906" w:h="16838"/>
          <w:pgMar w:top="1701" w:right="2268" w:bottom="1417" w:left="1417" w:header="720" w:footer="567" w:gutter="0"/>
          <w:pgNumType w:numFmt="hindi"/>
          <w:cols w:space="720"/>
          <w:titlePg/>
          <w:bidi/>
          <w:docGrid w:linePitch="360"/>
        </w:sectPr>
      </w:pPr>
    </w:p>
    <w:p>
      <w:pPr>
        <w:bidi w:val="1"/>
        <w:spacing w:lineRule="exact" w:line="580" w:before="240" w:after="180"/>
        <w:jc w:val="right"/>
      </w:pPr>
      <w:r>
        <w:rPr>
          <w:rFonts w:ascii="B Nazanin" w:hAnsi="B Nazanin" w:cs="B Nazanin" w:hint="cs"/>
          <w:b/>
          <w:bCs/>
          <w:sz w:val="28"/>
          <w:szCs w:val="28"/>
          <w:rtl/>
          <w:lang w:bidi="fa-IR"/>
        </w:rPr>
        <w:t xml:space="preserve">منابع</w:t>
      </w:r>
    </w:p>
    <w:p>
      <w:pPr>
        <w:bidi w:val="1"/>
        <w:spacing w:lineRule="exact" w:line="580" w:before="180" w:after="60"/>
        <w:jc w:val="right"/>
      </w:pPr>
      <w:r>
        <w:rPr>
          <w:rFonts w:ascii="B Nazanin" w:hAnsi="B Nazanin" w:cs="B Nazanin" w:hint="cs"/>
          <w:b/>
          <w:bCs/>
          <w:sz w:val="28"/>
          <w:szCs w:val="28"/>
          <w:rtl/>
          <w:lang w:bidi="fa-IR"/>
        </w:rPr>
        <w:t xml:space="preserve">الف) منابع فارسی</w:t>
      </w:r>
    </w:p>
    <w:p>
      <w:pPr>
        <w:bidi w:val="1"/>
        <w:spacing w:lineRule="exact" w:line="580" w:after="40"/>
        <w:jc w:val="right"/>
      </w:pPr>
      <w:r>
        <w:rPr>
          <w:rFonts w:ascii="B Nazanin" w:hAnsi="B Nazanin" w:cs="B Nazanin" w:hint="cs"/>
          <w:sz w:val="24"/>
          <w:szCs w:val="24"/>
          <w:rtl/>
          <w:lang w:bidi="fa-IR"/>
        </w:rPr>
        <w:t xml:space="preserve">امیدی، ع.، کدیور، پ.، و فرزاد، و. (۱۳۹۲). رابطه بین طرحواره‌های ناسازگار اولیه، سبک‌های فرزندپروری و سبک‌های هویت با گرایش به اعتیاد. اعتیاد پژوهی، ۷(۲۷)، ۹-۲۶.</w:t>
      </w:r>
    </w:p>
    <w:p>
      <w:pPr>
        <w:bidi w:val="1"/>
        <w:spacing w:lineRule="exact" w:line="580" w:after="40"/>
        <w:jc w:val="right"/>
      </w:pPr>
      <w:r>
        <w:rPr>
          <w:rFonts w:ascii="B Nazanin" w:hAnsi="B Nazanin" w:cs="B Nazanin" w:hint="cs"/>
          <w:sz w:val="24"/>
          <w:szCs w:val="24"/>
          <w:rtl/>
          <w:lang w:bidi="fa-IR"/>
        </w:rPr>
        <w:t xml:space="preserve">بشارت، محمدعلی؛ رستمی، رضا؛ پورنقاش، سید عباس؛ و گراوند، فریبرز. (۱۳۹۵). بررسی ساختار عاملی و ویژگی‌های روان‌سنجی پرسشنامه اضطراب حالت-صفت اسپیلبرگر در نمونه‌ای از دانشجویان. فصلنامه اندازه‌گیری تربیتی، ۷(۲۵)، ۷۷-۹۸.</w:t>
      </w:r>
    </w:p>
    <w:p>
      <w:pPr>
        <w:bidi w:val="1"/>
        <w:spacing w:lineRule="exact" w:line="580" w:after="40"/>
        <w:jc w:val="right"/>
      </w:pPr>
      <w:r>
        <w:rPr>
          <w:rFonts w:ascii="B Nazanin" w:hAnsi="B Nazanin" w:cs="B Nazanin" w:hint="cs"/>
          <w:sz w:val="24"/>
          <w:szCs w:val="24"/>
          <w:rtl/>
          <w:lang w:bidi="fa-IR"/>
        </w:rPr>
        <w:t xml:space="preserve">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 های حسابداری مالی و حسابرسی، ۱۱(۴۲)، ۱-۲۶.</w:t>
      </w:r>
    </w:p>
    <w:p>
      <w:pPr>
        <w:bidi w:val="1"/>
        <w:spacing w:lineRule="exact" w:line="580" w:after="40"/>
        <w:jc w:val="right"/>
      </w:pPr>
      <w:r>
        <w:rPr>
          <w:rFonts w:ascii="B Nazanin" w:hAnsi="B Nazanin" w:cs="B Nazanin" w:hint="cs"/>
          <w:sz w:val="24"/>
          <w:szCs w:val="24"/>
          <w:rtl/>
          <w:lang w:bidi="fa-IR"/>
        </w:rPr>
        <w:t xml:space="preserve">ستایش، م. ح.، کاظم‌پور، م.، و دلالی اصفهانی، ر. (۱۳۹۹). بررسی نقش منابع اطلاعاتی بر رابطه میان ویژگی‌های شخصیتی و رفتار معاملاتی سرمایه‌گذاران حقیقی در بورس اوراق بهادار تهران. مطالعات مدیریت مالی، ۸(۱۶)، ۲۹-۶۱.</w:t>
      </w:r>
    </w:p>
    <w:p>
      <w:pPr>
        <w:bidi w:val="1"/>
        <w:spacing w:lineRule="exact" w:line="580" w:after="40"/>
        <w:jc w:val="right"/>
      </w:pPr>
      <w:r>
        <w:rPr>
          <w:rFonts w:ascii="B Nazanin" w:hAnsi="B Nazanin" w:cs="B Nazanin" w:hint="cs"/>
          <w:sz w:val="24"/>
          <w:szCs w:val="24"/>
          <w:rtl/>
          <w:lang w:bidi="fa-IR"/>
        </w:rPr>
        <w:t xml:space="preserve">طالبی، محمد؛ یحیی‌زاده‌فر، محمود؛ و سعیدی، پرویز. (۱۳۹۸). اعتباریابی مقیاس تحمل ریسک مالی گرابل و لایتون در بورس اوراق بهادار تهران. فصلنامه علمی-پژوهشی دانش سرمایه‌گذاری، ۸(۳۱)، ۱۵۱-۱۶۸.</w:t>
      </w:r>
    </w:p>
    <w:p>
      <w:pPr>
        <w:bidi w:val="1"/>
        <w:spacing w:lineRule="exact" w:line="580" w:after="40"/>
        <w:jc w:val="right"/>
      </w:pPr>
      <w:r>
        <w:rPr>
          <w:rFonts w:ascii="B Nazanin" w:hAnsi="B Nazanin" w:cs="B Nazanin" w:hint="cs"/>
          <w:sz w:val="24"/>
          <w:szCs w:val="24"/>
          <w:rtl/>
          <w:lang w:bidi="fa-IR"/>
        </w:rPr>
        <w:t xml:space="preserve">فروغی، د.، و تهرانی، ر. (۱۳۹۷). نقش سواد مالی در تعدیل رابطه بین سوگیری های رفتاری و عملکرد سرمایه گذاری در بورس اوراق بهادار تهران. تحقیقات مالی، ۲۰) ۲(، ۱۸۹-۲۰۸.</w:t>
      </w:r>
    </w:p>
    <w:p>
      <w:pPr>
        <w:bidi w:val="1"/>
        <w:spacing w:lineRule="exact" w:line="580" w:after="40"/>
        <w:jc w:val="right"/>
      </w:pPr>
      <w:r>
        <w:rPr>
          <w:rFonts w:ascii="B Nazanin" w:hAnsi="B Nazanin" w:cs="B Nazanin" w:hint="cs"/>
          <w:sz w:val="24"/>
          <w:szCs w:val="24"/>
          <w:rtl/>
          <w:lang w:bidi="fa-IR"/>
        </w:rPr>
        <w:t xml:space="preserve">فلاح، م.، و خدایی، ا. (۱۳۹۸). رابطه هوش هیجانی و سبک های تصمیم گیری با عملکرد سرمایه گذاری در بورس اوراق بهادار تهران. فصلنامه علمی پژوهشی دانش مالی تحلیل اوراق بهادار، ۱۲) ۴۲(، ۱-۱۶.</w:t>
      </w:r>
    </w:p>
    <w:p>
      <w:pPr>
        <w:bidi w:val="1"/>
        <w:spacing w:lineRule="exact" w:line="580" w:after="40"/>
        <w:jc w:val="right"/>
      </w:pPr>
      <w:r>
        <w:rPr>
          <w:rFonts w:ascii="B Nazanin" w:hAnsi="B Nazanin" w:cs="B Nazanin" w:hint="cs"/>
          <w:sz w:val="24"/>
          <w:szCs w:val="24"/>
          <w:rtl/>
          <w:lang w:bidi="fa-IR"/>
        </w:rPr>
        <w:t xml:space="preserve">نوری، ر.، و هاشمیان، ک. (۱۳۹۶). رابطه بین طرحواره های ناسازگار اولیه و اضطراب اجتماعی در دانشجویان. مطالعات روانشناختی، ۱۳(۲)، ۱۴۱-۱۵۸.</w:t>
      </w:r>
    </w:p>
    <w:p>
      <w:pPr>
        <w:bidi w:val="1"/>
        <w:spacing w:lineRule="exact" w:line="580" w:after="40"/>
        <w:jc w:val="right"/>
      </w:pPr>
      <w:r>
        <w:rPr>
          <w:rFonts w:ascii="B Nazanin" w:hAnsi="B Nazanin" w:cs="B Nazanin" w:hint="cs"/>
          <w:sz w:val="24"/>
          <w:szCs w:val="24"/>
          <w:rtl/>
          <w:lang w:bidi="fa-IR"/>
        </w:rPr>
        <w:t xml:space="preserve">یوسفی، ناصر. (۱۳۹۶). ویژگی‌های روان‌سنجی نسخه فارسی پرسشنامه طرحواره یانگ (فرم کوتاه) در نمونه غیربالینی. مجله روانشناسی بالینی، ۹(۲)، ۹۱-۱۰۲.</w:t>
      </w:r>
    </w:p>
    <w:p>
      <w:pPr>
        <w:bidi w:val="1"/>
        <w:spacing w:lineRule="exact" w:line="580" w:before="180" w:after="60"/>
        <w:jc w:val="right"/>
      </w:pPr>
      <w:r>
        <w:rPr>
          <w:rFonts w:ascii="B Nazanin" w:hAnsi="B Nazanin" w:cs="B Nazanin" w:hint="cs"/>
          <w:b/>
          <w:bCs/>
          <w:sz w:val="28"/>
          <w:szCs w:val="28"/>
          <w:rtl/>
          <w:lang w:bidi="fa-IR"/>
        </w:rPr>
        <w:t xml:space="preserve">ب) منابع لاتین</w:t>
      </w:r>
    </w:p>
    <w:p>
      <w:pPr>
        <w:bidi w:val="0"/>
        <w:spacing w:lineRule="exact" w:line="580" w:after="40"/>
        <w:ind w:left="720" w:hanging="720"/>
        <w:jc w:val="left"/>
      </w:pPr>
      <w:r>
        <w:rPr>
          <w:rFonts w:ascii="Times New Roman" w:hAnsi="Times New Roman" w:cs="Times New Roman"/>
          <w:sz w:val="22"/>
          <w:szCs w:val="22"/>
          <w:lang w:val="en-US"/>
        </w:rPr>
        <w:t xml:space="preserve">American Psychiatric Association. (2013). Diagnostic and statistical manual of mental disorders</w:t>
      </w:r>
    </w:p>
    <w:p>
      <w:pPr>
        <w:bidi w:val="0"/>
        <w:spacing w:lineRule="exact" w:line="580" w:after="40"/>
        <w:ind w:left="720" w:hanging="720"/>
        <w:jc w:val="left"/>
      </w:pPr>
      <w:r>
        <w:rPr>
          <w:rFonts w:ascii="Times New Roman" w:hAnsi="Times New Roman" w:cs="Times New Roman"/>
          <w:sz w:val="22"/>
          <w:szCs w:val="22"/>
          <w:lang w:val="en-US"/>
        </w:rPr>
        <w:t xml:space="preserve">An, H., Li, M., &amp; Wu, W. (2021). The impact of financial anxiety on individual investor's risky asset holdings: Evidence from China. Emerging Markets Finance and Trade, 57(11), 3217-3232.</w:t>
      </w:r>
    </w:p>
    <w:p>
      <w:pPr>
        <w:bidi w:val="0"/>
        <w:spacing w:lineRule="exact" w:line="580" w:after="40"/>
        <w:ind w:left="720" w:hanging="720"/>
        <w:jc w:val="left"/>
      </w:pPr>
      <w:r>
        <w:rPr>
          <w:rFonts w:ascii="Times New Roman" w:hAnsi="Times New Roman" w:cs="Times New Roman"/>
          <w:sz w:val="22"/>
          <w:szCs w:val="22"/>
          <w:lang w:val="en-US"/>
        </w:rPr>
        <w:t xml:space="preserve">Arena, M., Sbai, E., &amp; Soriya, S. (2022). Personality traits and behaviour biases: The moderating role of risk-tolerance. Frontiers in Psychology, 13, 949638.</w:t>
      </w:r>
    </w:p>
    <w:p>
      <w:pPr>
        <w:bidi w:val="0"/>
        <w:spacing w:lineRule="exact" w:line="580" w:after="40"/>
        <w:ind w:left="720" w:hanging="720"/>
        <w:jc w:val="left"/>
      </w:pPr>
      <w:r>
        <w:rPr>
          <w:rFonts w:ascii="Times New Roman" w:hAnsi="Times New Roman" w:cs="Times New Roman"/>
          <w:sz w:val="22"/>
          <w:szCs w:val="22"/>
          <w:lang w:val="en-US"/>
        </w:rPr>
        <w:t xml:space="preserve">Arntz, A., &amp; Jacob, G. (2012). Schema therapy in practice: An introductory guide to the schema mode approach. John Wiley &amp; Sons.</w:t>
      </w:r>
    </w:p>
    <w:p>
      <w:pPr>
        <w:bidi w:val="0"/>
        <w:spacing w:lineRule="exact" w:line="580" w:after="40"/>
        <w:ind w:left="720" w:hanging="720"/>
        <w:jc w:val="left"/>
      </w:pPr>
      <w:r>
        <w:rPr>
          <w:rFonts w:ascii="Times New Roman" w:hAnsi="Times New Roman" w:cs="Times New Roman"/>
          <w:sz w:val="22"/>
          <w:szCs w:val="22"/>
          <w:lang w:val="en-US"/>
        </w:rPr>
        <w:t xml:space="preserve">Auer, B. R., &amp; Schuhmacher, F. (2023). FOMO and the dark side of social trading. Finance Research Letters, 54, 103759.</w:t>
      </w:r>
    </w:p>
    <w:p>
      <w:pPr>
        <w:bidi w:val="0"/>
        <w:spacing w:lineRule="exact" w:line="580" w:after="40"/>
        <w:ind w:left="720" w:hanging="720"/>
        <w:jc w:val="left"/>
      </w:pPr>
      <w:r>
        <w:rPr>
          <w:rFonts w:ascii="Times New Roman" w:hAnsi="Times New Roman" w:cs="Times New Roman"/>
          <w:sz w:val="22"/>
          <w:szCs w:val="22"/>
          <w:lang w:val="en-US"/>
        </w:rPr>
        <w:t xml:space="preserve">Baddeley, A. D., Eysenck, M. W., &amp; Anderson, M. C. (2021). Memory (3rd ed.). Routledge.</w:t>
      </w:r>
    </w:p>
    <w:p>
      <w:pPr>
        <w:bidi w:val="0"/>
        <w:spacing w:lineRule="exact" w:line="580" w:after="40"/>
        <w:ind w:left="720" w:hanging="720"/>
        <w:jc w:val="left"/>
      </w:pPr>
      <w:r>
        <w:rPr>
          <w:rFonts w:ascii="Times New Roman" w:hAnsi="Times New Roman" w:cs="Times New Roman"/>
          <w:sz w:val="22"/>
          <w:szCs w:val="22"/>
          <w:lang w:val="en-US"/>
        </w:rPr>
        <w:t xml:space="preserve">Baker, H. K., &amp; Nofsinger, J. R. (Eds.). (2010). Behavioral finance: Investors, corporations, and markets. John Wiley &amp; Sons.</w:t>
      </w:r>
    </w:p>
    <w:p>
      <w:pPr>
        <w:bidi w:val="0"/>
        <w:spacing w:lineRule="exact" w:line="580" w:after="40"/>
        <w:ind w:left="720" w:hanging="720"/>
        <w:jc w:val="left"/>
      </w:pPr>
      <w:r>
        <w:rPr>
          <w:rFonts w:ascii="Times New Roman" w:hAnsi="Times New Roman" w:cs="Times New Roman"/>
          <w:sz w:val="22"/>
          <w:szCs w:val="22"/>
          <w:lang w:val="en-US"/>
        </w:rPr>
        <w:t xml:space="preserve">Barber, B. M., &amp; Odean, T. (2000). Trading is hazardous to your wealth: The common stock investment performance of individual investors. The Journal of Finance, 55(2), 773-806.</w:t>
      </w:r>
    </w:p>
    <w:p>
      <w:pPr>
        <w:bidi w:val="0"/>
        <w:spacing w:lineRule="exact" w:line="580" w:after="40"/>
        <w:ind w:left="720" w:hanging="720"/>
        <w:jc w:val="left"/>
      </w:pPr>
      <w:r>
        <w:rPr>
          <w:rFonts w:ascii="Times New Roman" w:hAnsi="Times New Roman" w:cs="Times New Roman"/>
          <w:sz w:val="22"/>
          <w:szCs w:val="22"/>
          <w:lang w:val="en-US"/>
        </w:rPr>
        <w:t xml:space="preserve">Barlow, D. H. (2002). Anxiety and its disorders: The nature and treatment of anxiety and panic. Guilford Press.</w:t>
      </w:r>
    </w:p>
    <w:p>
      <w:pPr>
        <w:bidi w:val="0"/>
        <w:spacing w:lineRule="exact" w:line="580" w:after="40"/>
        <w:ind w:left="720" w:hanging="720"/>
        <w:jc w:val="left"/>
      </w:pPr>
      <w:r>
        <w:rPr>
          <w:rFonts w:ascii="Times New Roman" w:hAnsi="Times New Roman" w:cs="Times New Roman"/>
          <w:sz w:val="22"/>
          <w:szCs w:val="22"/>
          <w:lang w:val="en-US"/>
        </w:rPr>
        <w:t xml:space="preserve">Beck, A. T. (1976). Cognitive therapy and the emotional disorders. International Universities Press.</w:t>
      </w:r>
    </w:p>
    <w:p>
      <w:pPr>
        <w:bidi w:val="0"/>
        <w:spacing w:lineRule="exact" w:line="580" w:after="40"/>
        <w:ind w:left="720" w:hanging="720"/>
        <w:jc w:val="left"/>
      </w:pPr>
      <w:r>
        <w:rPr>
          <w:rFonts w:ascii="Times New Roman" w:hAnsi="Times New Roman" w:cs="Times New Roman"/>
          <w:sz w:val="22"/>
          <w:szCs w:val="22"/>
          <w:lang w:val="en-US"/>
        </w:rPr>
        <w:t xml:space="preserve">Beck, A. T., &amp; Clark, D. A. (1997). An information processing model of anxiety: Automatic and strategic processes. Behaviour Research and Therapy, 35(1), 49–58. https://doi.org/10.1016/s0005-7967(96)00069-1</w:t>
      </w:r>
    </w:p>
    <w:p>
      <w:pPr>
        <w:bidi w:val="0"/>
        <w:spacing w:lineRule="exact" w:line="580" w:after="40"/>
        <w:ind w:left="720" w:hanging="720"/>
        <w:jc w:val="left"/>
      </w:pPr>
      <w:r>
        <w:rPr>
          <w:rFonts w:ascii="Times New Roman" w:hAnsi="Times New Roman" w:cs="Times New Roman"/>
          <w:sz w:val="22"/>
          <w:szCs w:val="22"/>
          <w:lang w:val="en-US"/>
        </w:rPr>
        <w:t xml:space="preserve">Bishop, S. J. (2007). Neurocognitive mechanisms of anxiety: an integrative account. Trends in Cognitive Sciences, 11(7), 307-316.</w:t>
      </w:r>
    </w:p>
    <w:p>
      <w:pPr>
        <w:bidi w:val="0"/>
        <w:spacing w:lineRule="exact" w:line="580" w:after="40"/>
        <w:ind w:left="720" w:hanging="720"/>
        <w:jc w:val="left"/>
      </w:pPr>
      <w:r>
        <w:rPr>
          <w:rFonts w:ascii="Times New Roman" w:hAnsi="Times New Roman" w:cs="Times New Roman"/>
          <w:sz w:val="22"/>
          <w:szCs w:val="22"/>
          <w:lang w:val="en-US"/>
        </w:rPr>
        <w:t xml:space="preserve">Bodie, Z., Kane, A., &amp; Marcus, A. J. (2018). Investments (11th ed.). McGraw-Hill Education.</w:t>
      </w:r>
    </w:p>
    <w:p>
      <w:pPr>
        <w:bidi w:val="0"/>
        <w:spacing w:lineRule="exact" w:line="580" w:after="40"/>
        <w:ind w:left="720" w:hanging="720"/>
        <w:jc w:val="left"/>
      </w:pPr>
      <w:r>
        <w:rPr>
          <w:rFonts w:ascii="Times New Roman" w:hAnsi="Times New Roman" w:cs="Times New Roman"/>
          <w:sz w:val="22"/>
          <w:szCs w:val="22"/>
          <w:lang w:val="en-US"/>
        </w:rPr>
        <w:t xml:space="preserve">Borkovec, T. D. (1994). The nature, functions, and origins of worry. In G. C. L. Davey &amp; F. Tallis (Eds.), Worrying: Perspectives on theory, assessment and treatment (pp. 5–33). Wiley.</w:t>
      </w:r>
    </w:p>
    <w:p>
      <w:pPr>
        <w:bidi w:val="0"/>
        <w:spacing w:lineRule="exact" w:line="580" w:after="40"/>
        <w:ind w:left="720" w:hanging="720"/>
        <w:jc w:val="left"/>
      </w:pPr>
      <w:r>
        <w:rPr>
          <w:rFonts w:ascii="Times New Roman" w:hAnsi="Times New Roman" w:cs="Times New Roman"/>
          <w:sz w:val="22"/>
          <w:szCs w:val="22"/>
          <w:lang w:val="en-US"/>
        </w:rPr>
        <w:t xml:space="preserve">Charles, V., &amp; Kasilingam, R. (2022). The role of anxiety in financial decisions. Review of Behavioral Finance, 14(5), 720-735.</w:t>
      </w:r>
    </w:p>
    <w:p>
      <w:pPr>
        <w:bidi w:val="0"/>
        <w:spacing w:lineRule="exact" w:line="580" w:after="40"/>
        <w:ind w:left="720" w:hanging="720"/>
        <w:jc w:val="left"/>
      </w:pPr>
      <w:r>
        <w:rPr>
          <w:rFonts w:ascii="Times New Roman" w:hAnsi="Times New Roman" w:cs="Times New Roman"/>
          <w:sz w:val="22"/>
          <w:szCs w:val="22"/>
          <w:lang w:val="en-US"/>
        </w:rPr>
        <w:t xml:space="preserve">Daniel, K., Hirshleifer, D., &amp; Subrahmanyam, A. (1998). Investor psychology and security market under- and overreactions. The Journal of Finance, 53(6), 1839–1885. https://doi.org/10.1111/0022-1082.00077</w:t>
      </w:r>
    </w:p>
    <w:p>
      <w:pPr>
        <w:bidi w:val="0"/>
        <w:spacing w:lineRule="exact" w:line="580" w:after="40"/>
        <w:ind w:left="720" w:hanging="720"/>
        <w:jc w:val="left"/>
      </w:pPr>
      <w:r>
        <w:rPr>
          <w:rFonts w:ascii="Times New Roman" w:hAnsi="Times New Roman" w:cs="Times New Roman"/>
          <w:sz w:val="22"/>
          <w:szCs w:val="22"/>
          <w:lang w:val="en-US"/>
        </w:rPr>
        <w:t xml:space="preserve">De Martino, B., et al. (2006) Frames, biases, and rational decision-making in the human brain. Science, 313 (5787), 684–687.</w:t>
      </w:r>
    </w:p>
    <w:p>
      <w:pPr>
        <w:bidi w:val="0"/>
        <w:spacing w:lineRule="exact" w:line="580" w:after="40"/>
        <w:ind w:left="720" w:hanging="720"/>
        <w:jc w:val="left"/>
      </w:pPr>
      <w:r>
        <w:rPr>
          <w:rFonts w:ascii="Times New Roman" w:hAnsi="Times New Roman" w:cs="Times New Roman"/>
          <w:sz w:val="22"/>
          <w:szCs w:val="22"/>
          <w:lang w:val="en-US"/>
        </w:rPr>
        <w:t xml:space="preserve">Dhingra, J., &amp; Aggarwal, N. (2025). Exploring Trait Anxiety as a Psychological Construct: Impacts of Gender, Educational Attainment and Financial Training. Indian Journal of Positive Psychology, 16(1), 45-58.</w:t>
      </w:r>
    </w:p>
    <w:p>
      <w:pPr>
        <w:bidi w:val="0"/>
        <w:spacing w:lineRule="exact" w:line="580" w:after="40"/>
        <w:ind w:left="720" w:hanging="720"/>
        <w:jc w:val="left"/>
      </w:pPr>
      <w:r>
        <w:rPr>
          <w:rFonts w:ascii="Times New Roman" w:hAnsi="Times New Roman" w:cs="Times New Roman"/>
          <w:sz w:val="22"/>
          <w:szCs w:val="22"/>
          <w:lang w:val="en-US"/>
        </w:rPr>
        <w:t xml:space="preserve">Estévez, A., et al. (2024). Association between gambling motives, violence and early maladaptive schemas in women with gambling disorder. Journal of Gambling Studies. https://doi.org/10.1007/s10899-024-10285-8</w:t>
      </w:r>
    </w:p>
    <w:p>
      <w:pPr>
        <w:bidi w:val="0"/>
        <w:spacing w:lineRule="exact" w:line="580" w:after="40"/>
        <w:ind w:left="720" w:hanging="720"/>
        <w:jc w:val="left"/>
      </w:pPr>
      <w:r>
        <w:rPr>
          <w:rFonts w:ascii="Times New Roman" w:hAnsi="Times New Roman" w:cs="Times New Roman"/>
          <w:sz w:val="22"/>
          <w:szCs w:val="22"/>
          <w:lang w:val="en-US"/>
        </w:rPr>
        <w:t xml:space="preserve">Eysenck, M. W., Derakshan, N., Santos, R., &amp; Calvo, M. G. (2007). Anxiety and cognitive performance: attentional control theory. Emotion, 7(2), 336–353.</w:t>
      </w:r>
    </w:p>
    <w:p>
      <w:pPr>
        <w:bidi w:val="0"/>
        <w:spacing w:lineRule="exact" w:line="580" w:after="40"/>
        <w:ind w:left="720" w:hanging="720"/>
        <w:jc w:val="left"/>
      </w:pPr>
      <w:r>
        <w:rPr>
          <w:rFonts w:ascii="Times New Roman" w:hAnsi="Times New Roman" w:cs="Times New Roman"/>
          <w:sz w:val="22"/>
          <w:szCs w:val="22"/>
          <w:lang w:val="en-US"/>
        </w:rPr>
        <w:t xml:space="preserve">Fenton-O'Creevy, M., et al. (2012). Emotion regulation and trader expertise: Heart rate variability on the trading floor. Journal of Neuroscience, Psychology, and Economics, 5(4), 227-237.</w:t>
      </w:r>
    </w:p>
    <w:p>
      <w:pPr>
        <w:bidi w:val="0"/>
        <w:spacing w:lineRule="exact" w:line="580" w:after="40"/>
        <w:ind w:left="720" w:hanging="720"/>
        <w:jc w:val="left"/>
      </w:pPr>
      <w:r>
        <w:rPr>
          <w:rFonts w:ascii="Times New Roman" w:hAnsi="Times New Roman" w:cs="Times New Roman"/>
          <w:sz w:val="22"/>
          <w:szCs w:val="22"/>
          <w:lang w:val="en-US"/>
        </w:rPr>
        <w:t xml:space="preserve">Fenton-O'Creevy, M., Soane, E., Nicholson, N., &amp; Willman, P. (2011). Thinking, feeling and deciding: The influence of emotions on the decision making and performance of traders. Journal of Organizational Behavior, 32(8), 1044-1061. https://doi.org/10.1002/job.720</w:t>
      </w:r>
    </w:p>
    <w:p>
      <w:pPr>
        <w:bidi w:val="0"/>
        <w:spacing w:lineRule="exact" w:line="580" w:after="40"/>
        <w:ind w:left="720" w:hanging="720"/>
        <w:jc w:val="left"/>
      </w:pPr>
      <w:r>
        <w:rPr>
          <w:rFonts w:ascii="Times New Roman" w:hAnsi="Times New Roman" w:cs="Times New Roman"/>
          <w:sz w:val="22"/>
          <w:szCs w:val="22"/>
          <w:lang w:val="en-US"/>
        </w:rPr>
        <w:t xml:space="preserve">Fenton-O’Creevy, M., et al. (2012) Emotion regulation and trader expertise: Heart rate variability on the trading floor. Journal of Neuroscience, Psychology, and Economics, 5 (4), 227–237</w:t>
      </w:r>
    </w:p>
    <w:p>
      <w:pPr>
        <w:bidi w:val="0"/>
        <w:spacing w:lineRule="exact" w:line="580" w:after="40"/>
        <w:ind w:left="720" w:hanging="720"/>
        <w:jc w:val="left"/>
      </w:pPr>
      <w:r>
        <w:rPr>
          <w:rFonts w:ascii="Times New Roman" w:hAnsi="Times New Roman" w:cs="Times New Roman"/>
          <w:sz w:val="22"/>
          <w:szCs w:val="22"/>
          <w:lang w:val="en-US"/>
        </w:rPr>
        <w:t xml:space="preserve">Gambetti, E., &amp; Giusberti, F. (2012). The effect of anger and anxiety on investment decisions. Journal of Economic Psychology, 33 (5), 1059–1069</w:t>
      </w:r>
    </w:p>
    <w:p>
      <w:pPr>
        <w:bidi w:val="0"/>
        <w:spacing w:lineRule="exact" w:line="580" w:after="40"/>
        <w:ind w:left="720" w:hanging="720"/>
        <w:jc w:val="left"/>
      </w:pPr>
      <w:r>
        <w:rPr>
          <w:rFonts w:ascii="Times New Roman" w:hAnsi="Times New Roman" w:cs="Times New Roman"/>
          <w:sz w:val="22"/>
          <w:szCs w:val="22"/>
          <w:lang w:val="en-US"/>
        </w:rPr>
        <w:t xml:space="preserve">Goetzmann, W. N., &amp; Kumar, A. (2008). Equity portfolio diversification. Review of Finance, 12(3), 433-463.</w:t>
      </w:r>
    </w:p>
    <w:p>
      <w:pPr>
        <w:bidi w:val="0"/>
        <w:spacing w:lineRule="exact" w:line="580" w:after="40"/>
        <w:ind w:left="720" w:hanging="720"/>
        <w:jc w:val="left"/>
      </w:pPr>
      <w:r>
        <w:rPr>
          <w:rFonts w:ascii="Times New Roman" w:hAnsi="Times New Roman" w:cs="Times New Roman"/>
          <w:sz w:val="22"/>
          <w:szCs w:val="22"/>
          <w:lang w:val="en-US"/>
        </w:rPr>
        <w:t xml:space="preserve">Grable, J. E. (2017). Financial risk tolerance: A psychometric review. Financial Services Review, 26(2), 1-18.</w:t>
      </w:r>
    </w:p>
    <w:p>
      <w:pPr>
        <w:bidi w:val="0"/>
        <w:spacing w:lineRule="exact" w:line="580" w:after="40"/>
        <w:ind w:left="720" w:hanging="720"/>
        <w:jc w:val="left"/>
      </w:pPr>
      <w:r>
        <w:rPr>
          <w:rFonts w:ascii="Times New Roman" w:hAnsi="Times New Roman" w:cs="Times New Roman"/>
          <w:sz w:val="22"/>
          <w:szCs w:val="22"/>
          <w:lang w:val="en-US"/>
        </w:rPr>
        <w:t xml:space="preserve">Grable, J. E., &amp; Lytton, R. H. (1999). Financial risk tolerance revisited: The development of a risk assessment instrument. Financial Services Review, 8(3), 163-181.</w:t>
      </w:r>
    </w:p>
    <w:p>
      <w:pPr>
        <w:bidi w:val="0"/>
        <w:spacing w:lineRule="exact" w:line="580" w:after="40"/>
        <w:ind w:left="720" w:hanging="720"/>
        <w:jc w:val="left"/>
      </w:pPr>
      <w:r>
        <w:rPr>
          <w:rFonts w:ascii="Times New Roman" w:hAnsi="Times New Roman" w:cs="Times New Roman"/>
          <w:sz w:val="22"/>
          <w:szCs w:val="22"/>
          <w:lang w:val="en-US"/>
        </w:rPr>
        <w:t xml:space="preserve">Grall-Bronnec, M., et al. (2025). Development and validation of the Trading Disorder Scale for assessing problematic trading behaviors. Journal of Behavioral Addictions, 14(1), 112-128.</w:t>
      </w:r>
    </w:p>
    <w:p>
      <w:pPr>
        <w:bidi w:val="0"/>
        <w:spacing w:lineRule="exact" w:line="580" w:after="40"/>
        <w:ind w:left="720" w:hanging="720"/>
        <w:jc w:val="left"/>
      </w:pPr>
      <w:r>
        <w:rPr>
          <w:rFonts w:ascii="Times New Roman" w:hAnsi="Times New Roman" w:cs="Times New Roman"/>
          <w:sz w:val="22"/>
          <w:szCs w:val="22"/>
          <w:lang w:val="en-US"/>
        </w:rPr>
        <w:t xml:space="preserve">Grupe, D. W., &amp; Nitschke, J. B. (2013). Uncertainty and anticipation in anxiety: an integrated neurobiological and psychological perspective. Nature Reviews Neuroscience, 14(7), 488-501.</w:t>
      </w:r>
    </w:p>
    <w:p>
      <w:pPr>
        <w:bidi w:val="0"/>
        <w:spacing w:lineRule="exact" w:line="580" w:after="40"/>
        <w:ind w:left="720" w:hanging="720"/>
        <w:jc w:val="left"/>
      </w:pPr>
      <w:r>
        <w:rPr>
          <w:rFonts w:ascii="Times New Roman" w:hAnsi="Times New Roman" w:cs="Times New Roman"/>
          <w:sz w:val="22"/>
          <w:szCs w:val="22"/>
          <w:lang w:val="en-US"/>
        </w:rPr>
        <w:t xml:space="preserve">Halvorsen, M., Wang, C. E., Richter, J., Myrland, I., Pedersen, S. K., Eisemann, M., &amp; Waterloo, K. (2009). Early maladaptive schemas, temperament and character traits in clinically depressed and previously depressed subjects. Clinical Psychology &amp; Psychotherapy, 16(5), 394-407. https://doi.org/10.1002/cpp.618</w:t>
      </w:r>
    </w:p>
    <w:p>
      <w:pPr>
        <w:bidi w:val="0"/>
        <w:spacing w:lineRule="exact" w:line="580" w:after="40"/>
        <w:ind w:left="720" w:hanging="720"/>
        <w:jc w:val="left"/>
      </w:pPr>
      <w:r>
        <w:rPr>
          <w:rFonts w:ascii="Times New Roman" w:hAnsi="Times New Roman" w:cs="Times New Roman"/>
          <w:sz w:val="22"/>
          <w:szCs w:val="22"/>
          <w:lang w:val="en-US"/>
        </w:rPr>
        <w:t xml:space="preserve">Hartley, C. A., &amp; Phelps, E. A. (2012). Anxiety and decision-making. Biological Psychiatry, 72 (2), 113–118</w:t>
      </w:r>
    </w:p>
    <w:p>
      <w:pPr>
        <w:bidi w:val="0"/>
        <w:spacing w:lineRule="exact" w:line="580" w:after="40"/>
        <w:ind w:left="720" w:hanging="720"/>
        <w:jc w:val="left"/>
      </w:pPr>
      <w:r>
        <w:rPr>
          <w:rFonts w:ascii="Times New Roman" w:hAnsi="Times New Roman" w:cs="Times New Roman"/>
          <w:sz w:val="22"/>
          <w:szCs w:val="22"/>
          <w:lang w:val="en-US"/>
        </w:rPr>
        <w:t xml:space="preserve">Hayes, A. F. (2018). Introduction to mediation, moderation, and conditional process analysis: A regression-based approach (2nd ed.). Guilford Press.</w:t>
      </w:r>
    </w:p>
    <w:p>
      <w:pPr>
        <w:bidi w:val="0"/>
        <w:spacing w:lineRule="exact" w:line="580" w:after="40"/>
        <w:ind w:left="720" w:hanging="720"/>
        <w:jc w:val="left"/>
      </w:pPr>
      <w:r>
        <w:rPr>
          <w:rFonts w:ascii="Times New Roman" w:hAnsi="Times New Roman" w:cs="Times New Roman"/>
          <w:sz w:val="22"/>
          <w:szCs w:val="22"/>
          <w:lang w:val="en-US"/>
        </w:rPr>
        <w:t xml:space="preserve">Hwang, S., &amp; Salmon, M. (2004). Market stress and herding. Journal of Empirical Finance, 11(4), 585-616.</w:t>
      </w:r>
    </w:p>
    <w:p>
      <w:pPr>
        <w:bidi w:val="0"/>
        <w:spacing w:lineRule="exact" w:line="580" w:after="40"/>
        <w:ind w:left="720" w:hanging="720"/>
        <w:jc w:val="left"/>
      </w:pPr>
      <w:r>
        <w:rPr>
          <w:rFonts w:ascii="Times New Roman" w:hAnsi="Times New Roman" w:cs="Times New Roman"/>
          <w:sz w:val="22"/>
          <w:szCs w:val="22"/>
          <w:lang w:val="en-US"/>
        </w:rPr>
        <w:t xml:space="preserve">Kahneman, D. (2011). Thinking, fast and slow. Farrar, Straus and Giroux.</w:t>
      </w:r>
    </w:p>
    <w:p>
      <w:pPr>
        <w:bidi w:val="0"/>
        <w:spacing w:lineRule="exact" w:line="580" w:after="40"/>
        <w:ind w:left="720" w:hanging="720"/>
        <w:jc w:val="left"/>
      </w:pPr>
      <w:r>
        <w:rPr>
          <w:rFonts w:ascii="Times New Roman" w:hAnsi="Times New Roman" w:cs="Times New Roman"/>
          <w:sz w:val="22"/>
          <w:szCs w:val="22"/>
          <w:lang w:val="en-US"/>
        </w:rPr>
        <w:t xml:space="preserve">Kahneman, D., &amp; Tversky, A. (1979). Prospect theory: An analysis of decision under risk. Econometrica, 47(2), 263-291.</w:t>
      </w:r>
    </w:p>
    <w:p>
      <w:pPr>
        <w:bidi w:val="0"/>
        <w:spacing w:lineRule="exact" w:line="580" w:after="40"/>
        <w:ind w:left="720" w:hanging="720"/>
        <w:jc w:val="left"/>
      </w:pPr>
      <w:r>
        <w:rPr>
          <w:rFonts w:ascii="Times New Roman" w:hAnsi="Times New Roman" w:cs="Times New Roman"/>
          <w:sz w:val="22"/>
          <w:szCs w:val="22"/>
          <w:lang w:val="en-US"/>
        </w:rPr>
        <w:t xml:space="preserve">Kaplan, H. I., &amp; Sadock, B. J. (2015) Synopsis of Psychiatry: Behavioral Sciences/Clinical Psychiatry. Wolters Kluwer.</w:t>
      </w:r>
    </w:p>
    <w:p>
      <w:pPr>
        <w:bidi w:val="0"/>
        <w:spacing w:lineRule="exact" w:line="580" w:after="40"/>
        <w:ind w:left="720" w:hanging="720"/>
        <w:jc w:val="left"/>
      </w:pPr>
      <w:r>
        <w:rPr>
          <w:rFonts w:ascii="Times New Roman" w:hAnsi="Times New Roman" w:cs="Times New Roman"/>
          <w:sz w:val="22"/>
          <w:szCs w:val="22"/>
          <w:lang w:val="en-US"/>
        </w:rPr>
        <w:t xml:space="preserve">Kline, R. B. (2016). Principles and practice of structural equation modeling (4th ed.). Guilford Press.</w:t>
      </w:r>
    </w:p>
    <w:p>
      <w:pPr>
        <w:bidi w:val="0"/>
        <w:spacing w:lineRule="exact" w:line="580" w:after="40"/>
        <w:ind w:left="720" w:hanging="720"/>
        <w:jc w:val="left"/>
      </w:pPr>
      <w:r>
        <w:rPr>
          <w:rFonts w:ascii="Times New Roman" w:hAnsi="Times New Roman" w:cs="Times New Roman"/>
          <w:sz w:val="22"/>
          <w:szCs w:val="22"/>
          <w:lang w:val="en-US"/>
        </w:rPr>
        <w:t xml:space="preserve">Kuhnen, C. M., &amp; Chiao, J. Y. (2009). Genetic determinants of financial risk taking. PLOS ONE, 4 (2), e4362</w:t>
      </w:r>
    </w:p>
    <w:p>
      <w:pPr>
        <w:bidi w:val="0"/>
        <w:spacing w:lineRule="exact" w:line="580" w:after="40"/>
        <w:ind w:left="720" w:hanging="720"/>
        <w:jc w:val="left"/>
      </w:pPr>
      <w:r>
        <w:rPr>
          <w:rFonts w:ascii="Times New Roman" w:hAnsi="Times New Roman" w:cs="Times New Roman"/>
          <w:sz w:val="22"/>
          <w:szCs w:val="22"/>
          <w:lang w:val="en-US"/>
        </w:rPr>
        <w:t xml:space="preserve">Lauriola, M., &amp; Levin, I. P. (2001). Personality traits and risky decision-making in a controlled experimental task: An exploratory study. Personality and Individual Differences, 31(2), 215-226.</w:t>
      </w:r>
    </w:p>
    <w:p>
      <w:pPr>
        <w:bidi w:val="0"/>
        <w:spacing w:lineRule="exact" w:line="580" w:after="40"/>
        <w:ind w:left="720" w:hanging="720"/>
        <w:jc w:val="left"/>
      </w:pPr>
      <w:r>
        <w:rPr>
          <w:rFonts w:ascii="Times New Roman" w:hAnsi="Times New Roman" w:cs="Times New Roman"/>
          <w:sz w:val="22"/>
          <w:szCs w:val="22"/>
          <w:lang w:val="en-US"/>
        </w:rPr>
        <w:t xml:space="preserve">Lindberg, N., et al. (2011). Early maladaptive schemas in pathological gambling. Journal of Gambling Studies, 27(2), 277-287.</w:t>
      </w:r>
    </w:p>
    <w:p>
      <w:pPr>
        <w:bidi w:val="0"/>
        <w:spacing w:lineRule="exact" w:line="580" w:after="40"/>
        <w:ind w:left="720" w:hanging="720"/>
        <w:jc w:val="left"/>
      </w:pPr>
      <w:r>
        <w:rPr>
          <w:rFonts w:ascii="Times New Roman" w:hAnsi="Times New Roman" w:cs="Times New Roman"/>
          <w:sz w:val="22"/>
          <w:szCs w:val="22"/>
          <w:lang w:val="en-US"/>
        </w:rPr>
        <w:t xml:space="preserve">Lo, A. W., &amp; Repin, D. V. (2002). The psychophysiology of real-time financial risk processing. Journal of Cognitive Neuroscience, 14(3), 323-339.</w:t>
      </w:r>
    </w:p>
    <w:p>
      <w:pPr>
        <w:bidi w:val="0"/>
        <w:spacing w:lineRule="exact" w:line="580" w:after="40"/>
        <w:ind w:left="720" w:hanging="720"/>
        <w:jc w:val="left"/>
      </w:pPr>
      <w:r>
        <w:rPr>
          <w:rFonts w:ascii="Times New Roman" w:hAnsi="Times New Roman" w:cs="Times New Roman"/>
          <w:sz w:val="22"/>
          <w:szCs w:val="22"/>
          <w:lang w:val="en-US"/>
        </w:rPr>
        <w:t xml:space="preserve">Lo, A. W., Repin, D. V., &amp; Steenbarger, B. N. (2005). Fear and Greed in Financial Markets: A Clinical Study of Day-Traders. American Economic Review, 95 (2), 352–359.</w:t>
      </w:r>
    </w:p>
    <w:p>
      <w:pPr>
        <w:bidi w:val="0"/>
        <w:spacing w:lineRule="exact" w:line="580" w:after="40"/>
        <w:ind w:left="720" w:hanging="720"/>
        <w:jc w:val="left"/>
      </w:pPr>
      <w:r>
        <w:rPr>
          <w:rFonts w:ascii="Times New Roman" w:hAnsi="Times New Roman" w:cs="Times New Roman"/>
          <w:sz w:val="22"/>
          <w:szCs w:val="22"/>
          <w:lang w:val="en-US"/>
        </w:rPr>
        <w:t xml:space="preserve">Mahato, S., et al. (2025). Millennials and zoomers as investors: Behavioral factors shaping financial choices. All Finance Journal, 3(2), 15-29.</w:t>
      </w:r>
    </w:p>
    <w:p>
      <w:pPr>
        <w:bidi w:val="0"/>
        <w:spacing w:lineRule="exact" w:line="580" w:after="40"/>
        <w:ind w:left="720" w:hanging="720"/>
        <w:jc w:val="left"/>
      </w:pPr>
      <w:r>
        <w:rPr>
          <w:rFonts w:ascii="Times New Roman" w:hAnsi="Times New Roman" w:cs="Times New Roman"/>
          <w:sz w:val="22"/>
          <w:szCs w:val="22"/>
          <w:lang w:val="en-US"/>
        </w:rPr>
        <w:t xml:space="preserve">Malkiel, B. G. (2003). The efficient market hypothesis and its critics. Journal of Economic Perspectives, 17(1), 59-82.</w:t>
      </w:r>
    </w:p>
    <w:p>
      <w:pPr>
        <w:bidi w:val="0"/>
        <w:spacing w:lineRule="exact" w:line="580" w:after="40"/>
        <w:ind w:left="720" w:hanging="720"/>
        <w:jc w:val="left"/>
      </w:pPr>
      <w:r>
        <w:rPr>
          <w:rFonts w:ascii="Times New Roman" w:hAnsi="Times New Roman" w:cs="Times New Roman"/>
          <w:sz w:val="22"/>
          <w:szCs w:val="22"/>
          <w:lang w:val="en-US"/>
        </w:rPr>
        <w:t xml:space="preserve">Maner, J. K., &amp; Schmidt, N. B. (2006). The role of risk avoidance in anxiety. Behavior Therapy, 37 (3), 290–305.</w:t>
      </w:r>
    </w:p>
    <w:p>
      <w:pPr>
        <w:bidi w:val="0"/>
        <w:spacing w:lineRule="exact" w:line="580" w:after="40"/>
        <w:ind w:left="720" w:hanging="720"/>
        <w:jc w:val="left"/>
      </w:pPr>
      <w:r>
        <w:rPr>
          <w:rFonts w:ascii="Times New Roman" w:hAnsi="Times New Roman" w:cs="Times New Roman"/>
          <w:sz w:val="22"/>
          <w:szCs w:val="22"/>
          <w:lang w:val="en-US"/>
        </w:rPr>
        <w:t xml:space="preserve">Mishkin, F. S. (2019). The economics of money, banking and financial markets (12th ed.). Pearson.</w:t>
      </w:r>
    </w:p>
    <w:p>
      <w:pPr>
        <w:bidi w:val="0"/>
        <w:spacing w:lineRule="exact" w:line="580" w:after="40"/>
        <w:ind w:left="720" w:hanging="720"/>
        <w:jc w:val="left"/>
      </w:pPr>
      <w:r>
        <w:rPr>
          <w:rFonts w:ascii="Times New Roman" w:hAnsi="Times New Roman" w:cs="Times New Roman"/>
          <w:sz w:val="22"/>
          <w:szCs w:val="22"/>
          <w:lang w:val="en-US"/>
        </w:rPr>
        <w:t xml:space="preserve">Mitte, K. (2007). Anxiety and risky decision-making: The role of cognitive processing. Psychological Review, 114 (4), 893-912.</w:t>
      </w:r>
    </w:p>
    <w:p>
      <w:pPr>
        <w:bidi w:val="0"/>
        <w:spacing w:lineRule="exact" w:line="580" w:after="40"/>
        <w:ind w:left="720" w:hanging="720"/>
        <w:jc w:val="left"/>
      </w:pPr>
      <w:r>
        <w:rPr>
          <w:rFonts w:ascii="Times New Roman" w:hAnsi="Times New Roman" w:cs="Times New Roman"/>
          <w:sz w:val="22"/>
          <w:szCs w:val="22"/>
          <w:lang w:val="en-US"/>
        </w:rPr>
        <w:t xml:space="preserve">Nguyen, M. T. T., Nguyen, L. H., &amp; Ho, T. H. (2019). Personality traits and stock investment of individuals. Sustainability, 11(19), 5474.</w:t>
      </w:r>
    </w:p>
    <w:p>
      <w:pPr>
        <w:bidi w:val="0"/>
        <w:spacing w:lineRule="exact" w:line="580" w:after="40"/>
        <w:ind w:left="720" w:hanging="720"/>
        <w:jc w:val="left"/>
      </w:pPr>
      <w:r>
        <w:rPr>
          <w:rFonts w:ascii="Times New Roman" w:hAnsi="Times New Roman" w:cs="Times New Roman"/>
          <w:sz w:val="22"/>
          <w:szCs w:val="22"/>
          <w:lang w:val="en-US"/>
        </w:rPr>
        <w:t xml:space="preserve">OECD. (2021). Retail investors in capital markets: Key findings and main messages. OECD Publishing.</w:t>
      </w:r>
    </w:p>
    <w:p>
      <w:pPr>
        <w:bidi w:val="0"/>
        <w:spacing w:lineRule="exact" w:line="580" w:after="40"/>
        <w:ind w:left="720" w:hanging="720"/>
        <w:jc w:val="left"/>
      </w:pPr>
      <w:r>
        <w:rPr>
          <w:rFonts w:ascii="Times New Roman" w:hAnsi="Times New Roman" w:cs="Times New Roman"/>
          <w:sz w:val="22"/>
          <w:szCs w:val="22"/>
          <w:lang w:val="en-US"/>
        </w:rPr>
        <w:t xml:space="preserve">Ololo, K., et al. (2024). Rational Emotive and Cognitive Behavior Coaching Intervention for Promoting College Students’ Financial Risk Tolerance. Journal of Rational-Emotive &amp; Cognitive-Behavior Therapy, 42, 398-418.</w:t>
      </w:r>
    </w:p>
    <w:p>
      <w:pPr>
        <w:bidi w:val="0"/>
        <w:spacing w:lineRule="exact" w:line="580" w:after="40"/>
        <w:ind w:left="720" w:hanging="720"/>
        <w:jc w:val="left"/>
      </w:pPr>
      <w:r>
        <w:rPr>
          <w:rFonts w:ascii="Times New Roman" w:hAnsi="Times New Roman" w:cs="Times New Roman"/>
          <w:sz w:val="22"/>
          <w:szCs w:val="22"/>
          <w:lang w:val="en-US"/>
        </w:rPr>
        <w:t xml:space="preserve">Pak, O., &amp; Mahmood, M. (2019). Personality traits and investor profile analysis: A behavioral finance study. PLoS ONE, 14(3), e0213626.</w:t>
      </w:r>
    </w:p>
    <w:p>
      <w:pPr>
        <w:bidi w:val="0"/>
        <w:spacing w:lineRule="exact" w:line="580" w:after="40"/>
        <w:ind w:left="720" w:hanging="720"/>
        <w:jc w:val="left"/>
      </w:pPr>
      <w:r>
        <w:rPr>
          <w:rFonts w:ascii="Times New Roman" w:hAnsi="Times New Roman" w:cs="Times New Roman"/>
          <w:sz w:val="22"/>
          <w:szCs w:val="22"/>
          <w:lang w:val="en-US"/>
        </w:rPr>
        <w:t xml:space="preserve">Rehm, I. C., et al. (2015). Neuroticism and its facets in relation to early maladaptive schemas. Journal of Affective Disorders, 172, 424-431.</w:t>
      </w:r>
    </w:p>
    <w:p>
      <w:pPr>
        <w:bidi w:val="0"/>
        <w:spacing w:lineRule="exact" w:line="580" w:after="40"/>
        <w:ind w:left="720" w:hanging="720"/>
        <w:jc w:val="left"/>
      </w:pPr>
      <w:r>
        <w:rPr>
          <w:rFonts w:ascii="Times New Roman" w:hAnsi="Times New Roman" w:cs="Times New Roman"/>
          <w:sz w:val="22"/>
          <w:szCs w:val="22"/>
          <w:lang w:val="en-US"/>
        </w:rPr>
        <w:t xml:space="preserve">Safitri, H., Giriati, G., &amp; Wendy, W. (2025). Socio-Psychological Effect in Investment Decision-Making Mediated by Risk Tolerance. Journal of Information Systems Engineering and Management, 10(1), 22015.</w:t>
      </w:r>
    </w:p>
    <w:p>
      <w:pPr>
        <w:bidi w:val="0"/>
        <w:spacing w:lineRule="exact" w:line="580" w:after="40"/>
        <w:ind w:left="720" w:hanging="720"/>
        <w:jc w:val="left"/>
      </w:pPr>
      <w:r>
        <w:rPr>
          <w:rFonts w:ascii="Times New Roman" w:hAnsi="Times New Roman" w:cs="Times New Roman"/>
          <w:sz w:val="22"/>
          <w:szCs w:val="22"/>
          <w:lang w:val="en-US"/>
        </w:rPr>
        <w:t xml:space="preserve">Saggino, A., Balsamo, M., Carlucci, L., Cavalletti, V., Sergi, M. R., da Fermo, G., Dèttore, D., Marsigli, N., &amp; Tommasi, M. (2018). Psychometric properties of the Italian version of the Young Schema Questionnaire L-3: Preliminary results. Frontiers in Psychology, 9, 312. https://doi.org/10.3389/fpsyg.2018.00312</w:t>
      </w:r>
    </w:p>
    <w:p>
      <w:pPr>
        <w:bidi w:val="0"/>
        <w:spacing w:lineRule="exact" w:line="580" w:after="40"/>
        <w:ind w:left="720" w:hanging="720"/>
        <w:jc w:val="left"/>
      </w:pPr>
      <w:r>
        <w:rPr>
          <w:rFonts w:ascii="Times New Roman" w:hAnsi="Times New Roman" w:cs="Times New Roman"/>
          <w:sz w:val="22"/>
          <w:szCs w:val="22"/>
          <w:lang w:val="en-US"/>
        </w:rPr>
        <w:t xml:space="preserve">Schmidt, N. B., Joiner, T. E., Young, J. E., &amp; Telch, M. J. (1995). The schema questionnaire: Investigation of psychometric properties and the hierarchical structure of a measure of maladaptive schemas. Cognitive Therapy and Research, 19(3), 295–321. https://doi.org/10.1007/bf02230402</w:t>
      </w:r>
    </w:p>
    <w:p>
      <w:pPr>
        <w:bidi w:val="0"/>
        <w:spacing w:lineRule="exact" w:line="580" w:after="40"/>
        <w:ind w:left="720" w:hanging="720"/>
        <w:jc w:val="left"/>
      </w:pPr>
      <w:r>
        <w:rPr>
          <w:rFonts w:ascii="Times New Roman" w:hAnsi="Times New Roman" w:cs="Times New Roman"/>
          <w:sz w:val="22"/>
          <w:szCs w:val="22"/>
          <w:lang w:val="en-US"/>
        </w:rPr>
        <w:t xml:space="preserve">Sedighi Arfaee, F., Navabi Semiromi, M. J., &amp; Karami, A. A. (2023). The effect of early maladaptive schemas on tendency to risky behaviors with the mediating role of emotion regulation in male secondary school students. Knowledge &amp; Research in Applied Psychology. https://sanad.iau.ir/journal/jsrp</w:t>
      </w:r>
    </w:p>
    <w:p>
      <w:pPr>
        <w:bidi w:val="0"/>
        <w:spacing w:lineRule="exact" w:line="580" w:after="40"/>
        <w:ind w:left="720" w:hanging="720"/>
        <w:jc w:val="left"/>
      </w:pPr>
      <w:r>
        <w:rPr>
          <w:rFonts w:ascii="Times New Roman" w:hAnsi="Times New Roman" w:cs="Times New Roman"/>
          <w:sz w:val="22"/>
          <w:szCs w:val="22"/>
          <w:lang w:val="en-US"/>
        </w:rPr>
        <w:t xml:space="preserve">Shefrin, H., &amp; Statman, M. (1985). The disposition to sell winners too early and ride losers too long: Theory and evidence. The Journal of Finance, 40(3), 777-790.</w:t>
      </w:r>
    </w:p>
    <w:p>
      <w:pPr>
        <w:bidi w:val="0"/>
        <w:spacing w:lineRule="exact" w:line="580" w:after="40"/>
        <w:ind w:left="720" w:hanging="720"/>
        <w:jc w:val="left"/>
      </w:pPr>
      <w:r>
        <w:rPr>
          <w:rFonts w:ascii="Times New Roman" w:hAnsi="Times New Roman" w:cs="Times New Roman"/>
          <w:sz w:val="22"/>
          <w:szCs w:val="22"/>
          <w:lang w:val="en-US"/>
        </w:rPr>
        <w:t xml:space="preserve">Shiller, R. J. (2015). Irrational exuberance (3rd ed.). Princeton University Press.</w:t>
      </w:r>
    </w:p>
    <w:p>
      <w:pPr>
        <w:bidi w:val="0"/>
        <w:spacing w:lineRule="exact" w:line="580" w:after="40"/>
        <w:ind w:left="720" w:hanging="720"/>
        <w:jc w:val="left"/>
      </w:pPr>
      <w:r>
        <w:rPr>
          <w:rFonts w:ascii="Times New Roman" w:hAnsi="Times New Roman" w:cs="Times New Roman"/>
          <w:sz w:val="22"/>
          <w:szCs w:val="22"/>
          <w:lang w:val="en-US"/>
        </w:rPr>
        <w:t xml:space="preserve">Shorey, R. C., et al. (2012). Gambling and early maladaptive schemas in a treatment seeking sample of male alcohol users: A preliminary investigation. Addictive Disorders &amp; Their Treatment, 11(4), 173-182. https://doi.org/10.1097/adt.0b013e31823eda8f</w:t>
      </w:r>
    </w:p>
    <w:p>
      <w:pPr>
        <w:bidi w:val="0"/>
        <w:spacing w:lineRule="exact" w:line="580" w:after="40"/>
        <w:ind w:left="720" w:hanging="720"/>
        <w:jc w:val="left"/>
      </w:pPr>
      <w:r>
        <w:rPr>
          <w:rFonts w:ascii="Times New Roman" w:hAnsi="Times New Roman" w:cs="Times New Roman"/>
          <w:sz w:val="22"/>
          <w:szCs w:val="22"/>
          <w:lang w:val="en-US"/>
        </w:rPr>
        <w:t xml:space="preserve">Spielberger, C. D. (1983). Manual for the State-Trait Anxiety Inventory. Consulting Psychologists Press.</w:t>
      </w:r>
    </w:p>
    <w:p>
      <w:pPr>
        <w:bidi w:val="0"/>
        <w:spacing w:lineRule="exact" w:line="580" w:after="40"/>
        <w:ind w:left="720" w:hanging="720"/>
        <w:jc w:val="left"/>
      </w:pPr>
      <w:r>
        <w:rPr>
          <w:rFonts w:ascii="Times New Roman" w:hAnsi="Times New Roman" w:cs="Times New Roman"/>
          <w:sz w:val="22"/>
          <w:szCs w:val="22"/>
          <w:lang w:val="en-US"/>
        </w:rPr>
        <w:t xml:space="preserve">Spielberger, C. D., Gorsuch, R. L., &amp; Lushene, R. E. (1970). Manual for the State-Trait Anxiety Inventory. Consulting Psychologists Press.</w:t>
      </w:r>
    </w:p>
    <w:p>
      <w:pPr>
        <w:bidi w:val="0"/>
        <w:spacing w:lineRule="exact" w:line="580" w:after="40"/>
        <w:ind w:left="720" w:hanging="720"/>
        <w:jc w:val="left"/>
      </w:pPr>
      <w:r>
        <w:rPr>
          <w:rFonts w:ascii="Times New Roman" w:hAnsi="Times New Roman" w:cs="Times New Roman"/>
          <w:sz w:val="22"/>
          <w:szCs w:val="22"/>
          <w:lang w:val="en-US"/>
        </w:rPr>
        <w:t xml:space="preserve">Thaler, R. H. (2016). Behavioral finance: Past, present, and future. American Economic Review, 106(7), 1577-1600.</w:t>
      </w:r>
    </w:p>
    <w:p>
      <w:pPr>
        <w:bidi w:val="0"/>
        <w:spacing w:lineRule="exact" w:line="580" w:after="40"/>
        <w:ind w:left="720" w:hanging="720"/>
        <w:jc w:val="left"/>
      </w:pPr>
      <w:r>
        <w:rPr>
          <w:rFonts w:ascii="Times New Roman" w:hAnsi="Times New Roman" w:cs="Times New Roman"/>
          <w:sz w:val="22"/>
          <w:szCs w:val="22"/>
          <w:lang w:val="en-US"/>
        </w:rPr>
        <w:t xml:space="preserve">Vieira, C., Kuss, D. J., &amp; Griffiths, M. D. (2023). Early maladaptive schemas and behavioural addictions: A systematic literature review. Clinical Psychology Review, 105, 102340. https://doi.org/10.1016/j.cpr.2023.102340</w:t>
      </w:r>
    </w:p>
    <w:p>
      <w:pPr>
        <w:bidi w:val="0"/>
        <w:spacing w:lineRule="exact" w:line="580" w:after="40"/>
        <w:ind w:left="720" w:hanging="720"/>
        <w:jc w:val="left"/>
      </w:pPr>
      <w:r>
        <w:rPr>
          <w:rFonts w:ascii="Times New Roman" w:hAnsi="Times New Roman" w:cs="Times New Roman"/>
          <w:sz w:val="22"/>
          <w:szCs w:val="22"/>
          <w:lang w:val="en-US"/>
        </w:rPr>
        <w:t xml:space="preserve">Yalom, I. D. (1980). Existential Psychotherapy. Basic Books</w:t>
      </w:r>
    </w:p>
    <w:p>
      <w:pPr>
        <w:bidi w:val="0"/>
        <w:spacing w:lineRule="exact" w:line="580" w:after="40"/>
        <w:ind w:left="720" w:hanging="720"/>
        <w:jc w:val="left"/>
      </w:pPr>
      <w:r>
        <w:rPr>
          <w:rFonts w:ascii="Times New Roman" w:hAnsi="Times New Roman" w:cs="Times New Roman"/>
          <w:sz w:val="22"/>
          <w:szCs w:val="22"/>
          <w:lang w:val="en-US"/>
        </w:rPr>
        <w:t xml:space="preserve">Young, J. E. (1998). Young Schema Questionnaire - Short Form. Schema Therapy Institute.</w:t>
      </w:r>
    </w:p>
    <w:p>
      <w:pPr>
        <w:bidi w:val="0"/>
        <w:spacing w:lineRule="exact" w:line="580" w:after="40"/>
        <w:ind w:left="720" w:hanging="720"/>
        <w:jc w:val="left"/>
      </w:pPr>
      <w:r>
        <w:rPr>
          <w:rFonts w:ascii="Times New Roman" w:hAnsi="Times New Roman" w:cs="Times New Roman"/>
          <w:sz w:val="22"/>
          <w:szCs w:val="22"/>
          <w:lang w:val="en-US"/>
        </w:rPr>
        <w:t xml:space="preserve">Young, J. E., Klosko, J. S., &amp; Weishaar, M. E. (2003). Schema Therapy: A Practitioner's Guide. Guilford Press.</w:t>
      </w:r>
    </w:p>
    <w:p>
      <w:pPr>
        <w:bidi w:val="0"/>
        <w:spacing w:lineRule="exact" w:line="580" w:after="40"/>
        <w:ind w:left="720" w:hanging="720"/>
        <w:jc w:val="left"/>
      </w:pPr>
      <w:r>
        <w:rPr>
          <w:rFonts w:ascii="Times New Roman" w:hAnsi="Times New Roman" w:cs="Times New Roman"/>
          <w:sz w:val="22"/>
          <w:szCs w:val="22"/>
          <w:lang w:val="en-US"/>
        </w:rPr>
        <w:t xml:space="preserve">Zuckerman, M. (1999). Vulnerability to psychopathology: A biosocial model. American Psychological Association.</w:t>
      </w:r>
    </w:p>
    <w:sectPr w:rsidR="00FC693F" w:rsidRPr="0006063C" w:rsidSect="00034616">
      <w:footerReference w:type="default" r:id="rId18"/>
      <w:footnotePr>
        <w:numFmt w:val="hindi"/>
        <w:numRestart w:val="eachPage"/>
      </w:footnotePr>
      <w:pgSz w:w="11906" w:h="16838"/>
      <w:pgMar w:top="1701" w:right="2268" w:bottom="1417" w:left="1417" w:header="720" w:footer="567" w:gutter="0"/>
      <w:pgNumType w:numFmt="hindi"/>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notes.xml><?xml version="1.0" encoding="utf-8"?>
<w:footnotes xmlns:w="http://schemas.openxmlformats.org/wordprocessingml/2006/main">
  <w:footnote w:id="-1">
    <w:p>
      <w:r>
        <w:separator/>
      </w:r>
    </w:p>
  </w:footnote>
  <w:footnote w:id="0">
    <w:p>
      <w:r>
        <w:continuationSeparator/>
      </w:r>
    </w:p>
  </w:footnote>
  <w:footnote w:id="1">
    <w:p>
      <w:pPr>
        <w:bidi w:val="0"/>
      </w:pPr>
      <w:r>
        <w:rPr>
          <w:vertAlign w:val="superscript"/>
        </w:rPr>
        <w:footnoteRef/>
      </w:r>
      <w:r>
        <w:rPr>
          <w:rFonts w:ascii="Times New Roman" w:hAnsi="Times New Roman" w:cs="Times New Roman"/>
          <w:sz w:val="20"/>
          <w:szCs w:val="20"/>
        </w:rPr>
        <w:t xml:space="preserve"> High-Risk Financial Behaviors</w:t>
      </w:r>
    </w:p>
  </w:footnote>
  <w:footnote w:id="2">
    <w:p>
      <w:pPr>
        <w:bidi w:val="0"/>
      </w:pPr>
      <w:r>
        <w:rPr>
          <w:vertAlign w:val="superscript"/>
        </w:rPr>
        <w:footnoteRef/>
      </w:r>
      <w:r>
        <w:rPr>
          <w:rFonts w:ascii="Times New Roman" w:hAnsi="Times New Roman" w:cs="Times New Roman"/>
          <w:sz w:val="20"/>
          <w:szCs w:val="20"/>
        </w:rPr>
        <w:t xml:space="preserve"> Trait Anxiety</w:t>
      </w:r>
    </w:p>
  </w:footnote>
  <w:footnote w:id="3">
    <w:p>
      <w:pPr>
        <w:bidi w:val="0"/>
      </w:pPr>
      <w:r>
        <w:rPr>
          <w:vertAlign w:val="superscript"/>
        </w:rPr>
        <w:footnoteRef/>
      </w:r>
      <w:r>
        <w:rPr>
          <w:rFonts w:ascii="Times New Roman" w:hAnsi="Times New Roman" w:cs="Times New Roman"/>
          <w:sz w:val="20"/>
          <w:szCs w:val="20"/>
        </w:rPr>
        <w:t xml:space="preserve"> Early Maladaptive Schemas</w:t>
      </w:r>
    </w:p>
  </w:footnote>
  <w:footnote w:id="4">
    <w:p>
      <w:pPr>
        <w:bidi w:val="0"/>
      </w:pPr>
      <w:r>
        <w:rPr>
          <w:vertAlign w:val="superscript"/>
        </w:rPr>
        <w:footnoteRef/>
      </w:r>
      <w:r>
        <w:rPr>
          <w:rFonts w:ascii="Times New Roman" w:hAnsi="Times New Roman" w:cs="Times New Roman"/>
          <w:sz w:val="20"/>
          <w:szCs w:val="20"/>
        </w:rPr>
        <w:t xml:space="preserve"> Efficient Market Hypothesis</w:t>
      </w:r>
    </w:p>
  </w:footnote>
  <w:footnote w:id="5">
    <w:p>
      <w:pPr>
        <w:bidi w:val="0"/>
      </w:pPr>
      <w:r>
        <w:rPr>
          <w:vertAlign w:val="superscript"/>
        </w:rPr>
        <w:footnoteRef/>
      </w:r>
      <w:r>
        <w:rPr>
          <w:rFonts w:ascii="Times New Roman" w:hAnsi="Times New Roman" w:cs="Times New Roman"/>
          <w:sz w:val="20"/>
          <w:szCs w:val="20"/>
        </w:rPr>
        <w:t xml:space="preserve"> Behavioral Economics</w:t>
      </w:r>
    </w:p>
  </w:footnote>
  <w:footnote w:id="6">
    <w:p>
      <w:pPr>
        <w:bidi w:val="0"/>
      </w:pPr>
      <w:r>
        <w:rPr>
          <w:vertAlign w:val="superscript"/>
        </w:rPr>
        <w:footnoteRef/>
      </w:r>
      <w:r>
        <w:rPr>
          <w:rFonts w:ascii="Times New Roman" w:hAnsi="Times New Roman" w:cs="Times New Roman"/>
          <w:sz w:val="20"/>
          <w:szCs w:val="20"/>
        </w:rPr>
        <w:t xml:space="preserve"> Prospect Theory</w:t>
      </w:r>
    </w:p>
  </w:footnote>
  <w:footnote w:id="7">
    <w:p>
      <w:pPr>
        <w:bidi w:val="0"/>
      </w:pPr>
      <w:r>
        <w:rPr>
          <w:vertAlign w:val="superscript"/>
        </w:rPr>
        <w:footnoteRef/>
      </w:r>
      <w:r>
        <w:rPr>
          <w:rFonts w:ascii="Times New Roman" w:hAnsi="Times New Roman" w:cs="Times New Roman"/>
          <w:sz w:val="20"/>
          <w:szCs w:val="20"/>
        </w:rPr>
        <w:t xml:space="preserve"> Loss Aversion</w:t>
      </w:r>
    </w:p>
  </w:footnote>
  <w:footnote w:id="8">
    <w:p>
      <w:pPr>
        <w:bidi w:val="0"/>
      </w:pPr>
      <w:r>
        <w:rPr>
          <w:vertAlign w:val="superscript"/>
        </w:rPr>
        <w:footnoteRef/>
      </w:r>
      <w:r>
        <w:rPr>
          <w:rFonts w:ascii="Times New Roman" w:hAnsi="Times New Roman" w:cs="Times New Roman"/>
          <w:sz w:val="20"/>
          <w:szCs w:val="20"/>
        </w:rPr>
        <w:t xml:space="preserve"> Fear of Missing Out</w:t>
      </w:r>
    </w:p>
  </w:footnote>
  <w:footnote w:id="9">
    <w:p>
      <w:pPr>
        <w:bidi w:val="0"/>
      </w:pPr>
      <w:r>
        <w:rPr>
          <w:vertAlign w:val="superscript"/>
        </w:rPr>
        <w:footnoteRef/>
      </w:r>
      <w:r>
        <w:rPr>
          <w:rFonts w:ascii="Times New Roman" w:hAnsi="Times New Roman" w:cs="Times New Roman"/>
          <w:sz w:val="20"/>
          <w:szCs w:val="20"/>
        </w:rPr>
        <w:t xml:space="preserve"> Attentional Control Theory</w:t>
      </w:r>
    </w:p>
  </w:footnote>
  <w:footnote w:id="10">
    <w:p>
      <w:pPr>
        <w:bidi w:val="0"/>
      </w:pPr>
      <w:r>
        <w:rPr>
          <w:vertAlign w:val="superscript"/>
        </w:rPr>
        <w:footnoteRef/>
      </w:r>
      <w:r>
        <w:rPr>
          <w:rFonts w:ascii="Times New Roman" w:hAnsi="Times New Roman" w:cs="Times New Roman"/>
          <w:sz w:val="20"/>
          <w:szCs w:val="20"/>
        </w:rPr>
        <w:t xml:space="preserve"> Overtrading</w:t>
      </w:r>
    </w:p>
  </w:footnote>
  <w:footnote w:id="11">
    <w:p>
      <w:pPr>
        <w:bidi w:val="0"/>
      </w:pPr>
      <w:r>
        <w:rPr>
          <w:vertAlign w:val="superscript"/>
        </w:rPr>
        <w:footnoteRef/>
      </w:r>
      <w:r>
        <w:rPr>
          <w:rFonts w:ascii="Times New Roman" w:hAnsi="Times New Roman" w:cs="Times New Roman"/>
          <w:sz w:val="20"/>
          <w:szCs w:val="20"/>
        </w:rPr>
        <w:t xml:space="preserve"> Disposition Effect</w:t>
      </w:r>
    </w:p>
  </w:footnote>
  <w:footnote w:id="12">
    <w:p>
      <w:pPr>
        <w:bidi w:val="0"/>
      </w:pPr>
      <w:r>
        <w:rPr>
          <w:vertAlign w:val="superscript"/>
        </w:rPr>
        <w:footnoteRef/>
      </w:r>
      <w:r>
        <w:rPr>
          <w:rFonts w:ascii="Times New Roman" w:hAnsi="Times New Roman" w:cs="Times New Roman"/>
          <w:sz w:val="20"/>
          <w:szCs w:val="20"/>
        </w:rPr>
        <w:t xml:space="preserve"> Herding Behavior</w:t>
      </w:r>
    </w:p>
  </w:footnote>
  <w:footnote w:id="13">
    <w:p>
      <w:pPr>
        <w:bidi w:val="0"/>
      </w:pPr>
      <w:r>
        <w:rPr>
          <w:vertAlign w:val="superscript"/>
        </w:rPr>
        <w:footnoteRef/>
      </w:r>
      <w:r>
        <w:rPr>
          <w:rFonts w:ascii="Times New Roman" w:hAnsi="Times New Roman" w:cs="Times New Roman"/>
          <w:sz w:val="20"/>
          <w:szCs w:val="20"/>
        </w:rPr>
        <w:t xml:space="preserve"> Diathesis-Stress Model</w:t>
      </w:r>
    </w:p>
  </w:footnote>
  <w:footnote w:id="14">
    <w:p>
      <w:pPr>
        <w:bidi w:val="0"/>
      </w:pPr>
      <w:r>
        <w:rPr>
          <w:vertAlign w:val="superscript"/>
        </w:rPr>
        <w:footnoteRef/>
      </w:r>
      <w:r>
        <w:rPr>
          <w:rFonts w:ascii="Times New Roman" w:hAnsi="Times New Roman" w:cs="Times New Roman"/>
          <w:sz w:val="20"/>
          <w:szCs w:val="20"/>
        </w:rPr>
        <w:t xml:space="preserve"> State-Trait Anxiety Inventory, Form Y-2 (STAI-Y2)</w:t>
      </w:r>
    </w:p>
  </w:footnote>
  <w:footnote w:id="15">
    <w:p>
      <w:pPr>
        <w:bidi w:val="0"/>
      </w:pPr>
      <w:r>
        <w:rPr>
          <w:vertAlign w:val="superscript"/>
        </w:rPr>
        <w:footnoteRef/>
      </w:r>
      <w:r>
        <w:rPr>
          <w:rFonts w:ascii="Times New Roman" w:hAnsi="Times New Roman" w:cs="Times New Roman"/>
          <w:sz w:val="20"/>
          <w:szCs w:val="20"/>
        </w:rPr>
        <w:t xml:space="preserve"> Young Schema Questionnaire – Short Form (YSQ-SF)</w:t>
      </w:r>
    </w:p>
  </w:footnote>
  <w:footnote w:id="16">
    <w:p>
      <w:pPr>
        <w:bidi w:val="0"/>
      </w:pPr>
      <w:r>
        <w:rPr>
          <w:vertAlign w:val="superscript"/>
        </w:rPr>
        <w:footnoteRef/>
      </w:r>
      <w:r>
        <w:rPr>
          <w:rFonts w:ascii="Times New Roman" w:hAnsi="Times New Roman" w:cs="Times New Roman"/>
          <w:sz w:val="20"/>
          <w:szCs w:val="20"/>
        </w:rPr>
        <w:t xml:space="preserve"> Financial Risk Tolerance</w:t>
      </w:r>
    </w:p>
  </w:footnote>
  <w:footnote w:id="17">
    <w:p>
      <w:pPr>
        <w:bidi w:val="0"/>
      </w:pPr>
      <w:r>
        <w:rPr>
          <w:vertAlign w:val="superscript"/>
        </w:rPr>
        <w:footnoteRef/>
      </w:r>
      <w:r>
        <w:rPr>
          <w:rFonts w:ascii="Times New Roman" w:hAnsi="Times New Roman" w:cs="Times New Roman"/>
          <w:sz w:val="20"/>
          <w:szCs w:val="20"/>
        </w:rPr>
        <w:t xml:space="preserve"> Financial Market Traders</w:t>
      </w:r>
    </w:p>
  </w:footnote>
  <w:footnote w:id="18">
    <w:p>
      <w:pPr>
        <w:bidi w:val="0"/>
      </w:pPr>
      <w:r>
        <w:rPr>
          <w:vertAlign w:val="superscript"/>
        </w:rPr>
        <w:footnoteRef/>
      </w:r>
      <w:r>
        <w:rPr>
          <w:rFonts w:ascii="Times New Roman" w:hAnsi="Times New Roman" w:cs="Times New Roman"/>
          <w:sz w:val="20"/>
          <w:szCs w:val="20"/>
        </w:rPr>
        <w:t xml:space="preserve"> Research Gap</w:t>
      </w:r>
    </w:p>
  </w:footnote>
  <w:footnote w:id="19">
    <w:p>
      <w:pPr>
        <w:bidi w:val="0"/>
      </w:pPr>
      <w:r>
        <w:rPr>
          <w:vertAlign w:val="superscript"/>
        </w:rPr>
        <w:footnoteRef/>
      </w:r>
      <w:r>
        <w:rPr>
          <w:rFonts w:ascii="Times New Roman" w:hAnsi="Times New Roman" w:cs="Times New Roman"/>
          <w:sz w:val="20"/>
          <w:szCs w:val="20"/>
        </w:rPr>
        <w:t xml:space="preserve"> Anxiety</w:t>
      </w:r>
    </w:p>
  </w:footnote>
  <w:footnote w:id="20">
    <w:p>
      <w:pPr>
        <w:bidi w:val="0"/>
      </w:pPr>
      <w:r>
        <w:rPr>
          <w:vertAlign w:val="superscript"/>
        </w:rPr>
        <w:footnoteRef/>
      </w:r>
      <w:r>
        <w:rPr>
          <w:rFonts w:ascii="Times New Roman" w:hAnsi="Times New Roman" w:cs="Times New Roman"/>
          <w:sz w:val="20"/>
          <w:szCs w:val="20"/>
        </w:rPr>
        <w:t xml:space="preserve"> BNST</w:t>
      </w:r>
    </w:p>
  </w:footnote>
  <w:footnote w:id="21">
    <w:p>
      <w:pPr>
        <w:bidi w:val="0"/>
      </w:pPr>
      <w:r>
        <w:rPr>
          <w:vertAlign w:val="superscript"/>
        </w:rPr>
        <w:footnoteRef/>
      </w:r>
      <w:r>
        <w:rPr>
          <w:rFonts w:ascii="Times New Roman" w:hAnsi="Times New Roman" w:cs="Times New Roman"/>
          <w:sz w:val="20"/>
          <w:szCs w:val="20"/>
        </w:rPr>
        <w:t xml:space="preserve"> SSRIs</w:t>
      </w:r>
    </w:p>
  </w:footnote>
  <w:footnote w:id="22">
    <w:p>
      <w:pPr>
        <w:bidi w:val="0"/>
      </w:pPr>
      <w:r>
        <w:rPr>
          <w:vertAlign w:val="superscript"/>
        </w:rPr>
        <w:footnoteRef/>
      </w:r>
      <w:r>
        <w:rPr>
          <w:rFonts w:ascii="Times New Roman" w:hAnsi="Times New Roman" w:cs="Times New Roman"/>
          <w:sz w:val="20"/>
          <w:szCs w:val="20"/>
        </w:rPr>
        <w:t xml:space="preserve"> HRV</w:t>
      </w:r>
    </w:p>
  </w:footnote>
  <w:footnote w:id="23">
    <w:p>
      <w:pPr>
        <w:bidi w:val="0"/>
      </w:pPr>
      <w:r>
        <w:rPr>
          <w:vertAlign w:val="superscript"/>
        </w:rPr>
        <w:footnoteRef/>
      </w:r>
      <w:r>
        <w:rPr>
          <w:rFonts w:ascii="Times New Roman" w:hAnsi="Times New Roman" w:cs="Times New Roman"/>
          <w:sz w:val="20"/>
          <w:szCs w:val="20"/>
        </w:rPr>
        <w:t xml:space="preserve"> Risk Perception</w:t>
      </w:r>
    </w:p>
  </w:footnote>
  <w:footnote w:id="24">
    <w:p>
      <w:pPr>
        <w:bidi w:val="0"/>
      </w:pPr>
      <w:r>
        <w:rPr>
          <w:vertAlign w:val="superscript"/>
        </w:rPr>
        <w:footnoteRef/>
      </w:r>
      <w:r>
        <w:rPr>
          <w:rFonts w:ascii="Times New Roman" w:hAnsi="Times New Roman" w:cs="Times New Roman"/>
          <w:sz w:val="20"/>
          <w:szCs w:val="20"/>
        </w:rPr>
        <w:t xml:space="preserve"> Decision Quality</w:t>
      </w:r>
    </w:p>
  </w:footnote>
  <w:footnote w:id="25">
    <w:p>
      <w:pPr>
        <w:bidi w:val="0"/>
      </w:pPr>
      <w:r>
        <w:rPr>
          <w:vertAlign w:val="superscript"/>
        </w:rPr>
        <w:footnoteRef/>
      </w:r>
      <w:r>
        <w:rPr>
          <w:rFonts w:ascii="Times New Roman" w:hAnsi="Times New Roman" w:cs="Times New Roman"/>
          <w:sz w:val="20"/>
          <w:szCs w:val="20"/>
        </w:rPr>
        <w:t xml:space="preserve"> Schema Domains</w:t>
      </w:r>
    </w:p>
  </w:footnote>
  <w:footnote w:id="26">
    <w:p>
      <w:pPr>
        <w:bidi w:val="0"/>
      </w:pPr>
      <w:r>
        <w:rPr>
          <w:vertAlign w:val="superscript"/>
        </w:rPr>
        <w:footnoteRef/>
      </w:r>
      <w:r>
        <w:rPr>
          <w:rFonts w:ascii="Times New Roman" w:hAnsi="Times New Roman" w:cs="Times New Roman"/>
          <w:sz w:val="20"/>
          <w:szCs w:val="20"/>
        </w:rPr>
        <w:t xml:space="preserve"> Schema Coping Style</w:t>
      </w:r>
    </w:p>
  </w:footnote>
  <w:footnote w:id="27">
    <w:p>
      <w:pPr>
        <w:bidi w:val="0"/>
      </w:pPr>
      <w:r>
        <w:rPr>
          <w:vertAlign w:val="superscript"/>
        </w:rPr>
        <w:footnoteRef/>
      </w:r>
      <w:r>
        <w:rPr>
          <w:rFonts w:ascii="Times New Roman" w:hAnsi="Times New Roman" w:cs="Times New Roman"/>
          <w:sz w:val="20"/>
          <w:szCs w:val="20"/>
        </w:rPr>
        <w:t xml:space="preserve"> Surrender</w:t>
      </w:r>
    </w:p>
  </w:footnote>
  <w:footnote w:id="28">
    <w:p>
      <w:pPr>
        <w:bidi w:val="0"/>
      </w:pPr>
      <w:r>
        <w:rPr>
          <w:vertAlign w:val="superscript"/>
        </w:rPr>
        <w:footnoteRef/>
      </w:r>
      <w:r>
        <w:rPr>
          <w:rFonts w:ascii="Times New Roman" w:hAnsi="Times New Roman" w:cs="Times New Roman"/>
          <w:sz w:val="20"/>
          <w:szCs w:val="20"/>
        </w:rPr>
        <w:t xml:space="preserve"> Avoidance</w:t>
      </w:r>
    </w:p>
  </w:footnote>
  <w:footnote w:id="29">
    <w:p>
      <w:pPr>
        <w:bidi w:val="0"/>
      </w:pPr>
      <w:r>
        <w:rPr>
          <w:vertAlign w:val="superscript"/>
        </w:rPr>
        <w:footnoteRef/>
      </w:r>
      <w:r>
        <w:rPr>
          <w:rFonts w:ascii="Times New Roman" w:hAnsi="Times New Roman" w:cs="Times New Roman"/>
          <w:sz w:val="20"/>
          <w:szCs w:val="20"/>
        </w:rPr>
        <w:t xml:space="preserve"> Overcompensation</w:t>
      </w:r>
    </w:p>
  </w:footnote>
  <w:footnote w:id="30">
    <w:p>
      <w:pPr>
        <w:bidi w:val="0"/>
      </w:pPr>
      <w:r>
        <w:rPr>
          <w:vertAlign w:val="superscript"/>
        </w:rPr>
        <w:footnoteRef/>
      </w:r>
      <w:r>
        <w:rPr>
          <w:rFonts w:ascii="Times New Roman" w:hAnsi="Times New Roman" w:cs="Times New Roman"/>
          <w:sz w:val="20"/>
          <w:szCs w:val="20"/>
        </w:rPr>
        <w:t xml:space="preserve"> Risk Capacity</w:t>
      </w:r>
    </w:p>
  </w:footnote>
  <w:footnote w:id="31">
    <w:p>
      <w:pPr>
        <w:bidi w:val="0"/>
      </w:pPr>
      <w:r>
        <w:rPr>
          <w:vertAlign w:val="superscript"/>
        </w:rPr>
        <w:footnoteRef/>
      </w:r>
      <w:r>
        <w:rPr>
          <w:rFonts w:ascii="Times New Roman" w:hAnsi="Times New Roman" w:cs="Times New Roman"/>
          <w:sz w:val="20"/>
          <w:szCs w:val="20"/>
        </w:rPr>
        <w:t xml:space="preserve"> Risk Tolerance</w:t>
      </w:r>
    </w:p>
  </w:footnote>
  <w:footnote w:id="32">
    <w:p>
      <w:pPr>
        <w:bidi w:val="0"/>
      </w:pPr>
      <w:r>
        <w:rPr>
          <w:vertAlign w:val="superscript"/>
        </w:rPr>
        <w:footnoteRef/>
      </w:r>
      <w:r>
        <w:rPr>
          <w:rFonts w:ascii="Times New Roman" w:hAnsi="Times New Roman" w:cs="Times New Roman"/>
          <w:sz w:val="20"/>
          <w:szCs w:val="20"/>
        </w:rPr>
        <w:t xml:space="preserve"> Structural Equation Modeling; SEM</w:t>
      </w:r>
    </w:p>
  </w:footnote>
  <w:footnote w:id="33">
    <w:p>
      <w:pPr>
        <w:bidi w:val="0"/>
      </w:pPr>
      <w:r>
        <w:rPr>
          <w:vertAlign w:val="superscript"/>
        </w:rPr>
        <w:footnoteRef/>
      </w:r>
      <w:r>
        <w:rPr>
          <w:rFonts w:ascii="Times New Roman" w:hAnsi="Times New Roman" w:cs="Times New Roman"/>
          <w:sz w:val="20"/>
          <w:szCs w:val="20"/>
        </w:rPr>
        <w:t xml:space="preserve"> CBT</w:t>
      </w:r>
    </w:p>
  </w:footnote>
  <w:footnote w:id="34">
    <w:p>
      <w:pPr>
        <w:bidi w:val="0"/>
      </w:pPr>
      <w:r>
        <w:rPr>
          <w:vertAlign w:val="superscript"/>
        </w:rPr>
        <w:footnoteRef/>
      </w:r>
      <w:r>
        <w:rPr>
          <w:rFonts w:ascii="Times New Roman" w:hAnsi="Times New Roman" w:cs="Times New Roman"/>
          <w:sz w:val="20"/>
          <w:szCs w:val="20"/>
        </w:rPr>
        <w:t xml:space="preserve"> Applied Research</w:t>
      </w:r>
    </w:p>
  </w:footnote>
  <w:footnote w:id="35">
    <w:p>
      <w:pPr>
        <w:bidi w:val="0"/>
      </w:pPr>
      <w:r>
        <w:rPr>
          <w:vertAlign w:val="superscript"/>
        </w:rPr>
        <w:footnoteRef/>
      </w:r>
      <w:r>
        <w:rPr>
          <w:rFonts w:ascii="Times New Roman" w:hAnsi="Times New Roman" w:cs="Times New Roman"/>
          <w:sz w:val="20"/>
          <w:szCs w:val="20"/>
        </w:rPr>
        <w:t xml:space="preserve"> Descriptive-Correlational</w:t>
      </w:r>
    </w:p>
  </w:footnote>
  <w:footnote w:id="36">
    <w:p>
      <w:pPr>
        <w:bidi w:val="0"/>
      </w:pPr>
      <w:r>
        <w:rPr>
          <w:vertAlign w:val="superscript"/>
        </w:rPr>
        <w:footnoteRef/>
      </w:r>
      <w:r>
        <w:rPr>
          <w:rFonts w:ascii="Times New Roman" w:hAnsi="Times New Roman" w:cs="Times New Roman"/>
          <w:sz w:val="20"/>
          <w:szCs w:val="20"/>
        </w:rPr>
        <w:t xml:space="preserve"> Mediation Model</w:t>
      </w:r>
    </w:p>
  </w:footnote>
  <w:footnote w:id="37">
    <w:p>
      <w:pPr>
        <w:bidi w:val="0"/>
      </w:pPr>
      <w:r>
        <w:rPr>
          <w:vertAlign w:val="superscript"/>
        </w:rPr>
        <w:footnoteRef/>
      </w:r>
      <w:r>
        <w:rPr>
          <w:rFonts w:ascii="Times New Roman" w:hAnsi="Times New Roman" w:cs="Times New Roman"/>
          <w:sz w:val="20"/>
          <w:szCs w:val="20"/>
        </w:rPr>
        <w:t xml:space="preserve"> Convenience Sampling</w:t>
      </w:r>
    </w:p>
  </w:footnote>
  <w:footnote w:id="38">
    <w:p>
      <w:pPr>
        <w:bidi w:val="0"/>
      </w:pPr>
      <w:r>
        <w:rPr>
          <w:vertAlign w:val="superscript"/>
        </w:rPr>
        <w:footnoteRef/>
      </w:r>
      <w:r>
        <w:rPr>
          <w:rFonts w:ascii="Times New Roman" w:hAnsi="Times New Roman" w:cs="Times New Roman"/>
          <w:sz w:val="20"/>
          <w:szCs w:val="20"/>
        </w:rPr>
        <w:t xml:space="preserve"> Snowball Sampling</w:t>
      </w:r>
    </w:p>
  </w:footnote>
  <w:footnote w:id="39">
    <w:p>
      <w:pPr>
        <w:bidi w:val="0"/>
      </w:pPr>
      <w:r>
        <w:rPr>
          <w:vertAlign w:val="superscript"/>
        </w:rPr>
        <w:footnoteRef/>
      </w:r>
      <w:r>
        <w:rPr>
          <w:rFonts w:ascii="Times New Roman" w:hAnsi="Times New Roman" w:cs="Times New Roman"/>
          <w:sz w:val="20"/>
          <w:szCs w:val="20"/>
        </w:rPr>
        <w:t xml:space="preserve"> Financial Risk Tolerance Scale (GL-RTS)</w:t>
      </w:r>
    </w:p>
  </w:footnote>
  <w:footnote w:id="40">
    <w:p>
      <w:pPr>
        <w:bidi w:val="0"/>
      </w:pPr>
      <w:r>
        <w:rPr>
          <w:vertAlign w:val="superscript"/>
        </w:rPr>
        <w:footnoteRef/>
      </w:r>
      <w:r>
        <w:rPr>
          <w:rFonts w:ascii="Times New Roman" w:hAnsi="Times New Roman" w:cs="Times New Roman"/>
          <w:sz w:val="20"/>
          <w:szCs w:val="20"/>
        </w:rPr>
        <w:t xml:space="preserve"> Proxy Measure</w:t>
      </w:r>
    </w:p>
  </w:footnote>
  <w:footnote w:id="41">
    <w:p>
      <w:pPr>
        <w:bidi w:val="0"/>
      </w:pPr>
      <w:r>
        <w:rPr>
          <w:vertAlign w:val="superscript"/>
        </w:rPr>
        <w:footnoteRef/>
      </w:r>
      <w:r>
        <w:rPr>
          <w:rFonts w:ascii="Times New Roman" w:hAnsi="Times New Roman" w:cs="Times New Roman"/>
          <w:sz w:val="20"/>
          <w:szCs w:val="20"/>
        </w:rPr>
        <w:t xml:space="preserve"> OECD, 2021</w:t>
      </w:r>
    </w:p>
  </w:footnote>
  <w:footnote w:id="42">
    <w:p>
      <w:pPr>
        <w:bidi w:val="0"/>
      </w:pPr>
      <w:r>
        <w:rPr>
          <w:vertAlign w:val="superscript"/>
        </w:rPr>
        <w:footnoteRef/>
      </w:r>
      <w:r>
        <w:rPr>
          <w:rFonts w:ascii="Times New Roman" w:hAnsi="Times New Roman" w:cs="Times New Roman"/>
          <w:sz w:val="20"/>
          <w:szCs w:val="20"/>
        </w:rPr>
        <w:t xml:space="preserve"> Mahato et al.</w:t>
      </w:r>
    </w:p>
  </w:footnote>
  <w:footnote w:id="43">
    <w:p>
      <w:pPr>
        <w:bidi w:val="0"/>
      </w:pPr>
      <w:r>
        <w:rPr>
          <w:vertAlign w:val="superscript"/>
        </w:rPr>
        <w:footnoteRef/>
      </w:r>
      <w:r>
        <w:rPr>
          <w:rFonts w:ascii="Times New Roman" w:hAnsi="Times New Roman" w:cs="Times New Roman"/>
          <w:sz w:val="20"/>
          <w:szCs w:val="20"/>
        </w:rPr>
        <w:t xml:space="preserve"> Grall-Bronnec et al.</w:t>
      </w:r>
    </w:p>
  </w:footnote>
  <w:footnote w:id="44">
    <w:p>
      <w:pPr>
        <w:bidi w:val="0"/>
      </w:pPr>
      <w:r>
        <w:rPr>
          <w:vertAlign w:val="superscript"/>
        </w:rPr>
        <w:footnoteRef/>
      </w:r>
      <w:r>
        <w:rPr>
          <w:rFonts w:ascii="Times New Roman" w:hAnsi="Times New Roman" w:cs="Times New Roman"/>
          <w:sz w:val="20"/>
          <w:szCs w:val="20"/>
        </w:rPr>
        <w:t xml:space="preserve"> Mishkin</w:t>
      </w:r>
    </w:p>
  </w:footnote>
  <w:footnote w:id="45">
    <w:p>
      <w:pPr>
        <w:bidi w:val="0"/>
      </w:pPr>
      <w:r>
        <w:rPr>
          <w:vertAlign w:val="superscript"/>
        </w:rPr>
        <w:footnoteRef/>
      </w:r>
      <w:r>
        <w:rPr>
          <w:rFonts w:ascii="Times New Roman" w:hAnsi="Times New Roman" w:cs="Times New Roman"/>
          <w:sz w:val="20"/>
          <w:szCs w:val="20"/>
        </w:rPr>
        <w:t xml:space="preserve"> Bodie, Kane, &amp; Marcus</w:t>
      </w:r>
    </w:p>
  </w:footnote>
  <w:footnote w:id="46">
    <w:p>
      <w:pPr>
        <w:bidi w:val="0"/>
      </w:pPr>
      <w:r>
        <w:rPr>
          <w:vertAlign w:val="superscript"/>
        </w:rPr>
        <w:footnoteRef/>
      </w:r>
      <w:r>
        <w:rPr>
          <w:rFonts w:ascii="Times New Roman" w:hAnsi="Times New Roman" w:cs="Times New Roman"/>
          <w:sz w:val="20"/>
          <w:szCs w:val="20"/>
        </w:rPr>
        <w:t xml:space="preserve"> Shiller</w:t>
      </w:r>
    </w:p>
  </w:footnote>
  <w:footnote w:id="47">
    <w:p>
      <w:pPr>
        <w:bidi w:val="0"/>
      </w:pPr>
      <w:r>
        <w:rPr>
          <w:vertAlign w:val="superscript"/>
        </w:rPr>
        <w:footnoteRef/>
      </w:r>
      <w:r>
        <w:rPr>
          <w:rFonts w:ascii="Times New Roman" w:hAnsi="Times New Roman" w:cs="Times New Roman"/>
          <w:sz w:val="20"/>
          <w:szCs w:val="20"/>
        </w:rPr>
        <w:t xml:space="preserve"> Malkiel</w:t>
      </w:r>
    </w:p>
  </w:footnote>
  <w:footnote w:id="48">
    <w:p>
      <w:pPr>
        <w:bidi w:val="0"/>
      </w:pPr>
      <w:r>
        <w:rPr>
          <w:vertAlign w:val="superscript"/>
        </w:rPr>
        <w:footnoteRef/>
      </w:r>
      <w:r>
        <w:rPr>
          <w:rFonts w:ascii="Times New Roman" w:hAnsi="Times New Roman" w:cs="Times New Roman"/>
          <w:sz w:val="20"/>
          <w:szCs w:val="20"/>
        </w:rPr>
        <w:t xml:space="preserve"> Thaler</w:t>
      </w:r>
    </w:p>
  </w:footnote>
  <w:footnote w:id="49">
    <w:p>
      <w:pPr>
        <w:bidi w:val="0"/>
      </w:pPr>
      <w:r>
        <w:rPr>
          <w:vertAlign w:val="superscript"/>
        </w:rPr>
        <w:footnoteRef/>
      </w:r>
      <w:r>
        <w:rPr>
          <w:rFonts w:ascii="Times New Roman" w:hAnsi="Times New Roman" w:cs="Times New Roman"/>
          <w:sz w:val="20"/>
          <w:szCs w:val="20"/>
        </w:rPr>
        <w:t xml:space="preserve"> Kahneman &amp; Tversky</w:t>
      </w:r>
    </w:p>
  </w:footnote>
  <w:footnote w:id="50">
    <w:p>
      <w:pPr>
        <w:bidi w:val="0"/>
      </w:pPr>
      <w:r>
        <w:rPr>
          <w:vertAlign w:val="superscript"/>
        </w:rPr>
        <w:footnoteRef/>
      </w:r>
      <w:r>
        <w:rPr>
          <w:rFonts w:ascii="Times New Roman" w:hAnsi="Times New Roman" w:cs="Times New Roman"/>
          <w:sz w:val="20"/>
          <w:szCs w:val="20"/>
        </w:rPr>
        <w:t xml:space="preserve"> Kahneman</w:t>
      </w:r>
    </w:p>
  </w:footnote>
  <w:footnote w:id="51">
    <w:p>
      <w:pPr>
        <w:bidi w:val="0"/>
      </w:pPr>
      <w:r>
        <w:rPr>
          <w:vertAlign w:val="superscript"/>
        </w:rPr>
        <w:footnoteRef/>
      </w:r>
      <w:r>
        <w:rPr>
          <w:rFonts w:ascii="Times New Roman" w:hAnsi="Times New Roman" w:cs="Times New Roman"/>
          <w:sz w:val="20"/>
          <w:szCs w:val="20"/>
        </w:rPr>
        <w:t xml:space="preserve"> Auer &amp; Schuhmacher</w:t>
      </w:r>
    </w:p>
  </w:footnote>
  <w:footnote w:id="52">
    <w:p>
      <w:pPr>
        <w:bidi w:val="0"/>
      </w:pPr>
      <w:r>
        <w:rPr>
          <w:vertAlign w:val="superscript"/>
        </w:rPr>
        <w:footnoteRef/>
      </w:r>
      <w:r>
        <w:rPr>
          <w:rFonts w:ascii="Times New Roman" w:hAnsi="Times New Roman" w:cs="Times New Roman"/>
          <w:sz w:val="20"/>
          <w:szCs w:val="20"/>
        </w:rPr>
        <w:t xml:space="preserve"> Hwang &amp; Salmon</w:t>
      </w:r>
    </w:p>
  </w:footnote>
  <w:footnote w:id="53">
    <w:p>
      <w:pPr>
        <w:bidi w:val="0"/>
      </w:pPr>
      <w:r>
        <w:rPr>
          <w:vertAlign w:val="superscript"/>
        </w:rPr>
        <w:footnoteRef/>
      </w:r>
      <w:r>
        <w:rPr>
          <w:rFonts w:ascii="Times New Roman" w:hAnsi="Times New Roman" w:cs="Times New Roman"/>
          <w:sz w:val="20"/>
          <w:szCs w:val="20"/>
        </w:rPr>
        <w:t xml:space="preserve"> Spielberger</w:t>
      </w:r>
    </w:p>
  </w:footnote>
  <w:footnote w:id="54">
    <w:p>
      <w:pPr>
        <w:bidi w:val="0"/>
      </w:pPr>
      <w:r>
        <w:rPr>
          <w:vertAlign w:val="superscript"/>
        </w:rPr>
        <w:footnoteRef/>
      </w:r>
      <w:r>
        <w:rPr>
          <w:rFonts w:ascii="Times New Roman" w:hAnsi="Times New Roman" w:cs="Times New Roman"/>
          <w:sz w:val="20"/>
          <w:szCs w:val="20"/>
        </w:rPr>
        <w:t xml:space="preserve"> Beck</w:t>
      </w:r>
    </w:p>
  </w:footnote>
  <w:footnote w:id="55">
    <w:p>
      <w:pPr>
        <w:bidi w:val="0"/>
      </w:pPr>
      <w:r>
        <w:rPr>
          <w:vertAlign w:val="superscript"/>
        </w:rPr>
        <w:footnoteRef/>
      </w:r>
      <w:r>
        <w:rPr>
          <w:rFonts w:ascii="Times New Roman" w:hAnsi="Times New Roman" w:cs="Times New Roman"/>
          <w:sz w:val="20"/>
          <w:szCs w:val="20"/>
        </w:rPr>
        <w:t xml:space="preserve"> Bishop</w:t>
      </w:r>
    </w:p>
  </w:footnote>
  <w:footnote w:id="56">
    <w:p>
      <w:pPr>
        <w:bidi w:val="0"/>
      </w:pPr>
      <w:r>
        <w:rPr>
          <w:vertAlign w:val="superscript"/>
        </w:rPr>
        <w:footnoteRef/>
      </w:r>
      <w:r>
        <w:rPr>
          <w:rFonts w:ascii="Times New Roman" w:hAnsi="Times New Roman" w:cs="Times New Roman"/>
          <w:sz w:val="20"/>
          <w:szCs w:val="20"/>
        </w:rPr>
        <w:t xml:space="preserve"> Beck &amp; Clark</w:t>
      </w:r>
    </w:p>
  </w:footnote>
  <w:footnote w:id="57">
    <w:p>
      <w:pPr>
        <w:bidi w:val="0"/>
      </w:pPr>
      <w:r>
        <w:rPr>
          <w:vertAlign w:val="superscript"/>
        </w:rPr>
        <w:footnoteRef/>
      </w:r>
      <w:r>
        <w:rPr>
          <w:rFonts w:ascii="Times New Roman" w:hAnsi="Times New Roman" w:cs="Times New Roman"/>
          <w:sz w:val="20"/>
          <w:szCs w:val="20"/>
        </w:rPr>
        <w:t xml:space="preserve"> Grupe &amp; Nitschke</w:t>
      </w:r>
    </w:p>
  </w:footnote>
  <w:footnote w:id="58">
    <w:p>
      <w:pPr>
        <w:bidi w:val="0"/>
      </w:pPr>
      <w:r>
        <w:rPr>
          <w:vertAlign w:val="superscript"/>
        </w:rPr>
        <w:footnoteRef/>
      </w:r>
      <w:r>
        <w:rPr>
          <w:rFonts w:ascii="Times New Roman" w:hAnsi="Times New Roman" w:cs="Times New Roman"/>
          <w:sz w:val="20"/>
          <w:szCs w:val="20"/>
        </w:rPr>
        <w:t xml:space="preserve"> Eysenck et al.</w:t>
      </w:r>
    </w:p>
  </w:footnote>
  <w:footnote w:id="59">
    <w:p>
      <w:pPr>
        <w:bidi w:val="0"/>
      </w:pPr>
      <w:r>
        <w:rPr>
          <w:vertAlign w:val="superscript"/>
        </w:rPr>
        <w:footnoteRef/>
      </w:r>
      <w:r>
        <w:rPr>
          <w:rFonts w:ascii="Times New Roman" w:hAnsi="Times New Roman" w:cs="Times New Roman"/>
          <w:sz w:val="20"/>
          <w:szCs w:val="20"/>
        </w:rPr>
        <w:t xml:space="preserve"> Baddeley, Eysenck, &amp; Anderson</w:t>
      </w:r>
    </w:p>
  </w:footnote>
  <w:footnote w:id="60">
    <w:p>
      <w:pPr>
        <w:bidi w:val="0"/>
      </w:pPr>
      <w:r>
        <w:rPr>
          <w:vertAlign w:val="superscript"/>
        </w:rPr>
        <w:footnoteRef/>
      </w:r>
      <w:r>
        <w:rPr>
          <w:rFonts w:ascii="Times New Roman" w:hAnsi="Times New Roman" w:cs="Times New Roman"/>
          <w:sz w:val="20"/>
          <w:szCs w:val="20"/>
        </w:rPr>
        <w:t xml:space="preserve"> Young et al.</w:t>
      </w:r>
    </w:p>
  </w:footnote>
  <w:footnote w:id="61">
    <w:p>
      <w:pPr>
        <w:bidi w:val="0"/>
      </w:pPr>
      <w:r>
        <w:rPr>
          <w:vertAlign w:val="superscript"/>
        </w:rPr>
        <w:footnoteRef/>
      </w:r>
      <w:r>
        <w:rPr>
          <w:rFonts w:ascii="Times New Roman" w:hAnsi="Times New Roman" w:cs="Times New Roman"/>
          <w:sz w:val="20"/>
          <w:szCs w:val="20"/>
        </w:rPr>
        <w:t xml:space="preserve"> Arntz &amp; Jacob</w:t>
      </w:r>
    </w:p>
  </w:footnote>
  <w:footnote w:id="62">
    <w:p>
      <w:pPr>
        <w:bidi w:val="0"/>
      </w:pPr>
      <w:r>
        <w:rPr>
          <w:vertAlign w:val="superscript"/>
        </w:rPr>
        <w:footnoteRef/>
      </w:r>
      <w:r>
        <w:rPr>
          <w:rFonts w:ascii="Times New Roman" w:hAnsi="Times New Roman" w:cs="Times New Roman"/>
          <w:sz w:val="20"/>
          <w:szCs w:val="20"/>
        </w:rPr>
        <w:t xml:space="preserve"> Shorey et al.</w:t>
      </w:r>
    </w:p>
  </w:footnote>
  <w:footnote w:id="63">
    <w:p>
      <w:pPr>
        <w:bidi w:val="0"/>
      </w:pPr>
      <w:r>
        <w:rPr>
          <w:vertAlign w:val="superscript"/>
        </w:rPr>
        <w:footnoteRef/>
      </w:r>
      <w:r>
        <w:rPr>
          <w:rFonts w:ascii="Times New Roman" w:hAnsi="Times New Roman" w:cs="Times New Roman"/>
          <w:sz w:val="20"/>
          <w:szCs w:val="20"/>
        </w:rPr>
        <w:t xml:space="preserve"> Lindberg et al.</w:t>
      </w:r>
    </w:p>
  </w:footnote>
  <w:footnote w:id="64">
    <w:p>
      <w:pPr>
        <w:bidi w:val="0"/>
      </w:pPr>
      <w:r>
        <w:rPr>
          <w:vertAlign w:val="superscript"/>
        </w:rPr>
        <w:footnoteRef/>
      </w:r>
      <w:r>
        <w:rPr>
          <w:rFonts w:ascii="Times New Roman" w:hAnsi="Times New Roman" w:cs="Times New Roman"/>
          <w:sz w:val="20"/>
          <w:szCs w:val="20"/>
        </w:rPr>
        <w:t xml:space="preserve"> Baker &amp; Nofsinger</w:t>
      </w:r>
    </w:p>
  </w:footnote>
  <w:footnote w:id="65">
    <w:p>
      <w:pPr>
        <w:bidi w:val="0"/>
      </w:pPr>
      <w:r>
        <w:rPr>
          <w:vertAlign w:val="superscript"/>
        </w:rPr>
        <w:footnoteRef/>
      </w:r>
      <w:r>
        <w:rPr>
          <w:rFonts w:ascii="Times New Roman" w:hAnsi="Times New Roman" w:cs="Times New Roman"/>
          <w:sz w:val="20"/>
          <w:szCs w:val="20"/>
        </w:rPr>
        <w:t xml:space="preserve"> Barber &amp; Odean</w:t>
      </w:r>
    </w:p>
  </w:footnote>
  <w:footnote w:id="66">
    <w:p>
      <w:pPr>
        <w:bidi w:val="0"/>
      </w:pPr>
      <w:r>
        <w:rPr>
          <w:vertAlign w:val="superscript"/>
        </w:rPr>
        <w:footnoteRef/>
      </w:r>
      <w:r>
        <w:rPr>
          <w:rFonts w:ascii="Times New Roman" w:hAnsi="Times New Roman" w:cs="Times New Roman"/>
          <w:sz w:val="20"/>
          <w:szCs w:val="20"/>
        </w:rPr>
        <w:t xml:space="preserve"> Shefrin &amp; Statman</w:t>
      </w:r>
    </w:p>
  </w:footnote>
  <w:footnote w:id="67">
    <w:p>
      <w:pPr>
        <w:bidi w:val="0"/>
      </w:pPr>
      <w:r>
        <w:rPr>
          <w:vertAlign w:val="superscript"/>
        </w:rPr>
        <w:footnoteRef/>
      </w:r>
      <w:r>
        <w:rPr>
          <w:rFonts w:ascii="Times New Roman" w:hAnsi="Times New Roman" w:cs="Times New Roman"/>
          <w:sz w:val="20"/>
          <w:szCs w:val="20"/>
        </w:rPr>
        <w:t xml:space="preserve"> Goetzmann &amp; Kumar</w:t>
      </w:r>
    </w:p>
  </w:footnote>
  <w:footnote w:id="68">
    <w:p>
      <w:pPr>
        <w:bidi w:val="0"/>
      </w:pPr>
      <w:r>
        <w:rPr>
          <w:vertAlign w:val="superscript"/>
        </w:rPr>
        <w:footnoteRef/>
      </w:r>
      <w:r>
        <w:rPr>
          <w:rFonts w:ascii="Times New Roman" w:hAnsi="Times New Roman" w:cs="Times New Roman"/>
          <w:sz w:val="20"/>
          <w:szCs w:val="20"/>
        </w:rPr>
        <w:t xml:space="preserve"> Zuckerman</w:t>
      </w:r>
    </w:p>
  </w:footnote>
  <w:footnote w:id="69">
    <w:p>
      <w:pPr>
        <w:bidi w:val="0"/>
      </w:pPr>
      <w:r>
        <w:rPr>
          <w:vertAlign w:val="superscript"/>
        </w:rPr>
        <w:footnoteRef/>
      </w:r>
      <w:r>
        <w:rPr>
          <w:rFonts w:ascii="Times New Roman" w:hAnsi="Times New Roman" w:cs="Times New Roman"/>
          <w:sz w:val="20"/>
          <w:szCs w:val="20"/>
        </w:rPr>
        <w:t xml:space="preserve"> Lauriola &amp; Levin</w:t>
      </w:r>
    </w:p>
  </w:footnote>
  <w:footnote w:id="70">
    <w:p>
      <w:pPr>
        <w:bidi w:val="0"/>
      </w:pPr>
      <w:r>
        <w:rPr>
          <w:vertAlign w:val="superscript"/>
        </w:rPr>
        <w:footnoteRef/>
      </w:r>
      <w:r>
        <w:rPr>
          <w:rFonts w:ascii="Times New Roman" w:hAnsi="Times New Roman" w:cs="Times New Roman"/>
          <w:sz w:val="20"/>
          <w:szCs w:val="20"/>
        </w:rPr>
        <w:t xml:space="preserve"> Fenton-O'Creevy et al., 2012</w:t>
      </w:r>
    </w:p>
  </w:footnote>
  <w:footnote w:id="71">
    <w:p>
      <w:pPr>
        <w:bidi w:val="0"/>
      </w:pPr>
      <w:r>
        <w:rPr>
          <w:vertAlign w:val="superscript"/>
        </w:rPr>
        <w:footnoteRef/>
      </w:r>
      <w:r>
        <w:rPr>
          <w:rFonts w:ascii="Times New Roman" w:hAnsi="Times New Roman" w:cs="Times New Roman"/>
          <w:sz w:val="20"/>
          <w:szCs w:val="20"/>
        </w:rPr>
        <w:t xml:space="preserve"> Maner &amp; Schmidt</w:t>
      </w:r>
    </w:p>
  </w:footnote>
  <w:footnote w:id="72">
    <w:p>
      <w:pPr>
        <w:bidi w:val="0"/>
      </w:pPr>
      <w:r>
        <w:rPr>
          <w:vertAlign w:val="superscript"/>
        </w:rPr>
        <w:footnoteRef/>
      </w:r>
      <w:r>
        <w:rPr>
          <w:rFonts w:ascii="Times New Roman" w:hAnsi="Times New Roman" w:cs="Times New Roman"/>
          <w:sz w:val="20"/>
          <w:szCs w:val="20"/>
        </w:rPr>
        <w:t xml:space="preserve"> Young, Klosko, &amp; Weishaar</w:t>
      </w:r>
    </w:p>
  </w:footnote>
  <w:footnote w:id="73">
    <w:p>
      <w:pPr>
        <w:bidi w:val="0"/>
      </w:pPr>
      <w:r>
        <w:rPr>
          <w:vertAlign w:val="superscript"/>
        </w:rPr>
        <w:footnoteRef/>
      </w:r>
      <w:r>
        <w:rPr>
          <w:rFonts w:ascii="Times New Roman" w:hAnsi="Times New Roman" w:cs="Times New Roman"/>
          <w:sz w:val="20"/>
          <w:szCs w:val="20"/>
        </w:rPr>
        <w:t xml:space="preserve"> Young</w:t>
      </w:r>
    </w:p>
  </w:footnote>
  <w:footnote w:id="74">
    <w:p>
      <w:pPr>
        <w:bidi w:val="0"/>
      </w:pPr>
      <w:r>
        <w:rPr>
          <w:vertAlign w:val="superscript"/>
        </w:rPr>
        <w:footnoteRef/>
      </w:r>
      <w:r>
        <w:rPr>
          <w:rFonts w:ascii="Times New Roman" w:hAnsi="Times New Roman" w:cs="Times New Roman"/>
          <w:sz w:val="20"/>
          <w:szCs w:val="20"/>
        </w:rPr>
        <w:t xml:space="preserve"> Grable &amp; Lytton</w:t>
      </w:r>
    </w:p>
  </w:footnote>
  <w:footnote w:id="75">
    <w:p>
      <w:pPr>
        <w:bidi w:val="0"/>
      </w:pPr>
      <w:r>
        <w:rPr>
          <w:vertAlign w:val="superscript"/>
        </w:rPr>
        <w:footnoteRef/>
      </w:r>
      <w:r>
        <w:rPr>
          <w:rFonts w:ascii="Times New Roman" w:hAnsi="Times New Roman" w:cs="Times New Roman"/>
          <w:sz w:val="20"/>
          <w:szCs w:val="20"/>
        </w:rPr>
        <w:t xml:space="preserve"> Grable</w:t>
      </w:r>
    </w:p>
  </w:footnote>
  <w:footnote w:id="76">
    <w:p>
      <w:pPr>
        <w:bidi w:val="0"/>
      </w:pPr>
      <w:r>
        <w:rPr>
          <w:vertAlign w:val="superscript"/>
        </w:rPr>
        <w:footnoteRef/>
      </w:r>
      <w:r>
        <w:rPr>
          <w:rFonts w:ascii="Times New Roman" w:hAnsi="Times New Roman" w:cs="Times New Roman"/>
          <w:sz w:val="20"/>
          <w:szCs w:val="20"/>
        </w:rPr>
        <w:t xml:space="preserve"> Baddeley et al.</w:t>
      </w:r>
    </w:p>
  </w:footnote>
  <w:footnote w:id="77">
    <w:p>
      <w:pPr>
        <w:bidi w:val="0"/>
      </w:pPr>
      <w:r>
        <w:rPr>
          <w:vertAlign w:val="superscript"/>
        </w:rPr>
        <w:footnoteRef/>
      </w:r>
      <w:r>
        <w:rPr>
          <w:rFonts w:ascii="Times New Roman" w:hAnsi="Times New Roman" w:cs="Times New Roman"/>
          <w:sz w:val="20"/>
          <w:szCs w:val="20"/>
        </w:rPr>
        <w:t xml:space="preserve"> Barlow</w:t>
      </w:r>
    </w:p>
  </w:footnote>
  <w:footnote w:id="78">
    <w:p>
      <w:pPr>
        <w:bidi w:val="0"/>
      </w:pPr>
      <w:r>
        <w:rPr>
          <w:vertAlign w:val="superscript"/>
        </w:rPr>
        <w:footnoteRef/>
      </w:r>
      <w:r>
        <w:rPr>
          <w:rFonts w:ascii="Times New Roman" w:hAnsi="Times New Roman" w:cs="Times New Roman"/>
          <w:sz w:val="20"/>
          <w:szCs w:val="20"/>
        </w:rPr>
        <w:t xml:space="preserve"> Borkovec</w:t>
      </w:r>
    </w:p>
  </w:footnote>
  <w:footnote w:id="79">
    <w:p>
      <w:pPr>
        <w:bidi w:val="0"/>
      </w:pPr>
      <w:r>
        <w:rPr>
          <w:vertAlign w:val="superscript"/>
        </w:rPr>
        <w:footnoteRef/>
      </w:r>
      <w:r>
        <w:rPr>
          <w:rFonts w:ascii="Times New Roman" w:hAnsi="Times New Roman" w:cs="Times New Roman"/>
          <w:sz w:val="20"/>
          <w:szCs w:val="20"/>
        </w:rPr>
        <w:t xml:space="preserve"> Kaplan &amp; Sadock</w:t>
      </w:r>
    </w:p>
  </w:footnote>
  <w:footnote w:id="80">
    <w:p>
      <w:pPr>
        <w:bidi w:val="0"/>
      </w:pPr>
      <w:r>
        <w:rPr>
          <w:vertAlign w:val="superscript"/>
        </w:rPr>
        <w:footnoteRef/>
      </w:r>
      <w:r>
        <w:rPr>
          <w:rFonts w:ascii="Times New Roman" w:hAnsi="Times New Roman" w:cs="Times New Roman"/>
          <w:sz w:val="20"/>
          <w:szCs w:val="20"/>
        </w:rPr>
        <w:t xml:space="preserve"> Mitte</w:t>
      </w:r>
    </w:p>
  </w:footnote>
  <w:footnote w:id="81">
    <w:p>
      <w:pPr>
        <w:bidi w:val="0"/>
      </w:pPr>
      <w:r>
        <w:rPr>
          <w:vertAlign w:val="superscript"/>
        </w:rPr>
        <w:footnoteRef/>
      </w:r>
      <w:r>
        <w:rPr>
          <w:rFonts w:ascii="Times New Roman" w:hAnsi="Times New Roman" w:cs="Times New Roman"/>
          <w:sz w:val="20"/>
          <w:szCs w:val="20"/>
        </w:rPr>
        <w:t xml:space="preserve"> Hartley &amp; Phelps</w:t>
      </w:r>
    </w:p>
  </w:footnote>
  <w:footnote w:id="82">
    <w:p>
      <w:pPr>
        <w:bidi w:val="0"/>
      </w:pPr>
      <w:r>
        <w:rPr>
          <w:vertAlign w:val="superscript"/>
        </w:rPr>
        <w:footnoteRef/>
      </w:r>
      <w:r>
        <w:rPr>
          <w:rFonts w:ascii="Times New Roman" w:hAnsi="Times New Roman" w:cs="Times New Roman"/>
          <w:sz w:val="20"/>
          <w:szCs w:val="20"/>
        </w:rPr>
        <w:t xml:space="preserve"> American Psychiatric Association</w:t>
      </w:r>
    </w:p>
  </w:footnote>
  <w:footnote w:id="83">
    <w:p>
      <w:pPr>
        <w:bidi w:val="0"/>
      </w:pPr>
      <w:r>
        <w:rPr>
          <w:vertAlign w:val="superscript"/>
        </w:rPr>
        <w:footnoteRef/>
      </w:r>
      <w:r>
        <w:rPr>
          <w:rFonts w:ascii="Times New Roman" w:hAnsi="Times New Roman" w:cs="Times New Roman"/>
          <w:sz w:val="20"/>
          <w:szCs w:val="20"/>
        </w:rPr>
        <w:t xml:space="preserve"> Gambetti &amp; Giusberti</w:t>
      </w:r>
    </w:p>
  </w:footnote>
  <w:footnote w:id="84">
    <w:p>
      <w:pPr>
        <w:bidi w:val="0"/>
      </w:pPr>
      <w:r>
        <w:rPr>
          <w:vertAlign w:val="superscript"/>
        </w:rPr>
        <w:footnoteRef/>
      </w:r>
      <w:r>
        <w:rPr>
          <w:rFonts w:ascii="Times New Roman" w:hAnsi="Times New Roman" w:cs="Times New Roman"/>
          <w:sz w:val="20"/>
          <w:szCs w:val="20"/>
        </w:rPr>
        <w:t xml:space="preserve"> Lo et al.</w:t>
      </w:r>
    </w:p>
  </w:footnote>
  <w:footnote w:id="85">
    <w:p>
      <w:pPr>
        <w:bidi w:val="0"/>
      </w:pPr>
      <w:r>
        <w:rPr>
          <w:vertAlign w:val="superscript"/>
        </w:rPr>
        <w:footnoteRef/>
      </w:r>
      <w:r>
        <w:rPr>
          <w:rFonts w:ascii="Times New Roman" w:hAnsi="Times New Roman" w:cs="Times New Roman"/>
          <w:sz w:val="20"/>
          <w:szCs w:val="20"/>
        </w:rPr>
        <w:t xml:space="preserve"> De Martino et al.</w:t>
      </w:r>
    </w:p>
  </w:footnote>
  <w:footnote w:id="86">
    <w:p>
      <w:pPr>
        <w:bidi w:val="0"/>
      </w:pPr>
      <w:r>
        <w:rPr>
          <w:vertAlign w:val="superscript"/>
        </w:rPr>
        <w:footnoteRef/>
      </w:r>
      <w:r>
        <w:rPr>
          <w:rFonts w:ascii="Times New Roman" w:hAnsi="Times New Roman" w:cs="Times New Roman"/>
          <w:sz w:val="20"/>
          <w:szCs w:val="20"/>
        </w:rPr>
        <w:t xml:space="preserve"> Kuhnen &amp; Chiao</w:t>
      </w:r>
    </w:p>
  </w:footnote>
  <w:footnote w:id="87">
    <w:p>
      <w:pPr>
        <w:bidi w:val="0"/>
      </w:pPr>
      <w:r>
        <w:rPr>
          <w:vertAlign w:val="superscript"/>
        </w:rPr>
        <w:footnoteRef/>
      </w:r>
      <w:r>
        <w:rPr>
          <w:rFonts w:ascii="Times New Roman" w:hAnsi="Times New Roman" w:cs="Times New Roman"/>
          <w:sz w:val="20"/>
          <w:szCs w:val="20"/>
        </w:rPr>
        <w:t xml:space="preserve"> Sigmund Freud</w:t>
      </w:r>
    </w:p>
  </w:footnote>
  <w:footnote w:id="88">
    <w:p>
      <w:pPr>
        <w:bidi w:val="0"/>
      </w:pPr>
      <w:r>
        <w:rPr>
          <w:vertAlign w:val="superscript"/>
        </w:rPr>
        <w:footnoteRef/>
      </w:r>
      <w:r>
        <w:rPr>
          <w:rFonts w:ascii="Times New Roman" w:hAnsi="Times New Roman" w:cs="Times New Roman"/>
          <w:sz w:val="20"/>
          <w:szCs w:val="20"/>
        </w:rPr>
        <w:t xml:space="preserve"> Albert Ellis</w:t>
      </w:r>
    </w:p>
  </w:footnote>
  <w:footnote w:id="89">
    <w:p>
      <w:pPr>
        <w:bidi w:val="0"/>
      </w:pPr>
      <w:r>
        <w:rPr>
          <w:vertAlign w:val="superscript"/>
        </w:rPr>
        <w:footnoteRef/>
      </w:r>
      <w:r>
        <w:rPr>
          <w:rFonts w:ascii="Times New Roman" w:hAnsi="Times New Roman" w:cs="Times New Roman"/>
          <w:sz w:val="20"/>
          <w:szCs w:val="20"/>
        </w:rPr>
        <w:t xml:space="preserve"> Daniel, Hirshleifer, &amp; Subrahmanyam</w:t>
      </w:r>
    </w:p>
  </w:footnote>
  <w:footnote w:id="90">
    <w:p>
      <w:pPr>
        <w:bidi w:val="0"/>
      </w:pPr>
      <w:r>
        <w:rPr>
          <w:vertAlign w:val="superscript"/>
        </w:rPr>
        <w:footnoteRef/>
      </w:r>
      <w:r>
        <w:rPr>
          <w:rFonts w:ascii="Times New Roman" w:hAnsi="Times New Roman" w:cs="Times New Roman"/>
          <w:sz w:val="20"/>
          <w:szCs w:val="20"/>
        </w:rPr>
        <w:t xml:space="preserve"> Rollo May</w:t>
      </w:r>
    </w:p>
  </w:footnote>
  <w:footnote w:id="91">
    <w:p>
      <w:pPr>
        <w:bidi w:val="0"/>
      </w:pPr>
      <w:r>
        <w:rPr>
          <w:vertAlign w:val="superscript"/>
        </w:rPr>
        <w:footnoteRef/>
      </w:r>
      <w:r>
        <w:rPr>
          <w:rFonts w:ascii="Times New Roman" w:hAnsi="Times New Roman" w:cs="Times New Roman"/>
          <w:sz w:val="20"/>
          <w:szCs w:val="20"/>
        </w:rPr>
        <w:t xml:space="preserve"> Yalom</w:t>
      </w:r>
    </w:p>
  </w:footnote>
  <w:footnote w:id="92">
    <w:p>
      <w:pPr>
        <w:bidi w:val="0"/>
      </w:pPr>
      <w:r>
        <w:rPr>
          <w:vertAlign w:val="superscript"/>
        </w:rPr>
        <w:footnoteRef/>
      </w:r>
      <w:r>
        <w:rPr>
          <w:rFonts w:ascii="Times New Roman" w:hAnsi="Times New Roman" w:cs="Times New Roman"/>
          <w:sz w:val="20"/>
          <w:szCs w:val="20"/>
        </w:rPr>
        <w:t xml:space="preserve"> Charles &amp; Kasilingam</w:t>
      </w:r>
    </w:p>
  </w:footnote>
  <w:footnote w:id="93">
    <w:p>
      <w:pPr>
        <w:bidi w:val="0"/>
      </w:pPr>
      <w:r>
        <w:rPr>
          <w:vertAlign w:val="superscript"/>
        </w:rPr>
        <w:footnoteRef/>
      </w:r>
      <w:r>
        <w:rPr>
          <w:rFonts w:ascii="Times New Roman" w:hAnsi="Times New Roman" w:cs="Times New Roman"/>
          <w:sz w:val="20"/>
          <w:szCs w:val="20"/>
        </w:rPr>
        <w:t xml:space="preserve"> An, Li, &amp; Wu</w:t>
      </w:r>
    </w:p>
  </w:footnote>
  <w:footnote w:id="94">
    <w:p>
      <w:pPr>
        <w:bidi w:val="0"/>
      </w:pPr>
      <w:r>
        <w:rPr>
          <w:vertAlign w:val="superscript"/>
        </w:rPr>
        <w:footnoteRef/>
      </w:r>
      <w:r>
        <w:rPr>
          <w:rFonts w:ascii="Times New Roman" w:hAnsi="Times New Roman" w:cs="Times New Roman"/>
          <w:sz w:val="20"/>
          <w:szCs w:val="20"/>
        </w:rPr>
        <w:t xml:space="preserve"> Vieira et al.</w:t>
      </w:r>
    </w:p>
  </w:footnote>
  <w:footnote w:id="95">
    <w:p>
      <w:pPr>
        <w:bidi w:val="0"/>
      </w:pPr>
      <w:r>
        <w:rPr>
          <w:vertAlign w:val="superscript"/>
        </w:rPr>
        <w:footnoteRef/>
      </w:r>
      <w:r>
        <w:rPr>
          <w:rFonts w:ascii="Times New Roman" w:hAnsi="Times New Roman" w:cs="Times New Roman"/>
          <w:sz w:val="20"/>
          <w:szCs w:val="20"/>
        </w:rPr>
        <w:t xml:space="preserve"> Schmidt et al.</w:t>
      </w:r>
    </w:p>
  </w:footnote>
  <w:footnote w:id="96">
    <w:p>
      <w:pPr>
        <w:bidi w:val="0"/>
      </w:pPr>
      <w:r>
        <w:rPr>
          <w:vertAlign w:val="superscript"/>
        </w:rPr>
        <w:footnoteRef/>
      </w:r>
      <w:r>
        <w:rPr>
          <w:rFonts w:ascii="Times New Roman" w:hAnsi="Times New Roman" w:cs="Times New Roman"/>
          <w:sz w:val="20"/>
          <w:szCs w:val="20"/>
        </w:rPr>
        <w:t xml:space="preserve"> Saggino et al.</w:t>
      </w:r>
    </w:p>
  </w:footnote>
  <w:footnote w:id="97">
    <w:p>
      <w:pPr>
        <w:bidi w:val="0"/>
      </w:pPr>
      <w:r>
        <w:rPr>
          <w:vertAlign w:val="superscript"/>
        </w:rPr>
        <w:footnoteRef/>
      </w:r>
      <w:r>
        <w:rPr>
          <w:rFonts w:ascii="Times New Roman" w:hAnsi="Times New Roman" w:cs="Times New Roman"/>
          <w:sz w:val="20"/>
          <w:szCs w:val="20"/>
        </w:rPr>
        <w:t xml:space="preserve"> Hayes</w:t>
      </w:r>
    </w:p>
  </w:footnote>
  <w:footnote w:id="98">
    <w:p>
      <w:pPr>
        <w:bidi w:val="0"/>
      </w:pPr>
      <w:r>
        <w:rPr>
          <w:vertAlign w:val="superscript"/>
        </w:rPr>
        <w:footnoteRef/>
      </w:r>
      <w:r>
        <w:rPr>
          <w:rFonts w:ascii="Times New Roman" w:hAnsi="Times New Roman" w:cs="Times New Roman"/>
          <w:sz w:val="20"/>
          <w:szCs w:val="20"/>
        </w:rPr>
        <w:t xml:space="preserve"> Estévez et al.</w:t>
      </w:r>
    </w:p>
  </w:footnote>
  <w:footnote w:id="99">
    <w:p>
      <w:pPr>
        <w:bidi w:val="0"/>
      </w:pPr>
      <w:r>
        <w:rPr>
          <w:vertAlign w:val="superscript"/>
        </w:rPr>
        <w:footnoteRef/>
      </w:r>
      <w:r>
        <w:rPr>
          <w:rFonts w:ascii="Times New Roman" w:hAnsi="Times New Roman" w:cs="Times New Roman"/>
          <w:sz w:val="20"/>
          <w:szCs w:val="20"/>
        </w:rPr>
        <w:t xml:space="preserve"> Sedighi Arfaee et al.</w:t>
      </w:r>
    </w:p>
  </w:footnote>
  <w:footnote w:id="100">
    <w:p>
      <w:pPr>
        <w:bidi w:val="0"/>
      </w:pPr>
      <w:r>
        <w:rPr>
          <w:vertAlign w:val="superscript"/>
        </w:rPr>
        <w:footnoteRef/>
      </w:r>
      <w:r>
        <w:rPr>
          <w:rFonts w:ascii="Times New Roman" w:hAnsi="Times New Roman" w:cs="Times New Roman"/>
          <w:sz w:val="20"/>
          <w:szCs w:val="20"/>
        </w:rPr>
        <w:t xml:space="preserve"> Arena et al.</w:t>
      </w:r>
    </w:p>
  </w:footnote>
  <w:footnote w:id="101">
    <w:p>
      <w:pPr>
        <w:bidi w:val="0"/>
      </w:pPr>
      <w:r>
        <w:rPr>
          <w:vertAlign w:val="superscript"/>
        </w:rPr>
        <w:footnoteRef/>
      </w:r>
      <w:r>
        <w:rPr>
          <w:rFonts w:ascii="Times New Roman" w:hAnsi="Times New Roman" w:cs="Times New Roman"/>
          <w:sz w:val="20"/>
          <w:szCs w:val="20"/>
        </w:rPr>
        <w:t xml:space="preserve"> An et al.</w:t>
      </w:r>
    </w:p>
  </w:footnote>
  <w:footnote w:id="102">
    <w:p>
      <w:pPr>
        <w:bidi w:val="0"/>
      </w:pPr>
      <w:r>
        <w:rPr>
          <w:vertAlign w:val="superscript"/>
        </w:rPr>
        <w:footnoteRef/>
      </w:r>
      <w:r>
        <w:rPr>
          <w:rFonts w:ascii="Times New Roman" w:hAnsi="Times New Roman" w:cs="Times New Roman"/>
          <w:sz w:val="20"/>
          <w:szCs w:val="20"/>
        </w:rPr>
        <w:t xml:space="preserve"> Rehm et al.</w:t>
      </w:r>
    </w:p>
  </w:footnote>
  <w:footnote w:id="103">
    <w:p>
      <w:pPr>
        <w:bidi w:val="0"/>
      </w:pPr>
      <w:r>
        <w:rPr>
          <w:vertAlign w:val="superscript"/>
        </w:rPr>
        <w:footnoteRef/>
      </w:r>
      <w:r>
        <w:rPr>
          <w:rFonts w:ascii="Times New Roman" w:hAnsi="Times New Roman" w:cs="Times New Roman"/>
          <w:sz w:val="20"/>
          <w:szCs w:val="20"/>
        </w:rPr>
        <w:t xml:space="preserve"> Fenton-O'Creevy et al., 2011</w:t>
      </w:r>
    </w:p>
  </w:footnote>
  <w:footnote w:id="104">
    <w:p>
      <w:pPr>
        <w:bidi w:val="0"/>
      </w:pPr>
      <w:r>
        <w:rPr>
          <w:vertAlign w:val="superscript"/>
        </w:rPr>
        <w:footnoteRef/>
      </w:r>
      <w:r>
        <w:rPr>
          <w:rFonts w:ascii="Times New Roman" w:hAnsi="Times New Roman" w:cs="Times New Roman"/>
          <w:sz w:val="20"/>
          <w:szCs w:val="20"/>
        </w:rPr>
        <w:t xml:space="preserve"> Halvorsen et al.</w:t>
      </w:r>
    </w:p>
  </w:footnote>
  <w:footnote w:id="105">
    <w:p>
      <w:pPr>
        <w:bidi w:val="0"/>
      </w:pPr>
      <w:r>
        <w:rPr>
          <w:vertAlign w:val="superscript"/>
        </w:rPr>
        <w:footnoteRef/>
      </w:r>
      <w:r>
        <w:rPr>
          <w:rFonts w:ascii="Times New Roman" w:hAnsi="Times New Roman" w:cs="Times New Roman"/>
          <w:sz w:val="20"/>
          <w:szCs w:val="20"/>
        </w:rPr>
        <w:t xml:space="preserve"> Lo &amp; Repin</w:t>
      </w:r>
    </w:p>
  </w:footnote>
  <w:footnote w:id="106">
    <w:p>
      <w:pPr>
        <w:bidi w:val="0"/>
      </w:pPr>
      <w:r>
        <w:rPr>
          <w:vertAlign w:val="superscript"/>
        </w:rPr>
        <w:footnoteRef/>
      </w:r>
      <w:r>
        <w:rPr>
          <w:rFonts w:ascii="Times New Roman" w:hAnsi="Times New Roman" w:cs="Times New Roman"/>
          <w:sz w:val="20"/>
          <w:szCs w:val="20"/>
        </w:rPr>
        <w:t xml:space="preserve"> Safitri et al.</w:t>
      </w:r>
    </w:p>
  </w:footnote>
  <w:footnote w:id="107">
    <w:p>
      <w:pPr>
        <w:bidi w:val="0"/>
      </w:pPr>
      <w:r>
        <w:rPr>
          <w:vertAlign w:val="superscript"/>
        </w:rPr>
        <w:footnoteRef/>
      </w:r>
      <w:r>
        <w:rPr>
          <w:rFonts w:ascii="Times New Roman" w:hAnsi="Times New Roman" w:cs="Times New Roman"/>
          <w:sz w:val="20"/>
          <w:szCs w:val="20"/>
        </w:rPr>
        <w:t xml:space="preserve"> Ololo et al.</w:t>
      </w:r>
    </w:p>
  </w:footnote>
  <w:footnote w:id="108">
    <w:p>
      <w:pPr>
        <w:bidi w:val="0"/>
      </w:pPr>
      <w:r>
        <w:rPr>
          <w:vertAlign w:val="superscript"/>
        </w:rPr>
        <w:footnoteRef/>
      </w:r>
      <w:r>
        <w:rPr>
          <w:rFonts w:ascii="Times New Roman" w:hAnsi="Times New Roman" w:cs="Times New Roman"/>
          <w:sz w:val="20"/>
          <w:szCs w:val="20"/>
        </w:rPr>
        <w:t xml:space="preserve"> Kline</w:t>
      </w:r>
    </w:p>
  </w:footnote>
  <w:footnote w:id="109">
    <w:p>
      <w:pPr>
        <w:bidi w:val="0"/>
      </w:pPr>
      <w:r>
        <w:rPr>
          <w:vertAlign w:val="superscript"/>
        </w:rPr>
        <w:footnoteRef/>
      </w:r>
      <w:r>
        <w:rPr>
          <w:rFonts w:ascii="Times New Roman" w:hAnsi="Times New Roman" w:cs="Times New Roman"/>
          <w:sz w:val="20"/>
          <w:szCs w:val="20"/>
        </w:rPr>
        <w:t xml:space="preserve"> Spielberger, Gorsuch, &amp; Lushene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sz w:val="28"/>
      <w:szCs w:val="28"/>
    </w:rPr>
  </w:style>
  <w:style w:type="paragraph" w:styleId="Heading2">
    <w:name w:val="heading 2"/>
    <w:basedOn w:val="Normal"/>
    <w:next w:val="Normal"/>
    <w:link w:val="Heading2Char"/>
    <w:uiPriority w:val="9"/>
    <w:unhideWhenUsed/>
    <w:qFormat/>
    <w:rsid w:val="00FC693F"/>
    <w:pPr>
      <w:keepNext/>
      <w:keepLines/>
      <w:bidi w:val="1"/>
      <w:spacing w:before="240" w:after="60" w:lineRule="exact" w:line="580"/>
      <w:jc w:val="right"/>
      <w:outlineLvl w:val="1"/>
    </w:pPr>
    <w:rPr>
      <w:rFonts w:ascii="Times New Roman" w:hAnsi="Times New Roman"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val="1"/>
      <w:spacing w:before="180" w:after="40" w:lineRule="exact" w:line="580"/>
      <w:jc w:val="right"/>
      <w:outlineLvl w:val="2"/>
    </w:pPr>
    <w:rPr>
      <w:rFonts w:ascii="Times New Roman" w:hAnsi="Times New Roman"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val="1"/>
      <w:spacing w:before="120" w:after="40" w:lineRule="exact" w:line="580"/>
      <w:jc w:val="right"/>
      <w:outlineLvl w:val="3"/>
    </w:pPr>
    <w:rPr>
      <w:rFonts w:ascii="Times New Roman" w:hAnsi="Times New Roman"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color w:val="17365D"/>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imes New Roman" w:hAnsi="Times New Roman" w:cs="B Nazani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