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6" w:lineRule="auto"/>
        <w:jc w:val="center"/>
      </w:pPr>
      <w:r>
        <w:rPr>
          <w:rFonts w:ascii="Calibri" w:hAnsi="Calibri" w:eastAsia="Calibri"/>
          <w:b w:val="0"/>
          <w:i w:val="0"/>
          <w:color w:val="4C5850"/>
          <w:sz w:val="24"/>
        </w:rPr>
        <w:t>BUT Science des Données  ·  Projet 4</w:t>
      </w:r>
    </w:p>
    <w:p>
      <w:pPr>
        <w:spacing w:after="80" w:before="320" w:line="276" w:lineRule="auto"/>
        <w:jc w:val="center"/>
      </w:pPr>
      <w:r>
        <w:rPr>
          <w:rFonts w:ascii="Calibri" w:hAnsi="Calibri" w:eastAsia="Calibri"/>
          <w:b/>
          <w:i w:val="0"/>
          <w:color w:val="1F4D3A"/>
          <w:sz w:val="44"/>
        </w:rPr>
        <w:t>Registre de traçabilité des données de référence</w:t>
      </w:r>
    </w:p>
    <w:p>
      <w:pPr>
        <w:spacing w:after="200" w:before="0" w:line="276" w:lineRule="auto"/>
        <w:jc w:val="center"/>
      </w:pPr>
      <w:r>
        <w:rPr>
          <w:rFonts w:ascii="Calibri" w:hAnsi="Calibri" w:eastAsia="Calibri"/>
          <w:b w:val="0"/>
          <w:i/>
          <w:color w:val="4C5850"/>
          <w:sz w:val="24"/>
        </w:rPr>
        <w:t>Rapport pédagogique — groupe et enseignants</w:t>
      </w:r>
    </w:p>
    <w:p>
      <w:pPr>
        <w:spacing w:after="160" w:before="0" w:line="276" w:lineRule="auto"/>
        <w:jc w:val="center"/>
      </w:pPr>
      <w:r>
        <w:rPr>
          <w:rFonts w:ascii="Calibri" w:hAnsi="Calibri" w:eastAsia="Calibri"/>
          <w:b w:val="0"/>
          <w:i w:val="0"/>
          <w:color w:val="1A1F1C"/>
          <w:sz w:val="22"/>
        </w:rPr>
        <w:t>Prototype de gouvernance des lots de calibration (données fictives). Ce n’est ni un manuel technique, ni un dossier d’accréditation.</w:t>
      </w:r>
    </w:p>
    <w:p>
      <w:pPr>
        <w:spacing w:after="320" w:before="0" w:line="276" w:lineRule="auto"/>
        <w:jc w:val="center"/>
      </w:pPr>
      <w:r>
        <w:rPr>
          <w:rFonts w:ascii="Calibri" w:hAnsi="Calibri" w:eastAsia="Calibri"/>
          <w:b w:val="0"/>
          <w:i w:val="0"/>
          <w:color w:val="4C5850"/>
          <w:sz w:val="20"/>
        </w:rPr>
        <w:t>22/09/2026  ·  http://localhost:3000  ·  samira / labo2026 (technicien)  ·  amrani / labo2026 (biologiste)</w:t>
      </w:r>
    </w:p>
    <w:p>
      <w:pPr>
        <w:keepNext/>
        <w:spacing w:before="360" w:after="160"/>
        <w:pBdr>
          <w:bottom w:val="single" w:sz="12" w:space="4" w:color="1F4D3A"/>
        </w:pBdr>
      </w:pPr>
      <w:r>
        <w:rPr>
          <w:rFonts w:ascii="Calibri" w:hAnsi="Calibri" w:eastAsia="Calibri"/>
          <w:b/>
          <w:i w:val="0"/>
          <w:color w:val="1F4D3A"/>
          <w:sz w:val="32"/>
        </w:rPr>
        <w:t>1. Contexte et objectif du projet</w:t>
      </w:r>
    </w:p>
    <w:p>
      <w:pPr>
        <w:spacing w:after="160" w:before="0" w:line="276" w:lineRule="auto"/>
      </w:pPr>
      <w:r>
        <w:rPr>
          <w:rFonts w:ascii="Calibri" w:hAnsi="Calibri" w:eastAsia="Calibri"/>
          <w:b w:val="0"/>
          <w:i w:val="0"/>
          <w:color w:val="1A1F1C"/>
          <w:sz w:val="22"/>
        </w:rPr>
        <w:t>Derrière un résultat de labo (glycémie, CRP, TSH…), il y a un appareil et des données de référence : des lots de contrôle qui servent à calibrer les seuils et à vérifier que la machine n’a pas dérivé. Si un lot n’a ni machine, ni date, ni conditions, ni validation biologiste — ou s’il contient encore des identités — on ne peut plus dire d’où vient la règle d’alerte. Le sujet n’est pas de diagnostiquer un patient : c’est de retracer la donnée de calibration.</w:t>
      </w:r>
    </w:p>
    <w:p>
      <w:pPr>
        <w:spacing w:after="160" w:before="0" w:line="276" w:lineRule="auto"/>
      </w:pPr>
      <w:r>
        <w:rPr>
          <w:rFonts w:ascii="Calibri" w:hAnsi="Calibri" w:eastAsia="Calibri"/>
          <w:b w:val="0"/>
          <w:i w:val="0"/>
          <w:color w:val="1A1F1C"/>
          <w:sz w:val="22"/>
        </w:rPr>
        <w:t>C’est important pour trois raisons. L’ISO 15189 (accréditation COFRAC) exige de retracer méthodes et références, et de les faire valider par un biologiste. Le RGPD interdit de laisser des identités dans des fichiers de travail. L’AI Act demande, pour un outil d’aide, de documenter l’origine des données qui nourrissent une règle automatique. Sans registre, tout reste dans des tableurs et une validation orale : le jour d’un audit, on ne sait plus ce qui a servi.</w:t>
      </w:r>
    </w:p>
    <w:p>
      <w:pPr>
        <w:spacing w:after="160" w:before="0" w:line="276" w:lineRule="auto"/>
      </w:pPr>
      <w:r>
        <w:rPr>
          <w:rFonts w:ascii="Calibri" w:hAnsi="Calibri" w:eastAsia="Calibri"/>
          <w:b w:val="0"/>
          <w:i w:val="0"/>
          <w:color w:val="1A1F1C"/>
          <w:sz w:val="22"/>
        </w:rPr>
        <w:t>Périmètre de l’application :</w:t>
      </w:r>
    </w:p>
    <w:p>
      <w:pPr>
        <w:pStyle w:val="ListBullet"/>
        <w:spacing w:after="80"/>
        <w:ind w:left="624"/>
      </w:pPr>
      <w:r>
        <w:rPr>
          <w:rFonts w:ascii="Calibri" w:hAnsi="Calibri" w:eastAsia="Calibri"/>
          <w:b/>
          <w:i w:val="0"/>
          <w:color w:val="1A1F1C"/>
          <w:sz w:val="22"/>
        </w:rPr>
        <w:t xml:space="preserve">Machines : </w:t>
      </w:r>
      <w:r>
        <w:rPr>
          <w:rFonts w:ascii="Calibri" w:hAnsi="Calibri" w:eastAsia="Calibri"/>
          <w:b w:val="0"/>
          <w:i w:val="0"/>
          <w:color w:val="1A1F1C"/>
          <w:sz w:val="22"/>
        </w:rPr>
        <w:t>analyseurs (nom, type).</w:t>
      </w:r>
    </w:p>
    <w:p>
      <w:pPr>
        <w:pStyle w:val="ListBullet"/>
        <w:spacing w:after="80"/>
        <w:ind w:left="624"/>
      </w:pPr>
      <w:r>
        <w:rPr>
          <w:rFonts w:ascii="Calibri" w:hAnsi="Calibri" w:eastAsia="Calibri"/>
          <w:b/>
          <w:i w:val="0"/>
          <w:color w:val="1A1F1C"/>
          <w:sz w:val="22"/>
        </w:rPr>
        <w:t xml:space="preserve">Lots : </w:t>
      </w:r>
      <w:r>
        <w:rPr>
          <w:rFonts w:ascii="Calibri" w:hAnsi="Calibri" w:eastAsia="Calibri"/>
          <w:b w:val="0"/>
          <w:i w:val="0"/>
          <w:color w:val="1A1F1C"/>
          <w:sz w:val="22"/>
        </w:rPr>
        <w:t>jeu de mesures de contrôle, avec date et conditions de mesure.</w:t>
      </w:r>
    </w:p>
    <w:p>
      <w:pPr>
        <w:pStyle w:val="ListBullet"/>
        <w:spacing w:after="80"/>
        <w:ind w:left="624"/>
      </w:pPr>
      <w:r>
        <w:rPr>
          <w:rFonts w:ascii="Calibri" w:hAnsi="Calibri" w:eastAsia="Calibri"/>
          <w:b/>
          <w:i w:val="0"/>
          <w:color w:val="1A1F1C"/>
          <w:sz w:val="22"/>
        </w:rPr>
        <w:t xml:space="preserve">Pseudonymisation : </w:t>
      </w:r>
      <w:r>
        <w:rPr>
          <w:rFonts w:ascii="Calibri" w:hAnsi="Calibri" w:eastAsia="Calibri"/>
          <w:b w:val="0"/>
          <w:i w:val="0"/>
          <w:color w:val="1A1F1C"/>
          <w:sz w:val="22"/>
        </w:rPr>
        <w:t>identités remplacées par un code ; scan des noms de colonnes d’un CSV.</w:t>
      </w:r>
    </w:p>
    <w:p>
      <w:pPr>
        <w:pStyle w:val="ListBullet"/>
        <w:spacing w:after="80"/>
        <w:ind w:left="624"/>
      </w:pPr>
      <w:r>
        <w:rPr>
          <w:rFonts w:ascii="Calibri" w:hAnsi="Calibri" w:eastAsia="Calibri"/>
          <w:b/>
          <w:i w:val="0"/>
          <w:color w:val="1A1F1C"/>
          <w:sz w:val="22"/>
        </w:rPr>
        <w:t xml:space="preserve">Validation : </w:t>
      </w:r>
      <w:r>
        <w:rPr>
          <w:rFonts w:ascii="Calibri" w:hAnsi="Calibri" w:eastAsia="Calibri"/>
          <w:b w:val="0"/>
          <w:i w:val="0"/>
          <w:color w:val="1A1F1C"/>
          <w:sz w:val="22"/>
        </w:rPr>
        <w:t>le technicien enregistre ; seul un biologiste signe le lot et les comptes.</w:t>
      </w:r>
    </w:p>
    <w:p>
      <w:pPr>
        <w:pStyle w:val="ListBullet"/>
        <w:spacing w:after="80"/>
        <w:ind w:left="624"/>
      </w:pPr>
      <w:r>
        <w:rPr>
          <w:rFonts w:ascii="Calibri" w:hAnsi="Calibri" w:eastAsia="Calibri"/>
          <w:b/>
          <w:i w:val="0"/>
          <w:color w:val="1A1F1C"/>
          <w:sz w:val="22"/>
        </w:rPr>
        <w:t xml:space="preserve">Contrôle automatique : </w:t>
      </w:r>
      <w:r>
        <w:rPr>
          <w:rFonts w:ascii="Calibri" w:hAnsi="Calibri" w:eastAsia="Calibri"/>
          <w:b w:val="0"/>
          <w:i w:val="0"/>
          <w:color w:val="1A1F1C"/>
          <w:sz w:val="22"/>
        </w:rPr>
        <w:t>signalements si le dossier est incomplet, règles liées au lot, cartes de dérive.</w:t>
      </w:r>
    </w:p>
    <w:p>
      <w:pPr>
        <w:spacing w:before="160" w:after="200"/>
        <w:ind w:left="227" w:right="227"/>
      </w:pPr>
      <w:r>
        <w:rPr>
          <w:rFonts w:ascii="Calibri" w:hAnsi="Calibri" w:eastAsia="Calibri"/>
          <w:b/>
          <w:i/>
          <w:color w:val="1F4D3A"/>
          <w:sz w:val="22"/>
        </w:rPr>
        <w:t xml:space="preserve">Hors sujet, par choix : </w:t>
      </w:r>
      <w:r>
        <w:rPr>
          <w:rFonts w:ascii="Calibri" w:hAnsi="Calibri" w:eastAsia="Calibri"/>
          <w:b w:val="0"/>
          <w:i/>
          <w:color w:val="4C5850"/>
          <w:sz w:val="22"/>
        </w:rPr>
        <w:t>pas de dossier patient, pas de diagnostic. Les données de démo sont fictives.</w:t>
      </w:r>
    </w:p>
    <w:p>
      <w:pPr>
        <w:keepNext/>
        <w:spacing w:before="360" w:after="160"/>
        <w:pBdr>
          <w:bottom w:val="single" w:sz="12" w:space="4" w:color="1F4D3A"/>
        </w:pBdr>
      </w:pPr>
      <w:r>
        <w:rPr>
          <w:rFonts w:ascii="Calibri" w:hAnsi="Calibri" w:eastAsia="Calibri"/>
          <w:b/>
          <w:i w:val="0"/>
          <w:color w:val="1F4D3A"/>
          <w:sz w:val="32"/>
        </w:rPr>
        <w:t>2. Concepts clés</w:t>
      </w:r>
    </w:p>
    <w:p>
      <w:pPr>
        <w:pStyle w:val="ListBullet"/>
        <w:spacing w:after="80"/>
        <w:ind w:left="624"/>
      </w:pPr>
      <w:r>
        <w:rPr>
          <w:rFonts w:ascii="Calibri" w:hAnsi="Calibri" w:eastAsia="Calibri"/>
          <w:b/>
          <w:i w:val="0"/>
          <w:color w:val="1A1F1C"/>
          <w:sz w:val="22"/>
        </w:rPr>
        <w:t xml:space="preserve">Lot. </w:t>
      </w:r>
      <w:r>
        <w:rPr>
          <w:rFonts w:ascii="Calibri" w:hAnsi="Calibri" w:eastAsia="Calibri"/>
          <w:b w:val="0"/>
          <w:i w:val="0"/>
          <w:color w:val="1A1F1C"/>
          <w:sz w:val="22"/>
        </w:rPr>
        <w:t>Ce n’est pas un patient. C’est le dossier d’un jeu de mesures de contrôle (souvent un CSV) : machine, date, conditions, statut, score 0–100, code unique LT-…. Analogie : l’étiquette d’un réactif — on doit pouvoir remonter au flacon, pas seulement au résultat affiché.</w:t>
      </w:r>
    </w:p>
    <w:p>
      <w:pPr>
        <w:pStyle w:val="ListBullet"/>
        <w:spacing w:after="80"/>
        <w:ind w:left="624"/>
      </w:pPr>
      <w:r>
        <w:rPr>
          <w:rFonts w:ascii="Calibri" w:hAnsi="Calibri" w:eastAsia="Calibri"/>
          <w:b/>
          <w:i w:val="0"/>
          <w:color w:val="1A1F1C"/>
          <w:sz w:val="22"/>
        </w:rPr>
        <w:t xml:space="preserve">Machine. </w:t>
      </w:r>
      <w:r>
        <w:rPr>
          <w:rFonts w:ascii="Calibri" w:hAnsi="Calibri" w:eastAsia="Calibri"/>
          <w:b w:val="0"/>
          <w:i w:val="0"/>
          <w:color w:val="1A1F1C"/>
          <w:sz w:val="22"/>
        </w:rPr>
        <w:t>L’analyseur qui a produit les mesures. On sépare les lots par appareil pour voir si c’est une méthode qui dérive, ou un équipement.</w:t>
      </w:r>
    </w:p>
    <w:p>
      <w:pPr>
        <w:pStyle w:val="ListBullet"/>
        <w:spacing w:after="80"/>
        <w:ind w:left="624"/>
      </w:pPr>
      <w:r>
        <w:rPr>
          <w:rFonts w:ascii="Calibri" w:hAnsi="Calibri" w:eastAsia="Calibri"/>
          <w:b/>
          <w:i w:val="0"/>
          <w:color w:val="1A1F1C"/>
          <w:sz w:val="22"/>
        </w:rPr>
        <w:t xml:space="preserve">Validation. </w:t>
      </w:r>
      <w:r>
        <w:rPr>
          <w:rFonts w:ascii="Calibri" w:hAnsi="Calibri" w:eastAsia="Calibri"/>
          <w:b w:val="0"/>
          <w:i w:val="0"/>
          <w:color w:val="1A1F1C"/>
          <w:sz w:val="22"/>
        </w:rPr>
        <w:t>Le technicien constitue le dossier ; le biologiste signe que le lot peut servir de référence. Signature nominative, datée ; au-delà de 12 mois le lot passe « à revalider ».</w:t>
      </w:r>
    </w:p>
    <w:p>
      <w:pPr>
        <w:pStyle w:val="ListBullet"/>
        <w:spacing w:after="80"/>
        <w:ind w:left="624"/>
      </w:pPr>
      <w:r>
        <w:rPr>
          <w:rFonts w:ascii="Calibri" w:hAnsi="Calibri" w:eastAsia="Calibri"/>
          <w:b/>
          <w:i w:val="0"/>
          <w:color w:val="1A1F1C"/>
          <w:sz w:val="22"/>
        </w:rPr>
        <w:t xml:space="preserve">Signalement. </w:t>
      </w:r>
      <w:r>
        <w:rPr>
          <w:rFonts w:ascii="Calibri" w:hAnsi="Calibri" w:eastAsia="Calibri"/>
          <w:b w:val="0"/>
          <w:i w:val="0"/>
          <w:color w:val="1A1F1C"/>
          <w:sz w:val="22"/>
        </w:rPr>
        <w:t>Alerte automatique si le dossier est incomplet (machine, date, conditions, pseudonymisation) ou si le CSV a des colonnes identifiantes (nom, NIR…). On ne peut pas le fermer sans avoir corrigé le lot.</w:t>
      </w:r>
    </w:p>
    <w:p>
      <w:pPr>
        <w:spacing w:after="160" w:before="0" w:line="276" w:lineRule="auto"/>
      </w:pPr>
      <w:r>
        <w:rPr>
          <w:rFonts w:ascii="Calibri" w:hAnsi="Calibri" w:eastAsia="Calibri"/>
          <w:b w:val="0"/>
          <w:i w:val="0"/>
          <w:color w:val="1A1F1C"/>
          <w:sz w:val="22"/>
        </w:rPr>
        <w:t>Contrôle qualité automatique, en trois étages :</w:t>
      </w:r>
    </w:p>
    <w:p>
      <w:pPr>
        <w:pStyle w:val="ListBullet"/>
        <w:spacing w:after="80"/>
        <w:ind w:left="624"/>
      </w:pPr>
      <w:r>
        <w:rPr>
          <w:rFonts w:ascii="Calibri" w:hAnsi="Calibri" w:eastAsia="Calibri"/>
          <w:b/>
          <w:i w:val="0"/>
          <w:color w:val="1A1F1C"/>
          <w:sz w:val="22"/>
        </w:rPr>
        <w:t xml:space="preserve">Dossier complet ? </w:t>
      </w:r>
      <w:r>
        <w:rPr>
          <w:rFonts w:ascii="Calibri" w:hAnsi="Calibri" w:eastAsia="Calibri"/>
          <w:b w:val="0"/>
          <w:i w:val="0"/>
          <w:color w:val="1A1F1C"/>
          <w:sz w:val="22"/>
        </w:rPr>
        <w:t>Sinon, signalement.</w:t>
      </w:r>
    </w:p>
    <w:p>
      <w:pPr>
        <w:pStyle w:val="ListBullet"/>
        <w:spacing w:after="80"/>
        <w:ind w:left="624"/>
      </w:pPr>
      <w:r>
        <w:rPr>
          <w:rFonts w:ascii="Calibri" w:hAnsi="Calibri" w:eastAsia="Calibri"/>
          <w:b/>
          <w:i w:val="0"/>
          <w:color w:val="1A1F1C"/>
          <w:sz w:val="22"/>
        </w:rPr>
        <w:t xml:space="preserve">Règle d’alerte. </w:t>
      </w:r>
      <w:r>
        <w:rPr>
          <w:rFonts w:ascii="Calibri" w:hAnsi="Calibri" w:eastAsia="Calibri"/>
          <w:b w:val="0"/>
          <w:i w:val="0"/>
          <w:color w:val="1A1F1C"/>
          <w:sz w:val="22"/>
        </w:rPr>
        <w:t>Seuils (bas / haut) accrochés à un lot, donc à une origine. Un simulateur teste une valeur fictive — pas un vrai bilan.</w:t>
      </w:r>
    </w:p>
    <w:p>
      <w:pPr>
        <w:pStyle w:val="ListBullet"/>
        <w:spacing w:after="80"/>
        <w:ind w:left="624"/>
      </w:pPr>
      <w:r>
        <w:rPr>
          <w:rFonts w:ascii="Calibri" w:hAnsi="Calibri" w:eastAsia="Calibri"/>
          <w:b/>
          <w:i w:val="0"/>
          <w:color w:val="1A1F1C"/>
          <w:sz w:val="22"/>
        </w:rPr>
        <w:t xml:space="preserve">Carte de contrôle. </w:t>
      </w:r>
      <w:r>
        <w:rPr>
          <w:rFonts w:ascii="Calibri" w:hAnsi="Calibri" w:eastAsia="Calibri"/>
          <w:b w:val="0"/>
          <w:i w:val="0"/>
          <w:color w:val="1A1F1C"/>
          <w:sz w:val="22"/>
        </w:rPr>
        <w:t>Moyennes des lots dans le temps, par machine. Un point à plus de 2 écarts-types est hors norme (esprit Levey-Jennings, version simplifiée).</w:t>
      </w:r>
    </w:p>
    <w:p>
      <w:pPr>
        <w:spacing w:after="160" w:before="0" w:line="276" w:lineRule="auto"/>
      </w:pPr>
      <w:r>
        <w:rPr>
          <w:rFonts w:ascii="Calibri" w:hAnsi="Calibri" w:eastAsia="Calibri"/>
          <w:b w:val="0"/>
          <w:i w:val="0"/>
          <w:color w:val="1A1F1C"/>
          <w:sz w:val="22"/>
        </w:rPr>
        <w:t>Rôles : client (lecture), technicien (enregistre et corrige), biologiste (valide les lots et les comptes). Une inscription reste en attente jusqu’à acceptation par un biologiste.</w:t>
      </w:r>
    </w:p>
    <w:p>
      <w:pPr>
        <w:keepNext/>
        <w:spacing w:before="360" w:after="160"/>
        <w:pBdr>
          <w:bottom w:val="single" w:sz="12" w:space="4" w:color="1F4D3A"/>
        </w:pBdr>
      </w:pPr>
      <w:r>
        <w:rPr>
          <w:rFonts w:ascii="Calibri" w:hAnsi="Calibri" w:eastAsia="Calibri"/>
          <w:b/>
          <w:i w:val="0"/>
          <w:color w:val="1F4D3A"/>
          <w:sz w:val="32"/>
        </w:rPr>
        <w:t>3. Fonctionnalités livrées</w:t>
      </w:r>
    </w:p>
    <w:p>
      <w:pPr>
        <w:spacing w:after="160" w:before="0" w:line="276" w:lineRule="auto"/>
      </w:pPr>
      <w:r>
        <w:rPr>
          <w:rFonts w:ascii="Calibri" w:hAnsi="Calibri" w:eastAsia="Calibri"/>
          <w:b w:val="0"/>
          <w:i w:val="0"/>
          <w:color w:val="1A1F1C"/>
          <w:sz w:val="22"/>
        </w:rPr>
        <w:t>Ce que l’appli permet de faire aujourd’hui, et à quoi ça sert en labo :</w:t>
      </w:r>
    </w:p>
    <w:p>
      <w:pPr>
        <w:pStyle w:val="ListBullet"/>
        <w:spacing w:after="80"/>
        <w:ind w:left="624"/>
      </w:pPr>
      <w:r>
        <w:rPr>
          <w:rFonts w:ascii="Calibri" w:hAnsi="Calibri" w:eastAsia="Calibri"/>
          <w:b/>
          <w:i w:val="0"/>
          <w:color w:val="1A1F1C"/>
          <w:sz w:val="22"/>
        </w:rPr>
        <w:t xml:space="preserve">Connexion et comptes. </w:t>
      </w:r>
      <w:r>
        <w:rPr>
          <w:rFonts w:ascii="Calibri" w:hAnsi="Calibri" w:eastAsia="Calibri"/>
          <w:b w:val="0"/>
          <w:i w:val="0"/>
          <w:color w:val="1A1F1C"/>
          <w:sz w:val="22"/>
        </w:rPr>
        <w:t>Identifiant / mot de passe (hachés). Inscription avec rôle demandé ; un biologiste accepte ou refuse. Google est optionnel (si configuré). Sert à ce que le rôle ne soit plus un menu cosmétique.</w:t>
      </w:r>
    </w:p>
    <w:p>
      <w:pPr>
        <w:pStyle w:val="ListBullet"/>
        <w:spacing w:after="80"/>
        <w:ind w:left="624"/>
      </w:pPr>
      <w:r>
        <w:rPr>
          <w:rFonts w:ascii="Calibri" w:hAnsi="Calibri" w:eastAsia="Calibri"/>
          <w:b/>
          <w:i w:val="0"/>
          <w:color w:val="1A1F1C"/>
          <w:sz w:val="22"/>
        </w:rPr>
        <w:t xml:space="preserve">Tableau de bord. </w:t>
      </w:r>
      <w:r>
        <w:rPr>
          <w:rFonts w:ascii="Calibri" w:hAnsi="Calibri" w:eastAsia="Calibri"/>
          <w:b w:val="0"/>
          <w:i w:val="0"/>
          <w:color w:val="1A1F1C"/>
          <w:sz w:val="22"/>
        </w:rPr>
        <w:t>Effectifs, signalements, lots à traiter, ouverture par code LT-…. Sert à voir le retard qualité en un coup d’œil.</w:t>
      </w:r>
    </w:p>
    <w:p>
      <w:pPr>
        <w:pStyle w:val="ListBullet"/>
        <w:spacing w:after="80"/>
        <w:ind w:left="624"/>
      </w:pPr>
      <w:r>
        <w:rPr>
          <w:rFonts w:ascii="Calibri" w:hAnsi="Calibri" w:eastAsia="Calibri"/>
          <w:b/>
          <w:i w:val="0"/>
          <w:color w:val="1A1F1C"/>
          <w:sz w:val="22"/>
        </w:rPr>
        <w:t xml:space="preserve">Machines. </w:t>
      </w:r>
      <w:r>
        <w:rPr>
          <w:rFonts w:ascii="Calibri" w:hAnsi="Calibri" w:eastAsia="Calibri"/>
          <w:b w:val="0"/>
          <w:i w:val="0"/>
          <w:color w:val="1A1F1C"/>
          <w:sz w:val="22"/>
        </w:rPr>
        <w:t>Parc d’analyseurs. Sert à ancrer chaque lot sur un équipement.</w:t>
      </w:r>
    </w:p>
    <w:p>
      <w:pPr>
        <w:pStyle w:val="ListBullet"/>
        <w:spacing w:after="80"/>
        <w:ind w:left="624"/>
      </w:pPr>
      <w:r>
        <w:rPr>
          <w:rFonts w:ascii="Calibri" w:hAnsi="Calibri" w:eastAsia="Calibri"/>
          <w:b/>
          <w:i w:val="0"/>
          <w:color w:val="1A1F1C"/>
          <w:sz w:val="22"/>
        </w:rPr>
        <w:t xml:space="preserve">Lots. </w:t>
      </w:r>
      <w:r>
        <w:rPr>
          <w:rFonts w:ascii="Calibri" w:hAnsi="Calibri" w:eastAsia="Calibri"/>
          <w:b w:val="0"/>
          <w:i w:val="0"/>
          <w:color w:val="1A1F1C"/>
          <w:sz w:val="22"/>
        </w:rPr>
        <w:t>Création, édition, CSV, statuts (conforme / à vérifier / à valider / à revalider), historique des champs, score 0–100. Sert à constituer le dossier de référence à la source.</w:t>
      </w:r>
    </w:p>
    <w:p>
      <w:pPr>
        <w:pStyle w:val="ListBullet"/>
        <w:spacing w:after="80"/>
        <w:ind w:left="624"/>
      </w:pPr>
      <w:r>
        <w:rPr>
          <w:rFonts w:ascii="Calibri" w:hAnsi="Calibri" w:eastAsia="Calibri"/>
          <w:b/>
          <w:i w:val="0"/>
          <w:color w:val="1A1F1C"/>
          <w:sz w:val="22"/>
        </w:rPr>
        <w:t xml:space="preserve">Pseudonymisation. </w:t>
      </w:r>
      <w:r>
        <w:rPr>
          <w:rFonts w:ascii="Calibri" w:hAnsi="Calibri" w:eastAsia="Calibri"/>
          <w:b w:val="0"/>
          <w:i w:val="0"/>
          <w:color w:val="1A1F1C"/>
          <w:sz w:val="22"/>
        </w:rPr>
        <w:t>Case obligatoire + alerte si un en-tête CSV ressemble à une identité. Sert à ne pas calibrer une règle sur un fichier nominatif.</w:t>
      </w:r>
    </w:p>
    <w:p>
      <w:pPr>
        <w:pStyle w:val="ListBullet"/>
        <w:spacing w:after="80"/>
        <w:ind w:left="624"/>
      </w:pPr>
      <w:r>
        <w:rPr>
          <w:rFonts w:ascii="Calibri" w:hAnsi="Calibri" w:eastAsia="Calibri"/>
          <w:b/>
          <w:i w:val="0"/>
          <w:color w:val="1A1F1C"/>
          <w:sz w:val="22"/>
        </w:rPr>
        <w:t xml:space="preserve">Validation biologiste. </w:t>
      </w:r>
      <w:r>
        <w:rPr>
          <w:rFonts w:ascii="Calibri" w:hAnsi="Calibri" w:eastAsia="Calibri"/>
          <w:b w:val="0"/>
          <w:i w:val="0"/>
          <w:color w:val="1A1F1C"/>
          <w:sz w:val="22"/>
        </w:rPr>
        <w:t>Seuls les biologistes connectés peuvent signer ; le serveur refuse les autres. Sert de tampon nominatif et daté.</w:t>
      </w:r>
    </w:p>
    <w:p>
      <w:pPr>
        <w:pStyle w:val="ListBullet"/>
        <w:spacing w:after="80"/>
        <w:ind w:left="624"/>
      </w:pPr>
      <w:r>
        <w:rPr>
          <w:rFonts w:ascii="Calibri" w:hAnsi="Calibri" w:eastAsia="Calibri"/>
          <w:b/>
          <w:i w:val="0"/>
          <w:color w:val="1A1F1C"/>
          <w:sz w:val="22"/>
        </w:rPr>
        <w:t xml:space="preserve">Signalements. </w:t>
      </w:r>
      <w:r>
        <w:rPr>
          <w:rFonts w:ascii="Calibri" w:hAnsi="Calibri" w:eastAsia="Calibri"/>
          <w:b w:val="0"/>
          <w:i w:val="0"/>
          <w:color w:val="1A1F1C"/>
          <w:sz w:val="22"/>
        </w:rPr>
        <w:t>Liste des non-conformités ouvertes ; résolution bloquée tant que le motif est vrai. Sert de cahier qualité, pas de liste décorative.</w:t>
      </w:r>
    </w:p>
    <w:p>
      <w:pPr>
        <w:pStyle w:val="ListBullet"/>
        <w:spacing w:after="80"/>
        <w:ind w:left="624"/>
      </w:pPr>
      <w:r>
        <w:rPr>
          <w:rFonts w:ascii="Calibri" w:hAnsi="Calibri" w:eastAsia="Calibri"/>
          <w:b/>
          <w:i w:val="0"/>
          <w:color w:val="1A1F1C"/>
          <w:sz w:val="22"/>
        </w:rPr>
        <w:t xml:space="preserve">Règles et simulateur. </w:t>
      </w:r>
      <w:r>
        <w:rPr>
          <w:rFonts w:ascii="Calibri" w:hAnsi="Calibri" w:eastAsia="Calibri"/>
          <w:b w:val="0"/>
          <w:i w:val="0"/>
          <w:color w:val="1A1F1C"/>
          <w:sz w:val="22"/>
        </w:rPr>
        <w:t>Seuils liés à un lot ; test d’une valeur fictive. Sert à montrer qu’une alerte a une origine, sans diagnostiquer.</w:t>
      </w:r>
    </w:p>
    <w:p>
      <w:pPr>
        <w:pStyle w:val="ListBullet"/>
        <w:spacing w:after="80"/>
        <w:ind w:left="624"/>
      </w:pPr>
      <w:r>
        <w:rPr>
          <w:rFonts w:ascii="Calibri" w:hAnsi="Calibri" w:eastAsia="Calibri"/>
          <w:b/>
          <w:i w:val="0"/>
          <w:color w:val="1A1F1C"/>
          <w:sz w:val="22"/>
        </w:rPr>
        <w:t xml:space="preserve">Cartes de contrôle. </w:t>
      </w:r>
      <w:r>
        <w:rPr>
          <w:rFonts w:ascii="Calibri" w:hAnsi="Calibri" w:eastAsia="Calibri"/>
          <w:b w:val="0"/>
          <w:i w:val="0"/>
          <w:color w:val="1A1F1C"/>
          <w:sz w:val="22"/>
        </w:rPr>
        <w:t>Dérive des moyennes par machine (± 2 s). Sert à surveiller l’analyseur.</w:t>
      </w:r>
    </w:p>
    <w:p>
      <w:pPr>
        <w:pStyle w:val="ListBullet"/>
        <w:spacing w:after="80"/>
        <w:ind w:left="624"/>
      </w:pPr>
      <w:r>
        <w:rPr>
          <w:rFonts w:ascii="Calibri" w:hAnsi="Calibri" w:eastAsia="Calibri"/>
          <w:b/>
          <w:i w:val="0"/>
          <w:color w:val="1A1F1C"/>
          <w:sz w:val="22"/>
        </w:rPr>
        <w:t xml:space="preserve">Certificat imprimable. </w:t>
      </w:r>
      <w:r>
        <w:rPr>
          <w:rFonts w:ascii="Calibri" w:hAnsi="Calibri" w:eastAsia="Calibri"/>
          <w:b w:val="0"/>
          <w:i w:val="0"/>
          <w:color w:val="1A1F1C"/>
          <w:sz w:val="22"/>
        </w:rPr>
        <w:t>Fiche lot + code-barres. Sert de feuille d’audit pédagogique (esprit ISO 15189 / 17025).</w:t>
      </w:r>
    </w:p>
    <w:p>
      <w:pPr>
        <w:pStyle w:val="ListBullet"/>
        <w:spacing w:after="80"/>
        <w:ind w:left="624"/>
      </w:pPr>
      <w:r>
        <w:rPr>
          <w:rFonts w:ascii="Calibri" w:hAnsi="Calibri" w:eastAsia="Calibri"/>
          <w:b/>
          <w:i w:val="0"/>
          <w:color w:val="1A1F1C"/>
          <w:sz w:val="22"/>
        </w:rPr>
        <w:t xml:space="preserve">Synthèse PDF / CSV. </w:t>
      </w:r>
      <w:r>
        <w:rPr>
          <w:rFonts w:ascii="Calibri" w:hAnsi="Calibri" w:eastAsia="Calibri"/>
          <w:b w:val="0"/>
          <w:i w:val="0"/>
          <w:color w:val="1A1F1C"/>
          <w:sz w:val="22"/>
        </w:rPr>
        <w:t>Totaux du registre. Sert de fiche pour une réunion qualité interne — pas un rapport COFRAC.</w:t>
      </w:r>
    </w:p>
    <w:p>
      <w:pPr>
        <w:pStyle w:val="ListBullet"/>
        <w:spacing w:after="80"/>
        <w:ind w:left="624"/>
      </w:pPr>
      <w:r>
        <w:rPr>
          <w:rFonts w:ascii="Calibri" w:hAnsi="Calibri" w:eastAsia="Calibri"/>
          <w:b/>
          <w:i w:val="0"/>
          <w:color w:val="1A1F1C"/>
          <w:sz w:val="22"/>
        </w:rPr>
        <w:t xml:space="preserve">Page Conformité. </w:t>
      </w:r>
      <w:r>
        <w:rPr>
          <w:rFonts w:ascii="Calibri" w:hAnsi="Calibri" w:eastAsia="Calibri"/>
          <w:b w:val="0"/>
          <w:i w:val="0"/>
          <w:color w:val="1A1F1C"/>
          <w:sz w:val="22"/>
        </w:rPr>
        <w:t>Lien explicite ISO 15189, RGPD, AI Act, chaîne Machine → Lot → Règle → Validation. Sert à l’oral ; le logiciel n’est pas certifié.</w:t>
      </w:r>
    </w:p>
    <w:p>
      <w:pPr>
        <w:keepNext/>
        <w:spacing w:before="360" w:after="160"/>
        <w:pBdr>
          <w:bottom w:val="single" w:sz="12" w:space="4" w:color="1F4D3A"/>
        </w:pBdr>
      </w:pPr>
      <w:r>
        <w:rPr>
          <w:rFonts w:ascii="Calibri" w:hAnsi="Calibri" w:eastAsia="Calibri"/>
          <w:b/>
          <w:i w:val="0"/>
          <w:color w:val="1F4D3A"/>
          <w:sz w:val="32"/>
        </w:rPr>
        <w:t>4. Architecture technique</w:t>
      </w:r>
    </w:p>
    <w:p>
      <w:pPr>
        <w:spacing w:after="160" w:before="0" w:line="276" w:lineRule="auto"/>
      </w:pPr>
      <w:r>
        <w:rPr>
          <w:rFonts w:ascii="Calibri" w:hAnsi="Calibri" w:eastAsia="Calibri"/>
          <w:b w:val="0"/>
          <w:i w:val="0"/>
          <w:color w:val="1A1F1C"/>
          <w:sz w:val="22"/>
        </w:rPr>
        <w:t>Serveur Node.js / Express, pages HTML et JavaScript sans framework (pas de React), données dans un fichier SQLite placé hors OneDrive (dossier utilisateur) pour rester ouvrable. Après connexion, un cookie de session porte le rôle ; les droits sont vérifiés côté serveur, pas seulement à l’écran.</w:t>
      </w:r>
    </w:p>
    <w:p>
      <w:pPr>
        <w:keepNext/>
        <w:spacing w:before="360" w:after="160"/>
        <w:pBdr>
          <w:bottom w:val="single" w:sz="12" w:space="4" w:color="1F4D3A"/>
        </w:pBdr>
      </w:pPr>
      <w:r>
        <w:rPr>
          <w:rFonts w:ascii="Calibri" w:hAnsi="Calibri" w:eastAsia="Calibri"/>
          <w:b/>
          <w:i w:val="0"/>
          <w:color w:val="1F4D3A"/>
          <w:sz w:val="32"/>
        </w:rPr>
        <w:t>5. Limites actuelles (et pourquoi)</w:t>
      </w:r>
    </w:p>
    <w:p>
      <w:pPr>
        <w:spacing w:after="160" w:before="0" w:line="276" w:lineRule="auto"/>
      </w:pPr>
      <w:r>
        <w:rPr>
          <w:rFonts w:ascii="Calibri" w:hAnsi="Calibri" w:eastAsia="Calibri"/>
          <w:b w:val="0"/>
          <w:i w:val="0"/>
          <w:color w:val="1A1F1C"/>
          <w:sz w:val="22"/>
        </w:rPr>
        <w:t>C’est un démonstrateur de soutenance, pas un logiciel de production.</w:t>
      </w:r>
    </w:p>
    <w:p>
      <w:pPr>
        <w:pStyle w:val="ListBullet"/>
        <w:spacing w:after="80"/>
        <w:ind w:left="624"/>
      </w:pPr>
      <w:r>
        <w:rPr>
          <w:rFonts w:ascii="Calibri" w:hAnsi="Calibri" w:eastAsia="Calibri"/>
          <w:b/>
          <w:i w:val="0"/>
          <w:color w:val="1A1F1C"/>
          <w:sz w:val="22"/>
        </w:rPr>
        <w:t xml:space="preserve">Pas une certification. </w:t>
      </w:r>
      <w:r>
        <w:rPr>
          <w:rFonts w:ascii="Calibri" w:hAnsi="Calibri" w:eastAsia="Calibri"/>
          <w:b w:val="0"/>
          <w:i w:val="0"/>
          <w:color w:val="1A1F1C"/>
          <w:sz w:val="22"/>
        </w:rPr>
        <w:t>La page Conformité explique ISO / RGPD / AI Act ; elle n’accrédite rien. Un projet BUT n’a ni DPO ni hébergement HDS : afficher « conforme » comme un tampon serait trompeur.</w:t>
      </w:r>
    </w:p>
    <w:p>
      <w:pPr>
        <w:pStyle w:val="ListBullet"/>
        <w:spacing w:after="80"/>
        <w:ind w:left="624"/>
      </w:pPr>
      <w:r>
        <w:rPr>
          <w:rFonts w:ascii="Calibri" w:hAnsi="Calibri" w:eastAsia="Calibri"/>
          <w:b/>
          <w:i w:val="0"/>
          <w:color w:val="1A1F1C"/>
          <w:sz w:val="22"/>
        </w:rPr>
        <w:t xml:space="preserve">Scan CSV limité aux en-têtes. </w:t>
      </w:r>
      <w:r>
        <w:rPr>
          <w:rFonts w:ascii="Calibri" w:hAnsi="Calibri" w:eastAsia="Calibri"/>
          <w:b w:val="0"/>
          <w:i w:val="0"/>
          <w:color w:val="1A1F1C"/>
          <w:sz w:val="22"/>
        </w:rPr>
        <w:t>Une colonne « col1 » remplie d’identités passe ; analyser le contenu des cellules serait un autre projet, et stocker le fichier brut augmenterait le risque.</w:t>
      </w:r>
    </w:p>
    <w:p>
      <w:pPr>
        <w:pStyle w:val="ListBullet"/>
        <w:spacing w:after="80"/>
        <w:ind w:left="624"/>
      </w:pPr>
      <w:r>
        <w:rPr>
          <w:rFonts w:ascii="Calibri" w:hAnsi="Calibri" w:eastAsia="Calibri"/>
          <w:b/>
          <w:i w:val="0"/>
          <w:color w:val="1A1F1C"/>
          <w:sz w:val="22"/>
        </w:rPr>
        <w:t xml:space="preserve">Cartes simplifiées. </w:t>
      </w:r>
      <w:r>
        <w:rPr>
          <w:rFonts w:ascii="Calibri" w:hAnsi="Calibri" w:eastAsia="Calibri"/>
          <w:b w:val="0"/>
          <w:i w:val="0"/>
          <w:color w:val="1A1F1C"/>
          <w:sz w:val="22"/>
        </w:rPr>
        <w:t>Seuil ± 2 écarts-types sur les moyennes de lots, pas les règles de Westgard ni les cibles constructeur. Suffisant pour montrer une dérive, pas pour remplacer un middleware d’analyseur.</w:t>
      </w:r>
    </w:p>
    <w:p>
      <w:pPr>
        <w:pStyle w:val="ListBullet"/>
        <w:spacing w:after="80"/>
        <w:ind w:left="624"/>
      </w:pPr>
      <w:r>
        <w:rPr>
          <w:rFonts w:ascii="Calibri" w:hAnsi="Calibri" w:eastAsia="Calibri"/>
          <w:b/>
          <w:i w:val="0"/>
          <w:color w:val="1A1F1C"/>
          <w:sz w:val="22"/>
        </w:rPr>
        <w:t xml:space="preserve">Mono-poste. </w:t>
      </w:r>
      <w:r>
        <w:rPr>
          <w:rFonts w:ascii="Calibri" w:hAnsi="Calibri" w:eastAsia="Calibri"/>
          <w:b w:val="0"/>
          <w:i w:val="0"/>
          <w:color w:val="1A1F1C"/>
          <w:sz w:val="22"/>
        </w:rPr>
        <w:t>Localhost, un fichier SQLite, pas de sauvegarde auto ni d’HTTPS. Le sujet était la traçabilité métier, pas l’exploitation cloud.</w:t>
      </w:r>
    </w:p>
    <w:p>
      <w:pPr>
        <w:pStyle w:val="ListBullet"/>
        <w:spacing w:after="80"/>
        <w:ind w:left="624"/>
      </w:pPr>
      <w:r>
        <w:rPr>
          <w:rFonts w:ascii="Calibri" w:hAnsi="Calibri" w:eastAsia="Calibri"/>
          <w:b/>
          <w:i w:val="0"/>
          <w:color w:val="1A1F1C"/>
          <w:sz w:val="22"/>
        </w:rPr>
        <w:t xml:space="preserve">Comptes de démo. </w:t>
      </w:r>
      <w:r>
        <w:rPr>
          <w:rFonts w:ascii="Calibri" w:hAnsi="Calibri" w:eastAsia="Calibri"/>
          <w:b w:val="0"/>
          <w:i w:val="0"/>
          <w:color w:val="1A1F1C"/>
          <w:sz w:val="22"/>
        </w:rPr>
        <w:t>Mot de passe connu (labo2026) pour le jury. Inacceptable en production, nécessaire pour une démo de groupe.</w:t>
      </w:r>
    </w:p>
    <w:p>
      <w:pPr>
        <w:pStyle w:val="ListBullet"/>
        <w:spacing w:after="80"/>
        <w:ind w:left="624"/>
      </w:pPr>
      <w:r>
        <w:rPr>
          <w:rFonts w:ascii="Calibri" w:hAnsi="Calibri" w:eastAsia="Calibri"/>
          <w:b/>
          <w:i w:val="0"/>
          <w:color w:val="1A1F1C"/>
          <w:sz w:val="22"/>
        </w:rPr>
        <w:t xml:space="preserve">Audit et signalements incomplets. </w:t>
      </w:r>
      <w:r>
        <w:rPr>
          <w:rFonts w:ascii="Calibri" w:hAnsi="Calibri" w:eastAsia="Calibri"/>
          <w:b w:val="0"/>
          <w:i w:val="0"/>
          <w:color w:val="1A1F1C"/>
          <w:sz w:val="22"/>
        </w:rPr>
        <w:t>On historise les champs du lot, pas « qui a cliqué ». Les signalements d’un lot sont recréés à chaque enregistrement : la liste est à jour, mais on perd le fil des allers-retours.</w:t>
      </w:r>
    </w:p>
    <w:p>
      <w:pPr>
        <w:pStyle w:val="ListBullet"/>
        <w:spacing w:after="80"/>
        <w:ind w:left="624"/>
      </w:pPr>
      <w:r>
        <w:rPr>
          <w:rFonts w:ascii="Calibri" w:hAnsi="Calibri" w:eastAsia="Calibri"/>
          <w:b/>
          <w:i w:val="0"/>
          <w:color w:val="1A1F1C"/>
          <w:sz w:val="22"/>
        </w:rPr>
        <w:t xml:space="preserve">Peu de tests automatiques. </w:t>
      </w:r>
      <w:r>
        <w:rPr>
          <w:rFonts w:ascii="Calibri" w:hAnsi="Calibri" w:eastAsia="Calibri"/>
          <w:b w:val="0"/>
          <w:i w:val="0"/>
          <w:color w:val="1A1F1C"/>
          <w:sz w:val="22"/>
        </w:rPr>
        <w:t>Le calendrier a privilégié les écrans visibles à l’oral. Une régression peut passer jusqu’à l’usage.</w:t>
      </w:r>
    </w:p>
    <w:p>
      <w:pPr>
        <w:spacing w:after="160" w:before="0" w:line="276" w:lineRule="auto"/>
      </w:pPr>
      <w:r>
        <w:rPr>
          <w:rFonts w:ascii="Calibri" w:hAnsi="Calibri" w:eastAsia="Calibri"/>
          <w:b w:val="0"/>
          <w:i/>
          <w:color w:val="4C5850"/>
          <w:sz w:val="22"/>
        </w:rPr>
        <w:t>Google OAuth et le code-barres du certificat restent illustratifs (secrets Google hors dépôt ; pas de lecteur physique).</w:t>
      </w:r>
    </w:p>
    <w:p>
      <w:pPr>
        <w:keepNext/>
        <w:spacing w:before="360" w:after="160"/>
        <w:pBdr>
          <w:bottom w:val="single" w:sz="12" w:space="4" w:color="1F4D3A"/>
        </w:pBdr>
      </w:pPr>
      <w:r>
        <w:rPr>
          <w:rFonts w:ascii="Calibri" w:hAnsi="Calibri" w:eastAsia="Calibri"/>
          <w:b/>
          <w:i w:val="0"/>
          <w:color w:val="1F4D3A"/>
          <w:sz w:val="32"/>
        </w:rPr>
        <w:t>6. Pistes d’amélioration</w:t>
      </w:r>
    </w:p>
    <w:p>
      <w:pPr>
        <w:spacing w:after="160" w:before="0" w:line="276" w:lineRule="auto"/>
      </w:pPr>
      <w:r>
        <w:rPr>
          <w:rFonts w:ascii="Calibri" w:hAnsi="Calibri" w:eastAsia="Calibri"/>
          <w:b w:val="0"/>
          <w:i w:val="0"/>
          <w:color w:val="1A1F1C"/>
          <w:sz w:val="22"/>
        </w:rPr>
        <w:t>Pour chaque limite du § 5, une piste concrète, classée par facilité pour un groupe étudiant.</w:t>
      </w:r>
    </w:p>
    <w:p>
      <w:pPr>
        <w:keepNext/>
        <w:spacing w:before="240" w:after="160"/>
      </w:pPr>
      <w:r>
        <w:rPr>
          <w:rFonts w:ascii="Calibri" w:hAnsi="Calibri" w:eastAsia="Calibri"/>
          <w:b/>
          <w:i w:val="0"/>
          <w:color w:val="1F4D3A"/>
          <w:sz w:val="26"/>
        </w:rPr>
        <w:t>Priorité haute</w:t>
      </w:r>
    </w:p>
    <w:p>
      <w:pPr>
        <w:pStyle w:val="ListBullet"/>
        <w:spacing w:after="80"/>
        <w:ind w:left="624"/>
      </w:pPr>
      <w:r>
        <w:rPr>
          <w:rFonts w:ascii="Calibri" w:hAnsi="Calibri" w:eastAsia="Calibri"/>
          <w:b/>
          <w:i w:val="0"/>
          <w:color w:val="1A1F1C"/>
          <w:sz w:val="22"/>
        </w:rPr>
        <w:t xml:space="preserve">Tests métier. </w:t>
      </w:r>
      <w:r>
        <w:rPr>
          <w:rFonts w:ascii="Calibri" w:hAnsi="Calibri" w:eastAsia="Calibri"/>
          <w:b w:val="0"/>
          <w:i w:val="0"/>
          <w:color w:val="1A1F1C"/>
          <w:sz w:val="22"/>
        </w:rPr>
        <w:t>Une vingtaine de cas sur les fonctions déjà isolées (colonne NIR → alerte ; lot sans machine → signalement ; validation &gt; 12 mois → à revalider), lancés avant chaque démo.</w:t>
      </w:r>
    </w:p>
    <w:p>
      <w:pPr>
        <w:pStyle w:val="ListBullet"/>
        <w:spacing w:after="80"/>
        <w:ind w:left="624"/>
      </w:pPr>
      <w:r>
        <w:rPr>
          <w:rFonts w:ascii="Calibri" w:hAnsi="Calibri" w:eastAsia="Calibri"/>
          <w:b/>
          <w:i w:val="0"/>
          <w:color w:val="1A1F1C"/>
          <w:sz w:val="22"/>
        </w:rPr>
        <w:t xml:space="preserve">Journal d’actions. </w:t>
      </w:r>
      <w:r>
        <w:rPr>
          <w:rFonts w:ascii="Calibri" w:hAnsi="Calibri" w:eastAsia="Calibri"/>
          <w:b w:val="0"/>
          <w:i w:val="0"/>
          <w:color w:val="1A1F1C"/>
          <w:sz w:val="22"/>
        </w:rPr>
        <w:t>Une ligne utilisateur + action + lot + date à la validation, à la connexion et à l’acceptation de compte ; une page « Journal » suffit.</w:t>
      </w:r>
    </w:p>
    <w:p>
      <w:pPr>
        <w:pStyle w:val="ListBullet"/>
        <w:spacing w:after="80"/>
        <w:ind w:left="624"/>
      </w:pPr>
      <w:r>
        <w:rPr>
          <w:rFonts w:ascii="Calibri" w:hAnsi="Calibri" w:eastAsia="Calibri"/>
          <w:b/>
          <w:i w:val="0"/>
          <w:color w:val="1A1F1C"/>
          <w:sz w:val="22"/>
        </w:rPr>
        <w:t xml:space="preserve">Signalements stables. </w:t>
      </w:r>
      <w:r>
        <w:rPr>
          <w:rFonts w:ascii="Calibri" w:hAnsi="Calibri" w:eastAsia="Calibri"/>
          <w:b w:val="0"/>
          <w:i w:val="0"/>
          <w:color w:val="1A1F1C"/>
          <w:sz w:val="22"/>
        </w:rPr>
        <w:t>Ne plus les effacer : clôturer le motif disparu, en ouvrir un nouveau sinon, avec un commentaire facultatif.</w:t>
      </w:r>
    </w:p>
    <w:p>
      <w:pPr>
        <w:keepNext/>
        <w:spacing w:before="240" w:after="160"/>
      </w:pPr>
      <w:r>
        <w:rPr>
          <w:rFonts w:ascii="Calibri" w:hAnsi="Calibri" w:eastAsia="Calibri"/>
          <w:b/>
          <w:i w:val="0"/>
          <w:color w:val="1F4D3A"/>
          <w:sz w:val="26"/>
        </w:rPr>
        <w:t>Priorité moyenne</w:t>
      </w:r>
    </w:p>
    <w:p>
      <w:pPr>
        <w:pStyle w:val="ListBullet"/>
        <w:spacing w:after="80"/>
        <w:ind w:left="624"/>
      </w:pPr>
      <w:r>
        <w:rPr>
          <w:rFonts w:ascii="Calibri" w:hAnsi="Calibri" w:eastAsia="Calibri"/>
          <w:b/>
          <w:i w:val="0"/>
          <w:color w:val="1A1F1C"/>
          <w:sz w:val="22"/>
        </w:rPr>
        <w:t xml:space="preserve">Cartes un peu plus réalistes. </w:t>
      </w:r>
      <w:r>
        <w:rPr>
          <w:rFonts w:ascii="Calibri" w:hAnsi="Calibri" w:eastAsia="Calibri"/>
          <w:b w:val="0"/>
          <w:i w:val="0"/>
          <w:color w:val="1A1F1C"/>
          <w:sz w:val="22"/>
        </w:rPr>
        <w:t>Ajouter 2–3 règles de Westgard (ex. 1-3s, 2-2s) et dire laquelle a sauté.</w:t>
      </w:r>
    </w:p>
    <w:p>
      <w:pPr>
        <w:pStyle w:val="ListBullet"/>
        <w:spacing w:after="80"/>
        <w:ind w:left="624"/>
      </w:pPr>
      <w:r>
        <w:rPr>
          <w:rFonts w:ascii="Calibri" w:hAnsi="Calibri" w:eastAsia="Calibri"/>
          <w:b/>
          <w:i w:val="0"/>
          <w:color w:val="1A1F1C"/>
          <w:sz w:val="22"/>
        </w:rPr>
        <w:t xml:space="preserve">Import CSV plus sûr. </w:t>
      </w:r>
      <w:r>
        <w:rPr>
          <w:rFonts w:ascii="Calibri" w:hAnsi="Calibri" w:eastAsia="Calibri"/>
          <w:b w:val="0"/>
          <w:i w:val="0"/>
          <w:color w:val="1A1F1C"/>
          <w:sz w:val="22"/>
        </w:rPr>
        <w:t>Ne garder que les en-têtes et les valeurs numériques de contrôle ; détecter NIR / e-mail en mémoire, sans stocker le fichier brut.</w:t>
      </w:r>
    </w:p>
    <w:p>
      <w:pPr>
        <w:pStyle w:val="ListBullet"/>
        <w:spacing w:after="80"/>
        <w:ind w:left="624"/>
      </w:pPr>
      <w:r>
        <w:rPr>
          <w:rFonts w:ascii="Calibri" w:hAnsi="Calibri" w:eastAsia="Calibri"/>
          <w:b/>
          <w:i w:val="0"/>
          <w:color w:val="1A1F1C"/>
          <w:sz w:val="22"/>
        </w:rPr>
        <w:t xml:space="preserve">Sauvegarde. </w:t>
      </w:r>
      <w:r>
        <w:rPr>
          <w:rFonts w:ascii="Calibri" w:hAnsi="Calibri" w:eastAsia="Calibri"/>
          <w:b w:val="0"/>
          <w:i w:val="0"/>
          <w:color w:val="1A1F1C"/>
          <w:sz w:val="22"/>
        </w:rPr>
        <w:t>Bouton « exporter / importer la base » (c’est déjà un seul fichier).</w:t>
      </w:r>
    </w:p>
    <w:p>
      <w:pPr>
        <w:keepNext/>
        <w:spacing w:before="240" w:after="160"/>
      </w:pPr>
      <w:r>
        <w:rPr>
          <w:rFonts w:ascii="Calibri" w:hAnsi="Calibri" w:eastAsia="Calibri"/>
          <w:b/>
          <w:i w:val="0"/>
          <w:color w:val="1F4D3A"/>
          <w:sz w:val="26"/>
        </w:rPr>
        <w:t>Plus tard, si le projet continue</w:t>
      </w:r>
    </w:p>
    <w:p>
      <w:pPr>
        <w:pStyle w:val="ListBullet"/>
        <w:spacing w:after="80"/>
        <w:ind w:left="624"/>
      </w:pPr>
      <w:r>
        <w:rPr>
          <w:rFonts w:ascii="Calibri" w:hAnsi="Calibri" w:eastAsia="Calibri"/>
          <w:b/>
          <w:i w:val="0"/>
          <w:color w:val="1A1F1C"/>
          <w:sz w:val="22"/>
        </w:rPr>
        <w:t xml:space="preserve">Déploiement. </w:t>
      </w:r>
      <w:r>
        <w:rPr>
          <w:rFonts w:ascii="Calibri" w:hAnsi="Calibri" w:eastAsia="Calibri"/>
          <w:b w:val="0"/>
          <w:i w:val="0"/>
          <w:color w:val="1A1F1C"/>
          <w:sz w:val="22"/>
        </w:rPr>
        <w:t>Un poste partagé en salle plutôt que 15 copies OneDrive — seulement si un enseignant le demande.</w:t>
      </w:r>
    </w:p>
    <w:p>
      <w:pPr>
        <w:pStyle w:val="ListBullet"/>
        <w:spacing w:after="80"/>
        <w:ind w:left="624"/>
      </w:pPr>
      <w:r>
        <w:rPr>
          <w:rFonts w:ascii="Calibri" w:hAnsi="Calibri" w:eastAsia="Calibri"/>
          <w:b/>
          <w:i w:val="0"/>
          <w:color w:val="1A1F1C"/>
          <w:sz w:val="22"/>
        </w:rPr>
        <w:t xml:space="preserve">Ne pas faire. </w:t>
      </w:r>
      <w:r>
        <w:rPr>
          <w:rFonts w:ascii="Calibri" w:hAnsi="Calibri" w:eastAsia="Calibri"/>
          <w:b w:val="0"/>
          <w:i w:val="0"/>
          <w:color w:val="1A1F1C"/>
          <w:sz w:val="22"/>
        </w:rPr>
        <w:t>Un modèle d’IA sur de vrais bilans patients : ça sort du sujet et des obligations qu’on peut assumer.</w:t>
      </w:r>
    </w:p>
    <w:p>
      <w:pPr>
        <w:keepNext/>
        <w:spacing w:before="360" w:after="160"/>
        <w:pBdr>
          <w:bottom w:val="single" w:sz="12" w:space="4" w:color="1F4D3A"/>
        </w:pBdr>
      </w:pPr>
      <w:r>
        <w:rPr>
          <w:rFonts w:ascii="Calibri" w:hAnsi="Calibri" w:eastAsia="Calibri"/>
          <w:b/>
          <w:i w:val="0"/>
          <w:color w:val="1F4D3A"/>
          <w:sz w:val="32"/>
        </w:rPr>
        <w:t>Pour la démo</w:t>
      </w:r>
    </w:p>
    <w:p>
      <w:pPr>
        <w:spacing w:after="160" w:before="0" w:line="276" w:lineRule="auto"/>
      </w:pPr>
      <w:r>
        <w:rPr>
          <w:rFonts w:ascii="Calibri" w:hAnsi="Calibri" w:eastAsia="Calibri"/>
          <w:b w:val="0"/>
          <w:i w:val="0"/>
          <w:color w:val="1A1F1C"/>
          <w:sz w:val="22"/>
        </w:rPr>
        <w:t>Ouvrir http://localhost:3000. Technicien : lot incomplet → signalement → correction. Biologiste : validation → certificat → synthèse PDF. Rappeler qu’aucune donnée patient réelle n’est utilisée. Le registre ne dit pas si un patient est malade : il dit si la donnée de calibration est complète, pseudonymisée, rattachée à une machine, et signée.</w:t>
      </w:r>
    </w:p>
    <w:sectPr w:rsidR="00FC693F" w:rsidRPr="0006063C" w:rsidSect="00034616">
      <w:headerReference w:type="default" r:id="rId9"/>
      <w:footerReference w:type="default" r:id="rId10"/>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4C5850"/>
        <w:sz w:val="16"/>
      </w:rPr>
      <w:t xml:space="preserve">Document pédagogique — données fictives uniquement  ·  p. </w:t>
    </w:r>
    <w:r>
      <w:rPr>
        <w:rFonts w:ascii="Calibri" w:hAnsi="Calibri" w:eastAsia="Calibri"/>
        <w:b w:val="0"/>
        <w:i w:val="0"/>
        <w:color w:val="4C585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val="0"/>
        <w:i/>
        <w:color w:val="4C5850"/>
        <w:sz w:val="16"/>
      </w:rPr>
      <w:t>Registre de traçabilité — Projet 4 Biologie / Laboratoires — BUT Science des Données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