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NotebookLM: acesso e primeiro teste</w:t>
      </w:r>
    </w:p>
    <w:p>
      <w:r>
        <w:rPr>
          <w:color w:val="105E6E"/>
          <w:sz w:val="27"/>
        </w:rPr>
        <w:t>Para fazer antes de 5 de novembro de 2026 (cerca de 15 minutos)</w:t>
      </w:r>
    </w:p>
    <w:p>
      <w:r>
        <w:t>O NotebookLM é uma ferramenta do Google que responde a partir dos documentos que você escolhe e mostra, em cada resposta, o trecho de onde tirou a informação. Desde julho de 2026, o Google passou a chamá-lo de Gemini Notebook; o endereço e o funcionamento continuam os mesmos.</w:t>
      </w:r>
    </w:p>
    <w:p>
      <w:pPr>
        <w:pStyle w:val="Heading1"/>
      </w:pPr>
      <w:r>
        <w:t>1. Acesso</w:t>
      </w:r>
    </w:p>
    <w:p>
      <w:pPr>
        <w:ind w:left="510" w:hanging="340"/>
      </w:pPr>
      <w:r>
        <w:t xml:space="preserve">1.  </w:t>
      </w:r>
      <w:r>
        <w:t>Acesse notebooklm.google (o endereço notebooklm.google.com também funciona).</w:t>
      </w:r>
    </w:p>
    <w:p>
      <w:pPr>
        <w:ind w:left="510" w:hanging="340"/>
      </w:pPr>
      <w:r>
        <w:t xml:space="preserve">2.  </w:t>
      </w:r>
      <w:r>
        <w:t>Entre com uma conta Google pessoal (Gmail). Contas institucionais podem depender de liberação do administrador.</w:t>
      </w:r>
    </w:p>
    <w:p>
      <w:pPr>
        <w:ind w:left="510" w:hanging="340"/>
      </w:pPr>
      <w:r>
        <w:t xml:space="preserve">3.  </w:t>
      </w:r>
      <w:r>
        <w:t>Na tela inicial, clique em "Criar novo" (ou "Novo notebook").</w:t>
      </w:r>
    </w:p>
    <w:p>
      <w:pPr>
        <w:pStyle w:val="Heading1"/>
      </w:pPr>
      <w:r>
        <w:t>2. Criar o notebook "Normativas da escola"</w:t>
      </w:r>
    </w:p>
    <w:p>
      <w:pPr>
        <w:ind w:left="510" w:hanging="340"/>
      </w:pPr>
      <w:r>
        <w:t xml:space="preserve">1.  </w:t>
      </w:r>
      <w:r>
        <w:t>Baixe para o seu computador os documentos da pasta 10_kit_apoio/normativas_leis, enviada junto com estas orientações.</w:t>
      </w:r>
    </w:p>
    <w:p>
      <w:pPr>
        <w:ind w:left="510" w:hanging="340"/>
      </w:pPr>
      <w:r>
        <w:t xml:space="preserve">2.  </w:t>
      </w:r>
      <w:r>
        <w:t>No notebook novo, clique em "Adicionar fontes" e envie os PDFs. Também é possível colar o link de uma página (por exemplo, a lei no site do Planalto) ou escolher um arquivo do Google Drive.</w:t>
      </w:r>
    </w:p>
    <w:p>
      <w:pPr>
        <w:ind w:left="510" w:hanging="340"/>
      </w:pPr>
      <w:r>
        <w:t xml:space="preserve">3.  </w:t>
      </w:r>
      <w:r>
        <w:t>Renomeie o notebook, clicando no título no alto da página: "Normativas da escola".</w:t>
      </w:r>
    </w:p>
    <w:p>
      <w:pPr>
        <w:pStyle w:val="Heading1"/>
      </w:pPr>
      <w:r>
        <w:t>3. Teste com três perguntas</w:t>
      </w:r>
    </w:p>
    <w:p>
      <w:pPr>
        <w:ind w:left="510" w:hanging="340"/>
      </w:pPr>
      <w:r>
        <w:t xml:space="preserve">1.  </w:t>
      </w:r>
      <w:r>
        <w:t>"Quais artigos tratam do uso de dados pessoais de crianças e adolescentes?"</w:t>
      </w:r>
    </w:p>
    <w:p>
      <w:pPr>
        <w:ind w:left="510" w:hanging="340"/>
      </w:pPr>
      <w:r>
        <w:t xml:space="preserve">2.  </w:t>
      </w:r>
      <w:r>
        <w:t>"O que a lei diz sobre o uso de celulares pelos estudantes durante as aulas?"</w:t>
      </w:r>
    </w:p>
    <w:p>
      <w:pPr>
        <w:ind w:left="510" w:hanging="340"/>
      </w:pPr>
      <w:r>
        <w:t xml:space="preserve">3.  </w:t>
      </w:r>
      <w:r>
        <w:t>"Monte um quadro com as obrigações da escola em cada documento."</w:t>
      </w:r>
    </w:p>
    <w:p>
      <w:r>
        <w:rPr>
          <w:b/>
        </w:rPr>
        <w:t xml:space="preserve">Observe: </w:t>
      </w:r>
      <w:r>
        <w:t>Em cada resposta, clique nos números entre colchetes para ver o trecho citado. Confira se a citação sustenta mesmo o que foi dito.</w:t>
      </w:r>
    </w:p>
    <w:p>
      <w:pPr>
        <w:pStyle w:val="Heading1"/>
      </w:pPr>
      <w:r>
        <w:t>Cuidados</w:t>
      </w:r>
    </w:p>
    <w:p>
      <w:pPr>
        <w:pStyle w:val="ListBullet"/>
      </w:pPr>
      <w:r>
        <w:t>Use apenas documentos públicos ou não confidenciais. Nada de dados de estudantes, famílias ou funcionários.</w:t>
      </w:r>
    </w:p>
    <w:p>
      <w:pPr>
        <w:pStyle w:val="ListBullet"/>
      </w:pPr>
      <w:r>
        <w:t>A ferramenta responde a partir das fontes, mas ainda pode interpretar mal um trecho. A conferência é sua.</w:t>
      </w:r>
    </w:p>
    <w:p>
      <w:pPr>
        <w:pStyle w:val="ListBullet"/>
      </w:pPr>
      <w:r>
        <w:t>Muitas fontes não garantem resposta melhor: prefira documentos pertinentes à pergunta.</w:t>
      </w:r>
    </w:p>
    <w:p>
      <w:r>
        <w:rPr>
          <w:color w:val="555F6A"/>
          <w:sz w:val="21"/>
        </w:rPr>
        <w:t>Fonte: Google Workspace Updates, "NotebookLM is now Gemini Notebook", julho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6A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6A"/>
        <w:sz w:val="17"/>
      </w:rPr>
      <w:t>Humus Educação | Oficina "Inteligência artificial na gestão escolar" | 5/11/2026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="Calibri" w:hAnsi="Calibri"/>
      <w:b/>
      <w:bCs/>
      <w:color w:val="0B22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Calibri" w:hAnsi="Calibri"/>
      <w:b/>
      <w:bCs/>
      <w:color w:val="0B223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="Calibri" w:hAnsi="Calibri"/>
      <w:b/>
      <w:color w:val="0B22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