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rápido de anonimização</w:t>
      </w:r>
    </w:p>
    <w:p>
      <w:pPr>
        <w:spacing w:after="200"/>
      </w:pPr>
      <w:r>
        <w:rPr>
          <w:color w:val="105E6E"/>
          <w:sz w:val="27"/>
        </w:rPr>
        <w:t>Laboratório pós-oficina | antes de anexar um documento real</w:t>
      </w:r>
    </w:p>
    <w:p>
      <w:pPr>
        <w:spacing w:after="80"/>
      </w:pPr>
      <w:r>
        <w:rPr>
          <w:b w:val="0"/>
          <w:i w:val="0"/>
          <w:sz w:val="25"/>
        </w:rPr>
        <w:t>☐  Retirei: nomes de estudantes, familiares ou funcionários</w:t>
      </w:r>
    </w:p>
    <w:p>
      <w:pPr>
        <w:spacing w:after="80"/>
      </w:pPr>
      <w:r>
        <w:rPr>
          <w:b w:val="0"/>
          <w:i w:val="0"/>
          <w:sz w:val="25"/>
        </w:rPr>
        <w:t>☐  Retirei: CPF, RG, número de matrícula ou de contrato</w:t>
      </w:r>
    </w:p>
    <w:p>
      <w:pPr>
        <w:spacing w:after="80"/>
      </w:pPr>
      <w:r>
        <w:rPr>
          <w:b w:val="0"/>
          <w:i w:val="0"/>
          <w:sz w:val="25"/>
        </w:rPr>
        <w:t>☐  Retirei: endereços, telefones e e-mails pessoais</w:t>
      </w:r>
    </w:p>
    <w:p>
      <w:pPr>
        <w:spacing w:after="80"/>
      </w:pPr>
      <w:r>
        <w:rPr>
          <w:b w:val="0"/>
          <w:i w:val="0"/>
          <w:sz w:val="25"/>
        </w:rPr>
        <w:t>☐  Retirei: fotos e vídeos de pessoas</w:t>
      </w:r>
    </w:p>
    <w:p>
      <w:pPr>
        <w:spacing w:after="80"/>
      </w:pPr>
      <w:r>
        <w:rPr>
          <w:b w:val="0"/>
          <w:i w:val="0"/>
          <w:sz w:val="25"/>
        </w:rPr>
        <w:t>☐  Retirei: notas e frequência individuais</w:t>
      </w:r>
    </w:p>
    <w:p>
      <w:pPr>
        <w:spacing w:after="80"/>
      </w:pPr>
      <w:r>
        <w:rPr>
          <w:b w:val="0"/>
          <w:i w:val="0"/>
          <w:sz w:val="25"/>
        </w:rPr>
        <w:t>☐  Retirei: laudos, diagnósticos e informações de saúde</w:t>
      </w:r>
    </w:p>
    <w:p>
      <w:pPr>
        <w:spacing w:after="80"/>
      </w:pPr>
      <w:r>
        <w:rPr>
          <w:b w:val="0"/>
          <w:i w:val="0"/>
          <w:sz w:val="25"/>
        </w:rPr>
        <w:t>☐  Retirei: informações financeiras de famílias</w:t>
      </w:r>
    </w:p>
    <w:p>
      <w:pPr>
        <w:spacing w:after="80"/>
      </w:pPr>
      <w:r>
        <w:rPr>
          <w:b w:val="0"/>
          <w:i w:val="0"/>
          <w:sz w:val="25"/>
        </w:rPr>
        <w:t>☐  Retirei: relatos sobre a vida familiar</w:t>
      </w:r>
    </w:p>
    <w:p>
      <w:pPr>
        <w:spacing w:after="120"/>
      </w:pPr>
      <w:r>
        <w:rPr>
          <w:b/>
          <w:i w:val="0"/>
          <w:sz w:val="25"/>
        </w:rPr>
        <w:t>Dica:</w:t>
      </w:r>
      <w:r>
        <w:rPr>
          <w:b w:val="0"/>
          <w:i w:val="0"/>
          <w:sz w:val="25"/>
        </w:rPr>
        <w:t xml:space="preserve"> quando precisar manter a referência, substitua por "Estudante A", "Família 1" ou "Professor de Matemática". Prefira documentos institucionais públicos, como a proposta pedagógica publicada no site.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