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aps/>
          <w:color w:val="888888"/>
          <w:sz w:val="20"/>
          <w:szCs w:val="20"/>
        </w:rPr>
        <w:t xml:space="preserve">LDBP DOSSIER</w:t>
      </w:r>
    </w:p>
    <w:p>
      <w:pPr>
        <w:spacing w:after="40" w:before="0"/>
        <w:jc w:val="center"/>
      </w:pPr>
      <w:r>
        <w:rPr>
          <w:rFonts w:ascii="Arial" w:cs="Arial" w:eastAsia="Arial" w:hAnsi="Arial"/>
          <w:b/>
          <w:bCs/>
          <w:color w:val="1F4E79"/>
          <w:sz w:val="52"/>
          <w:szCs w:val="52"/>
        </w:rPr>
        <w:t xml:space="preserve">Reader’s Guide</w:t>
      </w:r>
    </w:p>
    <w:p>
      <w:pPr>
        <w:spacing w:after="40" w:before="0"/>
        <w:jc w:val="center"/>
      </w:pPr>
      <w:r>
        <w:rPr>
          <w:rFonts w:ascii="Arial" w:cs="Arial" w:eastAsia="Arial" w:hAnsi="Arial"/>
          <w:i/>
          <w:iCs/>
          <w:color w:val="2E75B6"/>
          <w:sz w:val="26"/>
          <w:szCs w:val="26"/>
        </w:rPr>
        <w:t xml:space="preserve">What’s Here, What Each Document Does, and How to Read It</w:t>
      </w:r>
    </w:p>
    <w:p>
      <w:pPr>
        <w:spacing w:after="240" w:before="0"/>
        <w:jc w:val="center"/>
      </w:pPr>
      <w:r>
        <w:rPr>
          <w:rFonts w:ascii="Arial" w:cs="Arial" w:eastAsia="Arial" w:hAnsi="Arial"/>
          <w:color w:val="666666"/>
          <w:sz w:val="22"/>
          <w:szCs w:val="22"/>
        </w:rPr>
        <w:t xml:space="preserve">Version 1.0  •  April 2026  •  CC BY 4.0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Author</w:t>
            </w:r>
          </w:p>
        </w:tc>
        <w:tc>
          <w:tcPr>
            <w:tcW w:type="dxa" w:w="6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Mary Ann Belarmino — BelarminoAdvisory.com</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Document Type</w:t>
            </w:r>
          </w:p>
        </w:tc>
        <w:tc>
          <w:tcPr>
            <w:tcW w:type="dxa" w:w="6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Artifact Guide — Reader’s Reference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Applies To</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LDBP Dossier: Whitepaper, API Spec, PRD, Conformance Definition v1.0</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License</w:t>
            </w:r>
          </w:p>
        </w:tc>
        <w:tc>
          <w:tcPr>
            <w:tcW w:type="dxa" w:w="64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CC BY 4.0 — Attribution required on all uses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Last Updated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April 2026</w:t>
            </w:r>
          </w:p>
        </w:tc>
      </w:tr>
    </w:tbl>
    <w:p>
      <w:pPr>
        <w:spacing w:after="400" w:before="4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1. Overview</w:t>
      </w:r>
    </w:p>
    <w:p>
      <w:pPr>
        <w:spacing w:after="100" w:before="60"/>
      </w:pPr>
      <w:r>
        <w:rPr>
          <w:rFonts w:ascii="Arial" w:cs="Arial" w:eastAsia="Arial" w:hAnsi="Arial"/>
          <w:color w:val="1A1A2E"/>
          <w:sz w:val="22"/>
          <w:szCs w:val="22"/>
        </w:rPr>
        <w:t xml:space="preserve">This repository contains the complete LDBP dossier — a set of coordinated artifacts that together define, specify, govern, and document the Least Data Banking Protocol. Each artifact serves a distinct audience and purpose. This guide tells you which document to read based on who you are and what you need.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1"/>
              <w:right w:val="single" w:color="1F4E79" w:sz="1"/>
            </w:tcBorders>
            <w:shd w:fill="EAF0F8"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How to Use This Guide</w:t>
            </w:r>
          </w:p>
          <w:p>
            <w:pPr>
              <w:spacing w:after="40" w:before="0"/>
            </w:pPr>
            <w:r>
              <w:rPr>
                <w:rFonts w:ascii="Arial" w:cs="Arial" w:eastAsia="Arial" w:hAnsi="Arial"/>
                <w:color w:val="444444"/>
                <w:sz w:val="20"/>
                <w:szCs w:val="20"/>
              </w:rPr>
              <w:t xml:space="preserve">If you are new to LDBP: start with the Whitepaper.</w:t>
            </w:r>
          </w:p>
          <w:p>
            <w:pPr>
              <w:spacing w:after="40" w:before="0"/>
            </w:pPr>
            <w:r>
              <w:rPr>
                <w:rFonts w:ascii="Arial" w:cs="Arial" w:eastAsia="Arial" w:hAnsi="Arial"/>
                <w:color w:val="444444"/>
                <w:sz w:val="20"/>
                <w:szCs w:val="20"/>
              </w:rPr>
              <w:t xml:space="preserve">If you are implementing LDBP: read the PRD first, then the API Spec.</w:t>
            </w:r>
          </w:p>
          <w:p>
            <w:pPr>
              <w:spacing w:after="40" w:before="0"/>
            </w:pPr>
            <w:r>
              <w:rPr>
                <w:rFonts w:ascii="Arial" w:cs="Arial" w:eastAsia="Arial" w:hAnsi="Arial"/>
                <w:color w:val="444444"/>
                <w:sz w:val="20"/>
                <w:szCs w:val="20"/>
              </w:rPr>
              <w:t xml:space="preserve">If you are making or reviewing a conformance claim: the Conformance Definition governs.</w:t>
            </w:r>
          </w:p>
          <w:p>
            <w:pPr>
              <w:spacing w:after="40" w:before="0"/>
            </w:pPr>
            <w:r>
              <w:rPr>
                <w:rFonts w:ascii="Arial" w:cs="Arial" w:eastAsia="Arial" w:hAnsi="Arial"/>
                <w:color w:val="444444"/>
                <w:sz w:val="20"/>
                <w:szCs w:val="20"/>
              </w:rPr>
              <w:t xml:space="preserve">If you have a conflict between documents: the Conformance Definition governs on principle matters; the API Spec governs on technical implementation.</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2. Primary Artifacts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6"/>
              <w:left w:val="single" w:color="0D6E6E" w:sz="16"/>
              <w:bottom w:val="none" w:color="0D6E6E" w:sz="0"/>
              <w:right w:val="single" w:color="CCCCCC" w:sz="1"/>
            </w:tcBorders>
            <w:shd w:fill="E8F4F4" w:val="clear"/>
            <w:tcMar>
              <w:top w:type="dxa" w:w="120"/>
              <w:left w:type="dxa" w:w="200"/>
              <w:bottom w:type="dxa" w:w="100"/>
              <w:right w:type="dxa" w:w="200"/>
            </w:tcMar>
          </w:tcPr>
          <w:p>
            <w:pPr>
              <w:spacing w:after="40" w:before="0"/>
            </w:pPr>
            <w:r>
              <w:rPr>
                <w:rFonts w:ascii="Arial" w:cs="Arial" w:eastAsia="Arial" w:hAnsi="Arial"/>
                <w:b/>
                <w:bCs/>
                <w:color w:val="0D6E6E"/>
                <w:sz w:val="26"/>
                <w:szCs w:val="26"/>
              </w:rPr>
              <w:t xml:space="preserve">1. </w:t>
            </w:r>
            <w:r>
              <w:rPr>
                <w:rFonts w:ascii="Arial" w:cs="Arial" w:eastAsia="Arial" w:hAnsi="Arial"/>
                <w:b/>
                <w:bCs/>
                <w:color w:val="1F4E79"/>
                <w:sz w:val="26"/>
                <w:szCs w:val="26"/>
              </w:rPr>
              <w:t xml:space="preserve">Whitepaper</w:t>
            </w:r>
          </w:p>
          <w:p>
            <w:pPr>
              <w:spacing w:after="60" w:before="0"/>
            </w:pPr>
            <w:r>
              <w:rPr>
                <w:rFonts w:ascii="Courier New" w:cs="Courier New" w:eastAsia="Courier New" w:hAnsi="Courier New"/>
                <w:b/>
                <w:bCs/>
                <w:color w:val="0D6E6E"/>
                <w:sz w:val="20"/>
                <w:szCs w:val="20"/>
              </w:rPr>
              <w:t xml:space="preserve">LDBP_Whitepaper.pdf</w:t>
            </w:r>
          </w:p>
          <w:p>
            <w:pPr>
              <w:spacing w:after="60" w:before="0"/>
            </w:pPr>
            <w:r>
              <w:rPr>
                <w:rFonts w:ascii="Arial" w:cs="Arial" w:eastAsia="Arial" w:hAnsi="Arial"/>
                <w:b/>
                <w:bCs/>
                <w:color w:val="444444"/>
                <w:sz w:val="20"/>
                <w:szCs w:val="20"/>
              </w:rPr>
              <w:t xml:space="preserve">• Audience: </w:t>
            </w:r>
            <w:r>
              <w:rPr>
                <w:rFonts w:ascii="Arial" w:cs="Arial" w:eastAsia="Arial" w:hAnsi="Arial"/>
                <w:color w:val="444444"/>
                <w:sz w:val="20"/>
                <w:szCs w:val="20"/>
              </w:rPr>
              <w:t xml:space="preserve">Executives, product leaders, regulators, journalists, researchers, business stakeholders</w:t>
            </w:r>
          </w:p>
          <w:p>
            <w:pPr>
              <w:spacing w:after="0" w:before="0"/>
            </w:pPr>
            <w:r>
              <w:rPr>
                <w:rFonts w:ascii="Arial" w:cs="Arial" w:eastAsia="Arial" w:hAnsi="Arial"/>
                <w:color w:val="444444"/>
                <w:sz w:val="20"/>
                <w:szCs w:val="20"/>
              </w:rPr>
              <w:t xml:space="preserve">The foundational concept document. Explains the problem (all-access banking data extraction), the principle (Boolean verification over data extraction), and the rationale for LDBP’s architecture. Written for a mixed audience — no deep technical background required.</w:t>
            </w:r>
          </w:p>
        </w:tc>
      </w:tr>
    </w:tbl>
    <w:p>
      <w:pPr>
        <w:spacing w:after="40" w:before="40"/>
      </w:pPr>
      <w:r>
        <w:t xml:space="preserve"/>
      </w:r>
    </w:p>
    <w:p>
      <w:pPr>
        <w:spacing w:after="100" w:before="60"/>
      </w:pPr>
      <w:r>
        <w:rPr>
          <w:rFonts w:ascii="Arial" w:cs="Arial" w:eastAsia="Arial" w:hAnsi="Arial"/>
          <w:b/>
          <w:bCs/>
          <w:color w:val="1A1A2E"/>
          <w:sz w:val="22"/>
          <w:szCs w:val="22"/>
        </w:rPr>
        <w:t xml:space="preserve">Read this to understand:</w:t>
      </w:r>
    </w:p>
    <w:p>
      <w:pPr>
        <w:pStyle w:val="ListParagraph"/>
        <w:numPr>
          <w:ilvl w:val="0"/>
          <w:numId w:val="2"/>
        </w:numPr>
        <w:spacing w:after="50" w:before="50"/>
      </w:pPr>
      <w:r>
        <w:rPr>
          <w:rFonts w:ascii="Arial" w:cs="Arial" w:eastAsia="Arial" w:hAnsi="Arial"/>
          <w:color w:val="1A1A2E"/>
          <w:sz w:val="22"/>
          <w:szCs w:val="22"/>
        </w:rPr>
        <w:t xml:space="preserve">Why the all-access banking model is a structural privacy failure</w:t>
      </w:r>
    </w:p>
    <w:p>
      <w:pPr>
        <w:pStyle w:val="ListParagraph"/>
        <w:numPr>
          <w:ilvl w:val="0"/>
          <w:numId w:val="2"/>
        </w:numPr>
        <w:spacing w:after="50" w:before="50"/>
      </w:pPr>
      <w:r>
        <w:rPr>
          <w:rFonts w:ascii="Arial" w:cs="Arial" w:eastAsia="Arial" w:hAnsi="Arial"/>
          <w:color w:val="1A1A2E"/>
          <w:sz w:val="22"/>
          <w:szCs w:val="22"/>
        </w:rPr>
        <w:t xml:space="preserve">What the five Least-Data Principles are and why they exist</w:t>
      </w:r>
    </w:p>
    <w:p>
      <w:pPr>
        <w:pStyle w:val="ListParagraph"/>
        <w:numPr>
          <w:ilvl w:val="0"/>
          <w:numId w:val="2"/>
        </w:numPr>
        <w:spacing w:after="50" w:before="50"/>
      </w:pPr>
      <w:r>
        <w:rPr>
          <w:rFonts w:ascii="Arial" w:cs="Arial" w:eastAsia="Arial" w:hAnsi="Arial"/>
          <w:color w:val="1A1A2E"/>
          <w:sz w:val="22"/>
          <w:szCs w:val="22"/>
        </w:rPr>
        <w:t xml:space="preserve">How LDBP works conceptually — the is_enough check, scoped tokens, the Kill Switch</w:t>
      </w:r>
    </w:p>
    <w:p>
      <w:pPr>
        <w:pStyle w:val="ListParagraph"/>
        <w:numPr>
          <w:ilvl w:val="0"/>
          <w:numId w:val="2"/>
        </w:numPr>
        <w:spacing w:after="50" w:before="50"/>
      </w:pPr>
      <w:r>
        <w:rPr>
          <w:rFonts w:ascii="Arial" w:cs="Arial" w:eastAsia="Arial" w:hAnsi="Arial"/>
          <w:color w:val="1A1A2E"/>
          <w:sz w:val="22"/>
          <w:szCs w:val="22"/>
        </w:rPr>
        <w:t xml:space="preserve">How current apps (Cash App, Stripe, Venmo, Klarna) exploit the all-access model — with documented regulatory findings</w:t>
      </w:r>
    </w:p>
    <w:p>
      <w:pPr>
        <w:pStyle w:val="ListParagraph"/>
        <w:numPr>
          <w:ilvl w:val="0"/>
          <w:numId w:val="2"/>
        </w:numPr>
        <w:spacing w:after="50" w:before="50"/>
      </w:pPr>
      <w:r>
        <w:rPr>
          <w:rFonts w:ascii="Arial" w:cs="Arial" w:eastAsia="Arial" w:hAnsi="Arial"/>
          <w:color w:val="1A1A2E"/>
          <w:sz w:val="22"/>
          <w:szCs w:val="22"/>
        </w:rPr>
        <w:t xml:space="preserve">The fraud detection ownership argument and how LDBP resolves it</w:t>
      </w:r>
    </w:p>
    <w:p>
      <w:pPr>
        <w:pStyle w:val="ListParagraph"/>
        <w:numPr>
          <w:ilvl w:val="0"/>
          <w:numId w:val="2"/>
        </w:numPr>
        <w:spacing w:after="50" w:before="50"/>
      </w:pPr>
      <w:r>
        <w:rPr>
          <w:rFonts w:ascii="Arial" w:cs="Arial" w:eastAsia="Arial" w:hAnsi="Arial"/>
          <w:color w:val="1A1A2E"/>
          <w:sz w:val="22"/>
          <w:szCs w:val="22"/>
        </w:rPr>
        <w:t xml:space="preserve">EU and US regulatory alignment (CFPB 1033, GDPR, PSD3, FiDA, Regulation E)</w:t>
      </w:r>
    </w:p>
    <w:p>
      <w:pPr>
        <w:pStyle w:val="ListParagraph"/>
        <w:numPr>
          <w:ilvl w:val="0"/>
          <w:numId w:val="2"/>
        </w:numPr>
        <w:spacing w:after="50" w:before="50"/>
      </w:pPr>
      <w:r>
        <w:rPr>
          <w:rFonts w:ascii="Arial" w:cs="Arial" w:eastAsia="Arial" w:hAnsi="Arial"/>
          <w:color w:val="1A1A2E"/>
          <w:sz w:val="22"/>
          <w:szCs w:val="22"/>
        </w:rPr>
        <w:t xml:space="preserve">Why LDBP is the correct primitive for AI agents and multi-agent systems</w:t>
      </w:r>
    </w:p>
    <w:p>
      <w:pPr>
        <w:spacing w:after="40" w:before="40"/>
      </w:pPr>
      <w:r>
        <w:t xml:space="preserve"/>
      </w:r>
    </w:p>
    <w:p>
      <w:pPr>
        <w:spacing w:after="100" w:before="60"/>
      </w:pPr>
      <w:r>
        <w:rPr>
          <w:rFonts w:ascii="Arial" w:cs="Arial" w:eastAsia="Arial" w:hAnsi="Arial"/>
          <w:i/>
          <w:iCs/>
          <w:color w:val="666666"/>
          <w:sz w:val="22"/>
          <w:szCs w:val="22"/>
        </w:rPr>
        <w:t xml:space="preserve">Does not cover: Detailed API schemas, implementation requirements, or conformance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6"/>
              <w:bottom w:val="none" w:color="1F4E79" w:sz="0"/>
              <w:right w:val="single" w:color="CCCCCC" w:sz="1"/>
            </w:tcBorders>
            <w:shd w:fill="EAF0F8" w:val="clear"/>
            <w:tcMar>
              <w:top w:type="dxa" w:w="120"/>
              <w:left w:type="dxa" w:w="200"/>
              <w:bottom w:type="dxa" w:w="100"/>
              <w:right w:type="dxa" w:w="200"/>
            </w:tcMar>
          </w:tcPr>
          <w:p>
            <w:pPr>
              <w:spacing w:after="40" w:before="0"/>
            </w:pPr>
            <w:r>
              <w:rPr>
                <w:rFonts w:ascii="Arial" w:cs="Arial" w:eastAsia="Arial" w:hAnsi="Arial"/>
                <w:b/>
                <w:bCs/>
                <w:color w:val="1F4E79"/>
                <w:sz w:val="26"/>
                <w:szCs w:val="26"/>
              </w:rPr>
              <w:t xml:space="preserve">2. </w:t>
            </w:r>
            <w:r>
              <w:rPr>
                <w:rFonts w:ascii="Arial" w:cs="Arial" w:eastAsia="Arial" w:hAnsi="Arial"/>
                <w:b/>
                <w:bCs/>
                <w:color w:val="1F4E79"/>
                <w:sz w:val="26"/>
                <w:szCs w:val="26"/>
              </w:rPr>
              <w:t xml:space="preserve">API Specification</w:t>
            </w:r>
          </w:p>
          <w:p>
            <w:pPr>
              <w:spacing w:after="60" w:before="0"/>
            </w:pPr>
            <w:r>
              <w:rPr>
                <w:rFonts w:ascii="Courier New" w:cs="Courier New" w:eastAsia="Courier New" w:hAnsi="Courier New"/>
                <w:b/>
                <w:bCs/>
                <w:color w:val="1F4E79"/>
                <w:sz w:val="20"/>
                <w:szCs w:val="20"/>
              </w:rPr>
              <w:t xml:space="preserve">ldbp_api.yaml  (interactive: docs/index.html)</w:t>
            </w:r>
          </w:p>
          <w:p>
            <w:pPr>
              <w:spacing w:after="60" w:before="0"/>
            </w:pPr>
            <w:r>
              <w:rPr>
                <w:rFonts w:ascii="Arial" w:cs="Arial" w:eastAsia="Arial" w:hAnsi="Arial"/>
                <w:b/>
                <w:bCs/>
                <w:color w:val="444444"/>
                <w:sz w:val="20"/>
                <w:szCs w:val="20"/>
              </w:rPr>
              <w:t xml:space="preserve">• Audience: </w:t>
            </w:r>
            <w:r>
              <w:rPr>
                <w:rFonts w:ascii="Arial" w:cs="Arial" w:eastAsia="Arial" w:hAnsi="Arial"/>
                <w:color w:val="444444"/>
                <w:sz w:val="20"/>
                <w:szCs w:val="20"/>
              </w:rPr>
              <w:t xml:space="preserve">Bank API architects, Finance App developers, security reviewers, standards bodies</w:t>
            </w:r>
          </w:p>
          <w:p>
            <w:pPr>
              <w:spacing w:after="0" w:before="0"/>
            </w:pPr>
            <w:r>
              <w:rPr>
                <w:rFonts w:ascii="Arial" w:cs="Arial" w:eastAsia="Arial" w:hAnsi="Arial"/>
                <w:color w:val="444444"/>
                <w:sz w:val="20"/>
                <w:szCs w:val="20"/>
              </w:rPr>
              <w:t xml:space="preserve">The machine-readable OpenAPI 3.0 specification defining every LDBP endpoint, request/response schema, error code, security scheme, and behavioral contract. Open docs/index.html in a browser for a formatted, searchable view.</w:t>
            </w:r>
          </w:p>
        </w:tc>
      </w:tr>
    </w:tbl>
    <w:p>
      <w:pPr>
        <w:spacing w:after="40" w:before="40"/>
      </w:pPr>
      <w:r>
        <w:t xml:space="preserve"/>
      </w:r>
    </w:p>
    <w:p>
      <w:pPr>
        <w:spacing w:after="100" w:before="60"/>
      </w:pPr>
      <w:r>
        <w:rPr>
          <w:rFonts w:ascii="Arial" w:cs="Arial" w:eastAsia="Arial" w:hAnsi="Arial"/>
          <w:b/>
          <w:bCs/>
          <w:color w:val="1A1A2E"/>
          <w:sz w:val="22"/>
          <w:szCs w:val="22"/>
        </w:rPr>
        <w:t xml:space="preserve">Endpoint inventory:</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720"/>
        <w:gridCol w:w="720"/>
        <w:gridCol w:w="5400"/>
      </w:tblGrid>
      <w:tr>
        <w:tc>
          <w:tcPr>
            <w:tcW w:type="dxa" w:w="252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Endpoint</w:t>
            </w:r>
          </w:p>
        </w:tc>
        <w:tc>
          <w:tcPr>
            <w:tcW w:type="dxa" w:w="72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Phase</w:t>
            </w:r>
          </w:p>
        </w:tc>
        <w:tc>
          <w:tcPr>
            <w:tcW w:type="dxa" w:w="72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Method</w:t>
            </w:r>
          </w:p>
        </w:tc>
        <w:tc>
          <w:tcPr>
            <w:tcW w:type="dxa" w:w="5400"/>
            <w:tcBorders>
              <w:top w:val="single" w:color="1F4E79" w:sz="1"/>
              <w:left w:val="single" w:color="1F4E79" w:sz="1"/>
              <w:bottom w:val="single" w:color="1F4E79" w:sz="1"/>
              <w:right w:val="single" w:color="1F4E79" w:sz="1"/>
            </w:tcBorders>
            <w:shd w:fill="1F4E79"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Purpose</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/auth/token/exchange</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1</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POST</w:t>
            </w:r>
          </w:p>
        </w:tc>
        <w:tc>
          <w:tcPr>
            <w:tcW w:type="dxa" w:w="540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Issues ScopedAccountToken — user selects one account, bank issues Alias ID (never raw DDA)</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/auth/token/revoke</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POST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Kill Switch — instantly terminates Finance App access</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/balance/verify</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1</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POST</w:t>
            </w:r>
          </w:p>
        </w:tc>
        <w:tc>
          <w:tcPr>
            <w:tcW w:type="dxa" w:w="540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The is_enough check — composite atomic Boolean: balance + fraud in one PEP operation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/transfer/charge</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1</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POST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The only fund movement path — atomic verify+execute, no separate execute step</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/governance/permission-budget</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2</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GET</w:t>
            </w:r>
          </w:p>
        </w:tc>
        <w:tc>
          <w:tcPr>
            <w:tcW w:type="dxa" w:w="540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Returns remaining Virtual Allowance — threshold only, no balance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/batch/balance/verify</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POST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Batch informational verify — no funds moved, per-intent Boolean results</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/batch/transfer/charge</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2</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POST</w:t>
            </w:r>
          </w:p>
        </w:tc>
        <w:tc>
          <w:tcPr>
            <w:tcW w:type="dxa" w:w="540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Batch atomic verify+execute — partial success valid, HTTP 207</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/billing/metering</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2</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GET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Fee attribution for bank basis-point royalties on execution events</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/webhooks/verification.blocked</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2</w:t>
            </w:r>
          </w:p>
        </w:tc>
        <w:tc>
          <w:tcPr>
            <w:tcW w:type="dxa" w:w="72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POST</w:t>
            </w:r>
          </w:p>
        </w:tc>
        <w:tc>
          <w:tcPr>
            <w:tcW w:type="dxa" w:w="5400"/>
            <w:tcBorders>
              <w:top w:val="single" w:color="CCCCCC" w:sz="1"/>
              <w:left w:val="single" w:color="CCCCCC" w:sz="1"/>
              <w:bottom w:val="single" w:color="CCCCCC" w:sz="1"/>
              <w:right w:val="single" w:color="CCCCCC" w:sz="1"/>
            </w:tcBorders>
            <w:shd w:fill="F5F8FC" w:val="clear"/>
            <w:tcMar>
              <w:top w:type="dxa" w:w="80"/>
              <w:left w:type="dxa" w:w="100"/>
              <w:bottom w:type="dxa" w:w="80"/>
              <w:right w:type="dxa" w:w="100"/>
            </w:tcMar>
          </w:tcPr>
          <w:p>
            <w:pPr>
              <w:spacing w:after="0" w:before="0"/>
            </w:pPr>
            <w:r>
              <w:rPr>
                <w:rFonts w:ascii="Arial" w:cs="Arial" w:eastAsia="Arial" w:hAnsi="Arial"/>
                <w:b w:val="false"/>
                <w:bCs w:val="false"/>
                <w:color w:val="1A1A2E"/>
                <w:sz w:val="18"/>
                <w:szCs w:val="18"/>
              </w:rPr>
              <w:t xml:space="preserve">Bank-to-user fraud block notification — never forwarded to Finance App</w:t>
            </w:r>
          </w:p>
        </w:tc>
      </w:tr>
    </w:tbl>
    <w:p>
      <w:pPr>
        <w:spacing w:after="40" w:before="40"/>
      </w:pPr>
      <w:r>
        <w:t xml:space="preserve"/>
      </w:r>
    </w:p>
    <w:p>
      <w:pPr>
        <w:spacing w:after="100" w:before="60"/>
      </w:pPr>
      <w:r>
        <w:rPr>
          <w:rFonts w:ascii="Arial" w:cs="Arial" w:eastAsia="Arial" w:hAnsi="Arial"/>
          <w:i/>
          <w:iCs/>
          <w:color w:val="666666"/>
          <w:sz w:val="22"/>
          <w:szCs w:val="22"/>
        </w:rPr>
        <w:t xml:space="preserve">Does not cover: Business rationale (see Whitepaper) or conformance enforcement criteria (see Conformance Definition).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6"/>
              <w:bottom w:val="none" w:color="2E75B6" w:sz="0"/>
              <w:right w:val="single" w:color="CCCCCC" w:sz="1"/>
            </w:tcBorders>
            <w:shd w:fill="EAF0F8" w:val="clear"/>
            <w:tcMar>
              <w:top w:type="dxa" w:w="120"/>
              <w:left w:type="dxa" w:w="200"/>
              <w:bottom w:type="dxa" w:w="100"/>
              <w:right w:type="dxa" w:w="200"/>
            </w:tcMar>
          </w:tcPr>
          <w:p>
            <w:pPr>
              <w:spacing w:after="40" w:before="0"/>
            </w:pPr>
            <w:r>
              <w:rPr>
                <w:rFonts w:ascii="Arial" w:cs="Arial" w:eastAsia="Arial" w:hAnsi="Arial"/>
                <w:b/>
                <w:bCs/>
                <w:color w:val="2E75B6"/>
                <w:sz w:val="26"/>
                <w:szCs w:val="26"/>
              </w:rPr>
              <w:t xml:space="preserve">3. </w:t>
            </w:r>
            <w:r>
              <w:rPr>
                <w:rFonts w:ascii="Arial" w:cs="Arial" w:eastAsia="Arial" w:hAnsi="Arial"/>
                <w:b/>
                <w:bCs/>
                <w:color w:val="1F4E79"/>
                <w:sz w:val="26"/>
                <w:szCs w:val="26"/>
              </w:rPr>
              <w:t xml:space="preserve">Product Requirements Document (PRD)</w:t>
            </w:r>
          </w:p>
          <w:p>
            <w:pPr>
              <w:spacing w:after="60" w:before="0"/>
            </w:pPr>
            <w:r>
              <w:rPr>
                <w:rFonts w:ascii="Courier New" w:cs="Courier New" w:eastAsia="Courier New" w:hAnsi="Courier New"/>
                <w:b/>
                <w:bCs/>
                <w:color w:val="2E75B6"/>
                <w:sz w:val="20"/>
                <w:szCs w:val="20"/>
              </w:rPr>
              <w:t xml:space="preserve">LDBP_PRD.docx  /  LDBP_PRD.pdf</w:t>
            </w:r>
          </w:p>
          <w:p>
            <w:pPr>
              <w:spacing w:after="60" w:before="0"/>
            </w:pPr>
            <w:r>
              <w:rPr>
                <w:rFonts w:ascii="Arial" w:cs="Arial" w:eastAsia="Arial" w:hAnsi="Arial"/>
                <w:b/>
                <w:bCs/>
                <w:color w:val="444444"/>
                <w:sz w:val="20"/>
                <w:szCs w:val="20"/>
              </w:rPr>
              <w:t xml:space="preserve">• Audience: </w:t>
            </w:r>
            <w:r>
              <w:rPr>
                <w:rFonts w:ascii="Arial" w:cs="Arial" w:eastAsia="Arial" w:hAnsi="Arial"/>
                <w:color w:val="444444"/>
                <w:sz w:val="20"/>
                <w:szCs w:val="20"/>
              </w:rPr>
              <w:t xml:space="preserve">Engineering teams, product managers, technical program managers, compliance officers, bank architects</w:t>
            </w:r>
          </w:p>
          <w:p>
            <w:pPr>
              <w:spacing w:after="0" w:before="0"/>
            </w:pPr>
            <w:r>
              <w:rPr>
                <w:rFonts w:ascii="Arial" w:cs="Arial" w:eastAsia="Arial" w:hAnsi="Arial"/>
                <w:color w:val="444444"/>
                <w:sz w:val="20"/>
                <w:szCs w:val="20"/>
              </w:rPr>
              <w:t xml:space="preserve">The complete product requirements for implementing LDBP. Covers functional requirements, non-functional requirements, use cases, system architecture, fraud detection design, regulatory compliance mapping, business model, and success metrics.</w:t>
            </w:r>
          </w:p>
        </w:tc>
      </w:tr>
    </w:tbl>
    <w:p>
      <w:pPr>
        <w:spacing w:after="40" w:before="40"/>
      </w:pPr>
      <w:r>
        <w:t xml:space="preserve"/>
      </w:r>
    </w:p>
    <w:p>
      <w:pPr>
        <w:spacing w:after="100" w:before="60"/>
      </w:pPr>
      <w:r>
        <w:rPr>
          <w:rFonts w:ascii="Arial" w:cs="Arial" w:eastAsia="Arial" w:hAnsi="Arial"/>
          <w:b/>
          <w:bCs/>
          <w:color w:val="1A1A2E"/>
          <w:sz w:val="22"/>
          <w:szCs w:val="22"/>
        </w:rPr>
        <w:t xml:space="preserve">What it covers:</w:t>
      </w:r>
    </w:p>
    <w:p>
      <w:pPr>
        <w:spacing w:after="3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Section</w:t>
            </w:r>
          </w:p>
        </w:tc>
        <w:tc>
          <w:tcPr>
            <w:tcW w:type="dxa" w:w="6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Contents</w:t>
            </w:r>
          </w:p>
        </w:tc>
      </w:tr>
      <w:tr>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Goals &amp; Non-Goals</w:t>
            </w:r>
          </w:p>
        </w:tc>
        <w:tc>
          <w:tcPr>
            <w:tcW w:type="dxa" w:w="6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What LDBP mandates and what it deliberately leaves to implementers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Personas &amp; Use Cases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5 personas including AI Agent; 5 detailed flows with step-by-step sequences</w:t>
            </w:r>
          </w:p>
        </w:tc>
      </w:tr>
      <w:tr>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Functional Requirements</w:t>
            </w:r>
          </w:p>
        </w:tc>
        <w:tc>
          <w:tcPr>
            <w:tcW w:type="dxa" w:w="6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FR-01 through FR-08 with auditable MUST/MUST NOT requirement IDs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Non-Functional Requirements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12 NFRs covering performance, availability, security, rate limiting, auditability</w:t>
            </w:r>
          </w:p>
        </w:tc>
      </w:tr>
      <w:tr>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API Surface Reference</w:t>
            </w:r>
          </w:p>
        </w:tc>
        <w:tc>
          <w:tcPr>
            <w:tcW w:type="dxa" w:w="6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Endpoint inventory with behavioral contracts and Intent-ID state machine</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System Architecture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Translation &amp; Governance Layer model, 9 components, Phase 1 LOE table</w:t>
            </w:r>
          </w:p>
        </w:tc>
      </w:tr>
      <w:tr>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Fraud Detection Architecture</w:t>
            </w:r>
          </w:p>
        </w:tc>
        <w:tc>
          <w:tcPr>
            <w:tcW w:type="dxa" w:w="6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Ownership model, responsibility boundaries, transition risk mitigations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Regulatory Compliance Mapping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CFPB 1033, GDPR, PSD3, FiDA, Regulation E mapped to LDBP implementations</w:t>
            </w:r>
          </w:p>
        </w:tc>
      </w:tr>
      <w:tr>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Business Model</w:t>
            </w:r>
          </w:p>
        </w:tc>
        <w:tc>
          <w:tcPr>
            <w:tcW w:type="dxa" w:w="6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Bank ROI case, Finance App impact, consumer outcomes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Agentic Governance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Why all-access APIs fail for autonomous agents; LDBP as the correct primitive</w:t>
            </w:r>
          </w:p>
        </w:tc>
      </w:tr>
      <w:tr>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Risks &amp; Mitigations</w:t>
            </w:r>
          </w:p>
        </w:tc>
        <w:tc>
          <w:tcPr>
            <w:tcW w:type="dxa" w:w="6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8 risks with likelihood ratings and mitigations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Success Metrics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9 metrics with zero-tolerance thresholds</w:t>
            </w:r>
          </w:p>
        </w:tc>
      </w:tr>
      <w:tr>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Future Work</w:t>
            </w:r>
          </w:p>
        </w:tc>
        <w:tc>
          <w:tcPr>
            <w:tcW w:type="dxa" w:w="61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6 roadmap items for future LDBP versions</w:t>
            </w:r>
          </w:p>
        </w:tc>
      </w:tr>
    </w:tbl>
    <w:p>
      <w:pPr>
        <w:spacing w:after="40" w:before="40"/>
      </w:pPr>
      <w:r>
        <w:t xml:space="preserve"/>
      </w:r>
    </w:p>
    <w:p>
      <w:pPr>
        <w:spacing w:after="100" w:before="60"/>
      </w:pPr>
      <w:r>
        <w:rPr>
          <w:rFonts w:ascii="Arial" w:cs="Arial" w:eastAsia="Arial" w:hAnsi="Arial"/>
          <w:i/>
          <w:iCs/>
          <w:color w:val="666666"/>
          <w:sz w:val="22"/>
          <w:szCs w:val="22"/>
        </w:rPr>
        <w:t xml:space="preserve">Does not cover: Specific endpoint schemas (see API Spec) or conformance enforcement criteria (see Conformance Definition).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16"/>
              <w:bottom w:val="none" w:color="B45309" w:sz="0"/>
              <w:right w:val="single" w:color="CCCCCC" w:sz="1"/>
            </w:tcBorders>
            <w:shd w:fill="FEF9ED" w:val="clear"/>
            <w:tcMar>
              <w:top w:type="dxa" w:w="120"/>
              <w:left w:type="dxa" w:w="200"/>
              <w:bottom w:type="dxa" w:w="100"/>
              <w:right w:type="dxa" w:w="200"/>
            </w:tcMar>
          </w:tcPr>
          <w:p>
            <w:pPr>
              <w:spacing w:after="40" w:before="0"/>
            </w:pPr>
            <w:r>
              <w:rPr>
                <w:rFonts w:ascii="Arial" w:cs="Arial" w:eastAsia="Arial" w:hAnsi="Arial"/>
                <w:b/>
                <w:bCs/>
                <w:color w:val="B45309"/>
                <w:sz w:val="26"/>
                <w:szCs w:val="26"/>
              </w:rPr>
              <w:t xml:space="preserve">4. </w:t>
            </w:r>
            <w:r>
              <w:rPr>
                <w:rFonts w:ascii="Arial" w:cs="Arial" w:eastAsia="Arial" w:hAnsi="Arial"/>
                <w:b/>
                <w:bCs/>
                <w:color w:val="1F4E79"/>
                <w:sz w:val="26"/>
                <w:szCs w:val="26"/>
              </w:rPr>
              <w:t xml:space="preserve">Conformance Definition</w:t>
            </w:r>
          </w:p>
          <w:p>
            <w:pPr>
              <w:spacing w:after="60" w:before="0"/>
            </w:pPr>
            <w:r>
              <w:rPr>
                <w:rFonts w:ascii="Courier New" w:cs="Courier New" w:eastAsia="Courier New" w:hAnsi="Courier New"/>
                <w:b/>
                <w:bCs/>
                <w:color w:val="B45309"/>
                <w:sz w:val="20"/>
                <w:szCs w:val="20"/>
              </w:rPr>
              <w:t xml:space="preserve">LDBP_CONFORMANCE.md  /  LDBP_Conformance.docx</w:t>
            </w:r>
          </w:p>
          <w:p>
            <w:pPr>
              <w:spacing w:after="60" w:before="0"/>
            </w:pPr>
            <w:r>
              <w:rPr>
                <w:rFonts w:ascii="Arial" w:cs="Arial" w:eastAsia="Arial" w:hAnsi="Arial"/>
                <w:b/>
                <w:bCs/>
                <w:color w:val="444444"/>
                <w:sz w:val="20"/>
                <w:szCs w:val="20"/>
              </w:rPr>
              <w:t xml:space="preserve">• Audience: </w:t>
            </w:r>
            <w:r>
              <w:rPr>
                <w:rFonts w:ascii="Arial" w:cs="Arial" w:eastAsia="Arial" w:hAnsi="Arial"/>
                <w:color w:val="444444"/>
                <w:sz w:val="20"/>
                <w:szCs w:val="20"/>
              </w:rPr>
              <w:t xml:space="preserve">Implementing institutions, compliance officers, legal teams, regulators, auditors, standards bodies</w:t>
            </w:r>
          </w:p>
          <w:p>
            <w:pPr>
              <w:spacing w:after="0" w:before="0"/>
            </w:pPr>
            <w:r>
              <w:rPr>
                <w:rFonts w:ascii="Arial" w:cs="Arial" w:eastAsia="Arial" w:hAnsi="Arial"/>
                <w:color w:val="444444"/>
                <w:sz w:val="20"/>
                <w:szCs w:val="20"/>
              </w:rPr>
              <w:t xml:space="preserve">The authoritative governance document defining what it means to be LDBP-conformant. In the event of conflict with any other LDBP artifact, this document governs.</w:t>
            </w:r>
          </w:p>
        </w:tc>
      </w:tr>
    </w:tbl>
    <w:p>
      <w:pPr>
        <w:spacing w:after="40" w:before="40"/>
      </w:pPr>
      <w:r>
        <w:t xml:space="preserve"/>
      </w:r>
    </w:p>
    <w:p>
      <w:pPr>
        <w:spacing w:after="100" w:before="60"/>
      </w:pPr>
      <w:r>
        <w:rPr>
          <w:rFonts w:ascii="Arial" w:cs="Arial" w:eastAsia="Arial" w:hAnsi="Arial"/>
          <w:b/>
          <w:bCs/>
          <w:color w:val="1A1A2E"/>
          <w:sz w:val="22"/>
          <w:szCs w:val="22"/>
        </w:rPr>
        <w:t xml:space="preserve">What it covers:</w:t>
      </w:r>
    </w:p>
    <w:p>
      <w:pPr>
        <w:pStyle w:val="ListParagraph"/>
        <w:numPr>
          <w:ilvl w:val="0"/>
          <w:numId w:val="2"/>
        </w:numPr>
        <w:spacing w:after="50" w:before="50"/>
      </w:pPr>
      <w:r>
        <w:rPr>
          <w:rFonts w:ascii="Arial" w:cs="Arial" w:eastAsia="Arial" w:hAnsi="Arial"/>
          <w:color w:val="1A1A2E"/>
          <w:sz w:val="22"/>
          <w:szCs w:val="22"/>
        </w:rPr>
        <w:t xml:space="preserve">The five Least-Data Principles stated as architectural invariants</w:t>
      </w:r>
    </w:p>
    <w:p>
      <w:pPr>
        <w:pStyle w:val="ListParagraph"/>
        <w:numPr>
          <w:ilvl w:val="0"/>
          <w:numId w:val="2"/>
        </w:numPr>
        <w:spacing w:after="50" w:before="50"/>
      </w:pPr>
      <w:r>
        <w:rPr>
          <w:rFonts w:ascii="Arial" w:cs="Arial" w:eastAsia="Arial" w:hAnsi="Arial"/>
          <w:color w:val="1A1A2E"/>
          <w:sz w:val="22"/>
          <w:szCs w:val="22"/>
        </w:rPr>
        <w:t xml:space="preserve">Eight conformance categories (C-01 through C-08) with MUST/MUST NOT requirements</w:t>
      </w:r>
    </w:p>
    <w:p>
      <w:pPr>
        <w:pStyle w:val="ListParagraph"/>
        <w:numPr>
          <w:ilvl w:val="0"/>
          <w:numId w:val="2"/>
        </w:numPr>
        <w:spacing w:after="50" w:before="50"/>
      </w:pPr>
      <w:r>
        <w:rPr>
          <w:rFonts w:ascii="Arial" w:cs="Arial" w:eastAsia="Arial" w:hAnsi="Arial"/>
          <w:color w:val="1A1A2E"/>
          <w:sz w:val="22"/>
          <w:szCs w:val="22"/>
        </w:rPr>
        <w:t xml:space="preserve">A Principle Drift taxonomy: 12 explicit patterns that disqualify an LDBP conformance claim</w:t>
      </w:r>
    </w:p>
    <w:p>
      <w:pPr>
        <w:pStyle w:val="ListParagraph"/>
        <w:numPr>
          <w:ilvl w:val="0"/>
          <w:numId w:val="2"/>
        </w:numPr>
        <w:spacing w:after="50" w:before="50"/>
      </w:pPr>
      <w:r>
        <w:rPr>
          <w:rFonts w:ascii="Arial" w:cs="Arial" w:eastAsia="Arial" w:hAnsi="Arial"/>
          <w:color w:val="1A1A2E"/>
          <w:sz w:val="22"/>
          <w:szCs w:val="22"/>
        </w:rPr>
        <w:t xml:space="preserve">The required attribution statement for any public conformance claim</w:t>
      </w:r>
    </w:p>
    <w:p>
      <w:pPr>
        <w:pStyle w:val="ListParagraph"/>
        <w:numPr>
          <w:ilvl w:val="0"/>
          <w:numId w:val="2"/>
        </w:numPr>
        <w:spacing w:after="50" w:before="50"/>
      </w:pPr>
      <w:r>
        <w:rPr>
          <w:rFonts w:ascii="Arial" w:cs="Arial" w:eastAsia="Arial" w:hAnsi="Arial"/>
          <w:color w:val="1A1A2E"/>
          <w:sz w:val="22"/>
          <w:szCs w:val="22"/>
        </w:rPr>
        <w:t xml:space="preserve">Implementation-defined behaviors that do not affect conformance status</w:t>
      </w:r>
    </w:p>
    <w:p>
      <w:pPr>
        <w:pStyle w:val="ListParagraph"/>
        <w:numPr>
          <w:ilvl w:val="0"/>
          <w:numId w:val="2"/>
        </w:numPr>
        <w:spacing w:after="50" w:before="50"/>
      </w:pPr>
      <w:r>
        <w:rPr>
          <w:rFonts w:ascii="Arial" w:cs="Arial" w:eastAsia="Arial" w:hAnsi="Arial"/>
          <w:color w:val="1A1A2E"/>
          <w:sz w:val="22"/>
          <w:szCs w:val="22"/>
        </w:rPr>
        <w:t xml:space="preserve">A permanent constraint: no future version may weaken the five Least-Data Principles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12"/>
              <w:bottom w:val="single" w:color="B45309" w:sz="1"/>
              <w:right w:val="single" w:color="B45309" w:sz="1"/>
            </w:tcBorders>
            <w:shd w:fill="FEF9ED" w:val="clear"/>
            <w:tcMar>
              <w:top w:type="dxa" w:w="120"/>
              <w:left w:type="dxa" w:w="200"/>
              <w:bottom w:type="dxa" w:w="120"/>
              <w:right w:type="dxa" w:w="200"/>
            </w:tcMar>
          </w:tcPr>
          <w:p>
            <w:pPr>
              <w:spacing w:after="60" w:before="0"/>
            </w:pPr>
            <w:r>
              <w:rPr>
                <w:rFonts w:ascii="Arial" w:cs="Arial" w:eastAsia="Arial" w:hAnsi="Arial"/>
                <w:b/>
                <w:bCs/>
                <w:color w:val="B45309"/>
                <w:sz w:val="22"/>
                <w:szCs w:val="22"/>
              </w:rPr>
              <w:t xml:space="preserve">Two Formats — Identical Content</w:t>
            </w:r>
          </w:p>
          <w:p>
            <w:pPr>
              <w:spacing w:after="40" w:before="0"/>
            </w:pPr>
            <w:r>
              <w:rPr>
                <w:rFonts w:ascii="Arial" w:cs="Arial" w:eastAsia="Arial" w:hAnsi="Arial"/>
                <w:color w:val="444444"/>
                <w:sz w:val="20"/>
                <w:szCs w:val="20"/>
              </w:rPr>
              <w:t xml:space="preserve">LDBP_CONFORMANCE.md: Canonical living reference in the GitHub repository root. Version-controlled, diffable, linkable at the line level.</w:t>
            </w:r>
          </w:p>
          <w:p>
            <w:pPr>
              <w:spacing w:after="40" w:before="0"/>
            </w:pPr>
            <w:r>
              <w:rPr>
                <w:rFonts w:ascii="Arial" w:cs="Arial" w:eastAsia="Arial" w:hAnsi="Arial"/>
                <w:color w:val="444444"/>
                <w:sz w:val="20"/>
                <w:szCs w:val="20"/>
              </w:rPr>
              <w:t xml:space="preserve">LDBP_Conformance.docx: Formal distribution artifact. Use for regulatory submissions, vendor contracts, and institutional review.</w:t>
            </w:r>
          </w:p>
        </w:tc>
      </w:tr>
    </w:tbl>
    <w:p>
      <w:pPr>
        <w:spacing w:after="40" w:before="40"/>
      </w:pPr>
      <w:r>
        <w:t xml:space="preserve"/>
      </w:r>
    </w:p>
    <w:p>
      <w:pPr>
        <w:spacing w:after="100" w:before="60"/>
      </w:pPr>
      <w:r>
        <w:rPr>
          <w:rFonts w:ascii="Arial" w:cs="Arial" w:eastAsia="Arial" w:hAnsi="Arial"/>
          <w:i/>
          <w:iCs/>
          <w:color w:val="666666"/>
          <w:sz w:val="22"/>
          <w:szCs w:val="22"/>
        </w:rPr>
        <w:t xml:space="preserve">Does not cover: Implementation guidance (see PRD) or API schemas (see API Spec).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16"/>
              <w:bottom w:val="none" w:color="1A7A4A" w:sz="0"/>
              <w:right w:val="single" w:color="CCCCCC" w:sz="1"/>
            </w:tcBorders>
            <w:shd w:fill="EBF7F0" w:val="clear"/>
            <w:tcMar>
              <w:top w:type="dxa" w:w="120"/>
              <w:left w:type="dxa" w:w="200"/>
              <w:bottom w:type="dxa" w:w="100"/>
              <w:right w:type="dxa" w:w="200"/>
            </w:tcMar>
          </w:tcPr>
          <w:p>
            <w:pPr>
              <w:spacing w:after="40" w:before="0"/>
            </w:pPr>
            <w:r>
              <w:rPr>
                <w:rFonts w:ascii="Arial" w:cs="Arial" w:eastAsia="Arial" w:hAnsi="Arial"/>
                <w:b/>
                <w:bCs/>
                <w:color w:val="1A7A4A"/>
                <w:sz w:val="26"/>
                <w:szCs w:val="26"/>
              </w:rPr>
              <w:t xml:space="preserve">5. </w:t>
            </w:r>
            <w:r>
              <w:rPr>
                <w:rFonts w:ascii="Arial" w:cs="Arial" w:eastAsia="Arial" w:hAnsi="Arial"/>
                <w:b/>
                <w:bCs/>
                <w:color w:val="1F4E79"/>
                <w:sz w:val="26"/>
                <w:szCs w:val="26"/>
              </w:rPr>
              <w:t xml:space="preserve">Reader’s Guide</w:t>
            </w:r>
          </w:p>
          <w:p>
            <w:pPr>
              <w:spacing w:after="60" w:before="0"/>
            </w:pPr>
            <w:r>
              <w:rPr>
                <w:rFonts w:ascii="Courier New" w:cs="Courier New" w:eastAsia="Courier New" w:hAnsi="Courier New"/>
                <w:b/>
                <w:bCs/>
                <w:color w:val="1A7A4A"/>
                <w:sz w:val="20"/>
                <w:szCs w:val="20"/>
              </w:rPr>
              <w:t xml:space="preserve">LDBP_READER_GUIDE.md  /  LDBP_Reader_Guide.docx</w:t>
            </w:r>
          </w:p>
          <w:p>
            <w:pPr>
              <w:spacing w:after="60" w:before="0"/>
            </w:pPr>
            <w:r>
              <w:rPr>
                <w:rFonts w:ascii="Arial" w:cs="Arial" w:eastAsia="Arial" w:hAnsi="Arial"/>
                <w:b/>
                <w:bCs/>
                <w:color w:val="444444"/>
                <w:sz w:val="20"/>
                <w:szCs w:val="20"/>
              </w:rPr>
              <w:t xml:space="preserve">• Audience: </w:t>
            </w:r>
            <w:r>
              <w:rPr>
                <w:rFonts w:ascii="Arial" w:cs="Arial" w:eastAsia="Arial" w:hAnsi="Arial"/>
                <w:color w:val="444444"/>
                <w:sz w:val="20"/>
                <w:szCs w:val="20"/>
              </w:rPr>
              <w:t xml:space="preserve">All readers — this document</w:t>
            </w:r>
          </w:p>
          <w:p>
            <w:pPr>
              <w:spacing w:after="0" w:before="0"/>
            </w:pPr>
            <w:r>
              <w:rPr>
                <w:rFonts w:ascii="Arial" w:cs="Arial" w:eastAsia="Arial" w:hAnsi="Arial"/>
                <w:color w:val="444444"/>
                <w:sz w:val="20"/>
                <w:szCs w:val="20"/>
              </w:rPr>
              <w:t xml:space="preserve">This document. A navigation guide to the LDBP dossier explaining what each artifact is, who it is for, what it covers, and what it does not cover. The starting point for any reader new to the dossier.</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3. Supporting Files</w:t>
      </w:r>
    </w:p>
    <w:p>
      <w:pPr>
        <w:spacing w:after="100" w:before="60"/>
      </w:pPr>
      <w:r>
        <w:rPr>
          <w:rFonts w:ascii="Arial" w:cs="Arial" w:eastAsia="Arial" w:hAnsi="Arial"/>
          <w:color w:val="1A1A2E"/>
          <w:sz w:val="22"/>
          <w:szCs w:val="22"/>
        </w:rPr>
        <w:t xml:space="preserve">The repository also contains the following supporting artifacts. These do not require reading in sequence but are available for specific use cases.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080"/>
        <w:gridCol w:w="5760"/>
      </w:tblGrid>
      <w:tr>
        <w:tc>
          <w:tcPr>
            <w:tcW w:type="dxa" w:w="25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File</w:t>
            </w:r>
          </w:p>
        </w:tc>
        <w:tc>
          <w:tcPr>
            <w:tcW w:type="dxa" w:w="1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Location</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Purpose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E75B6"/>
                <w:sz w:val="18"/>
                <w:szCs w:val="18"/>
              </w:rPr>
              <w:t xml:space="preserve">CONTRIBUTING.md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Root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How to submit amendment proposals, implementation reports, and specification bugs</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Courier New" w:cs="Courier New" w:eastAsia="Courier New" w:hAnsi="Courier New"/>
                <w:color w:val="2E75B6"/>
                <w:sz w:val="18"/>
                <w:szCs w:val="18"/>
              </w:rPr>
              <w:t xml:space="preserve">COMMERCIAL_LICENSING.md</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Root</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Licensing terms, attribution requirements, and commercial inquiry contact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E75B6"/>
                <w:sz w:val="18"/>
                <w:szCs w:val="18"/>
              </w:rPr>
              <w:t xml:space="preserve">LICENSE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Root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CC BY 4.0 license text</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Courier New" w:cs="Courier New" w:eastAsia="Courier New" w:hAnsi="Courier New"/>
                <w:color w:val="2E75B6"/>
                <w:sz w:val="18"/>
                <w:szCs w:val="18"/>
              </w:rPr>
              <w:t xml:space="preserve">index.html</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/docs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ReDoc-rendered interactive API documentation — open in a browser for a formatted, searchable view of the API spec</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E75B6"/>
                <w:sz w:val="18"/>
                <w:szCs w:val="18"/>
              </w:rPr>
              <w:t xml:space="preserve">ldbp_compliance_checklist.md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/specs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Regulatory mapping table and compliance checklist for CFPB 1033, GDPR, PSD3, Regulation E, and EU AI Act</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Courier New" w:cs="Courier New" w:eastAsia="Courier New" w:hAnsi="Courier New"/>
                <w:color w:val="2E75B6"/>
                <w:sz w:val="18"/>
                <w:szCs w:val="18"/>
              </w:rPr>
              <w:t xml:space="preserve">ldbp_sequence_diagrams.md</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/specs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Mermaid sequence diagrams for four key protocol flows: standard payment, fraud flag, Kill Switch revocation, and agentic batch payment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E75B6"/>
                <w:sz w:val="18"/>
                <w:szCs w:val="18"/>
              </w:rPr>
              <w:t xml:space="preserve">ldbp_phase1.feature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1 Gherkin acceptance criteria — 26 scenarios covering account isolation, Boolean verification, atomic execution, rate limiting, notification sovereignty, and Kill Switch</w:t>
            </w:r>
          </w:p>
        </w:tc>
      </w:tr>
      <w:tr>
        <w:tc>
          <w:tcPr>
            <w:tcW w:type="dxa" w:w="25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Courier New" w:cs="Courier New" w:eastAsia="Courier New" w:hAnsi="Courier New"/>
                <w:color w:val="2E75B6"/>
                <w:sz w:val="18"/>
                <w:szCs w:val="18"/>
              </w:rPr>
              <w:t xml:space="preserve">ldbp_phase2.feature</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/features</w:t>
            </w:r>
          </w:p>
        </w:tc>
        <w:tc>
          <w:tcPr>
            <w:tcW w:type="dxa" w:w="5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Phase 2 Gherkin acceptance criteria — 26 scenarios covering Virtual Allowances, batch verification, batch execution, billing metering, and webhooks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Courier New" w:cs="Courier New" w:eastAsia="Courier New" w:hAnsi="Courier New"/>
                <w:color w:val="2E75B6"/>
                <w:sz w:val="18"/>
                <w:szCs w:val="18"/>
              </w:rPr>
              <w:t xml:space="preserve">ldbp_optional.feature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/features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2E"/>
                <w:sz w:val="18"/>
                <w:szCs w:val="18"/>
              </w:rPr>
              <w:t xml:space="preserve">Security, Principle Drift detection, and agentic scenarios — 29 scenarios covering binary search attacks, timing side-channels, multi-agent delegation, and the full Principle Drift taxonomy</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4. How the Artifacts Relate</w:t>
      </w:r>
    </w:p>
    <w:p>
      <w:pPr>
        <w:spacing w:after="100" w:before="60"/>
      </w:pPr>
      <w:r>
        <w:rPr>
          <w:rFonts w:ascii="Arial" w:cs="Arial" w:eastAsia="Arial" w:hAnsi="Arial"/>
          <w:color w:val="1A1A2E"/>
          <w:sz w:val="22"/>
          <w:szCs w:val="22"/>
        </w:rPr>
        <w:t xml:space="preserve">Each artifact serves a distinct layer of the protocol. They are designed to be read together, not in isolation.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1"/>
              <w:right w:val="single" w:color="1F4E79" w:sz="1"/>
            </w:tcBorders>
            <w:shd w:fill="EAF0F8"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Relationship Summary</w:t>
            </w:r>
          </w:p>
          <w:p>
            <w:pPr>
              <w:spacing w:after="40" w:before="0"/>
            </w:pPr>
            <w:r>
              <w:rPr>
                <w:rFonts w:ascii="Arial" w:cs="Arial" w:eastAsia="Arial" w:hAnsi="Arial"/>
                <w:color w:val="444444"/>
                <w:sz w:val="20"/>
                <w:szCs w:val="20"/>
              </w:rPr>
              <w:t xml:space="preserve">WHITEPAPER establishes why LDBP exists and what it does — the argument.</w:t>
            </w:r>
          </w:p>
          <w:p>
            <w:pPr>
              <w:spacing w:after="40" w:before="0"/>
            </w:pPr>
            <w:r>
              <w:rPr>
                <w:rFonts w:ascii="Arial" w:cs="Arial" w:eastAsia="Arial" w:hAnsi="Arial"/>
                <w:color w:val="444444"/>
                <w:sz w:val="20"/>
                <w:szCs w:val="20"/>
              </w:rPr>
              <w:t xml:space="preserve">API SPEC defines what to build — the technical contract.</w:t>
            </w:r>
          </w:p>
          <w:p>
            <w:pPr>
              <w:spacing w:after="40" w:before="0"/>
            </w:pPr>
            <w:r>
              <w:rPr>
                <w:rFonts w:ascii="Arial" w:cs="Arial" w:eastAsia="Arial" w:hAnsi="Arial"/>
                <w:color w:val="444444"/>
                <w:sz w:val="20"/>
                <w:szCs w:val="20"/>
              </w:rPr>
              <w:t xml:space="preserve">PRD defines how to build it — the implementation requirements.</w:t>
            </w:r>
          </w:p>
          <w:p>
            <w:pPr>
              <w:spacing w:after="40" w:before="0"/>
            </w:pPr>
            <w:r>
              <w:rPr>
                <w:rFonts w:ascii="Arial" w:cs="Arial" w:eastAsia="Arial" w:hAnsi="Arial"/>
                <w:color w:val="444444"/>
                <w:sz w:val="20"/>
                <w:szCs w:val="20"/>
              </w:rPr>
              <w:t xml:space="preserve">CONFORMANCE DEFINITION governs what counts as LDBP — the enforcement standard.</w:t>
            </w:r>
          </w:p>
          <w:p>
            <w:pPr>
              <w:spacing w:after="40" w:before="0"/>
            </w:pPr>
            <w:r>
              <w:rPr>
                <w:rFonts w:ascii="Arial" w:cs="Arial" w:eastAsia="Arial" w:hAnsi="Arial"/>
                <w:color w:val="444444"/>
                <w:sz w:val="20"/>
                <w:szCs w:val="20"/>
              </w:rPr>
              <w:t xml:space="preserve">READER’S GUIDE orients all readers — you are here.</w:t>
            </w:r>
          </w:p>
        </w:tc>
      </w:tr>
    </w:tbl>
    <w:p>
      <w:pPr>
        <w:spacing w:after="80" w:before="80"/>
      </w:pPr>
      <w:r>
        <w:t xml:space="preserve"/>
      </w:r>
    </w:p>
    <w:p>
      <w:pPr>
        <w:spacing w:after="100" w:before="60"/>
      </w:pPr>
      <w:r>
        <w:rPr>
          <w:rFonts w:ascii="Arial" w:cs="Arial" w:eastAsia="Arial" w:hAnsi="Arial"/>
          <w:b/>
          <w:bCs/>
          <w:color w:val="1A1A2E"/>
          <w:sz w:val="22"/>
          <w:szCs w:val="22"/>
        </w:rPr>
        <w:t xml:space="preserve">In the event of conflict:</w:t>
      </w:r>
    </w:p>
    <w:p>
      <w:pPr>
        <w:pStyle w:val="ListParagraph"/>
        <w:numPr>
          <w:ilvl w:val="0"/>
          <w:numId w:val="2"/>
        </w:numPr>
        <w:spacing w:after="50" w:before="50"/>
      </w:pPr>
      <w:r>
        <w:rPr>
          <w:rFonts w:ascii="Arial" w:cs="Arial" w:eastAsia="Arial" w:hAnsi="Arial"/>
          <w:color w:val="1A1A2E"/>
          <w:sz w:val="22"/>
          <w:szCs w:val="22"/>
        </w:rPr>
        <w:t xml:space="preserve">On matters of principle compliance: the Conformance Definition governs.</w:t>
      </w:r>
    </w:p>
    <w:p>
      <w:pPr>
        <w:pStyle w:val="ListParagraph"/>
        <w:numPr>
          <w:ilvl w:val="0"/>
          <w:numId w:val="2"/>
        </w:numPr>
        <w:spacing w:after="50" w:before="50"/>
      </w:pPr>
      <w:r>
        <w:rPr>
          <w:rFonts w:ascii="Arial" w:cs="Arial" w:eastAsia="Arial" w:hAnsi="Arial"/>
          <w:color w:val="1A1A2E"/>
          <w:sz w:val="22"/>
          <w:szCs w:val="22"/>
        </w:rPr>
        <w:t xml:space="preserve">On matters of technical implementation: the API Specification governs.</w:t>
      </w:r>
    </w:p>
    <w:p>
      <w:pPr>
        <w:pStyle w:val="ListParagraph"/>
        <w:numPr>
          <w:ilvl w:val="0"/>
          <w:numId w:val="2"/>
        </w:numPr>
        <w:spacing w:after="50" w:before="50"/>
      </w:pPr>
      <w:r>
        <w:rPr>
          <w:rFonts w:ascii="Arial" w:cs="Arial" w:eastAsia="Arial" w:hAnsi="Arial"/>
          <w:color w:val="1A1A2E"/>
          <w:sz w:val="22"/>
          <w:szCs w:val="22"/>
        </w:rPr>
        <w:t xml:space="preserve">On matters of product requirements and architecture: the PRD governs.</w:t>
      </w:r>
    </w:p>
    <w:p>
      <w:pPr>
        <w:pStyle w:val="ListParagraph"/>
        <w:numPr>
          <w:ilvl w:val="0"/>
          <w:numId w:val="2"/>
        </w:numPr>
        <w:spacing w:after="50" w:before="50"/>
      </w:pPr>
      <w:r>
        <w:rPr>
          <w:rFonts w:ascii="Arial" w:cs="Arial" w:eastAsia="Arial" w:hAnsi="Arial"/>
          <w:color w:val="1A1A2E"/>
          <w:sz w:val="22"/>
          <w:szCs w:val="22"/>
        </w:rPr>
        <w:t xml:space="preserve">On matters of rationale and context: the Whitepaper is authoritative on intent.</w:t>
      </w:r>
    </w:p>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5. Reading Order by Role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You Are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Start Here</w:t>
            </w:r>
          </w:p>
        </w:tc>
        <w:tc>
          <w:tcPr>
            <w:tcW w:type="dxa" w:w="43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Then Read</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Executive / Business Stakeholder</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Whitepaper</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PRD § Business Model</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Regulator / Policy Maker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Whitepaper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Conformance Definition, PRD § Regulatory Mapping</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Bank Product Manager</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Whitepaper</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PRD (full document)</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Bank API Architect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PRD § Architecture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API Spec (full)</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Finance App Developer</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API Spec</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Whitepaper § Fraud Detection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Compliance Officer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Conformance Definition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PRD § Regulatory Mapping</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Legal / Contract Review</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Conformance Definition</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Whitepaper</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AI / Agent System Developer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Whitepaper § Agentic Governance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API Spec (batch endpoints)</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Researcher / Academic</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Whitepaper</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Conformance Definition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Standards Body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Conformance Definition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API Spec, PRD</w:t>
            </w:r>
          </w:p>
        </w:tc>
      </w:tr>
      <w:tr>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New to LDBP (any role)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This Reader’s Guide</w:t>
            </w:r>
          </w:p>
        </w:tc>
        <w:tc>
          <w:tcPr>
            <w:tcW w:type="dxa" w:w="43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Whitepaper</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6. Version Reference</w:t>
      </w:r>
    </w:p>
    <w:p>
      <w:pPr>
        <w:spacing w:after="100" w:before="60"/>
      </w:pPr>
      <w:r>
        <w:rPr>
          <w:rFonts w:ascii="Arial" w:cs="Arial" w:eastAsia="Arial" w:hAnsi="Arial"/>
          <w:color w:val="1A1A2E"/>
          <w:sz w:val="22"/>
          <w:szCs w:val="22"/>
        </w:rPr>
        <w:t xml:space="preserve">All artifacts in this dossier are mutually consistent as of April 2026.</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Artifact</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Version / Date</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Whitepaper</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v1.0 RFC — April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API Specification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v1.0.0 — April 2026</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PRD</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v1.0 — April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Conformance Definition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v1.0 — April 2026</w:t>
            </w:r>
          </w:p>
        </w:tc>
      </w:tr>
      <w:tr>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Reader’s Guide</w:t>
            </w:r>
          </w:p>
        </w:tc>
        <w:tc>
          <w:tcPr>
            <w:tcW w:type="dxa" w:w="46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v1.0 — April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1"/>
              <w:right w:val="single" w:color="1F4E79" w:sz="1"/>
            </w:tcBorders>
            <w:shd w:fill="EAF0F8"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Version Consistency</w:t>
            </w:r>
          </w:p>
          <w:p>
            <w:pPr>
              <w:spacing w:after="40" w:before="0"/>
            </w:pPr>
            <w:r>
              <w:rPr>
                <w:rFonts w:ascii="Arial" w:cs="Arial" w:eastAsia="Arial" w:hAnsi="Arial"/>
                <w:color w:val="444444"/>
                <w:sz w:val="20"/>
                <w:szCs w:val="20"/>
              </w:rPr>
              <w:t xml:space="preserve">All five primary artifacts were developed and reviewed together and are mutually consistent as of April 2026.</w:t>
            </w:r>
          </w:p>
          <w:p>
            <w:pPr>
              <w:spacing w:after="40" w:before="0"/>
            </w:pPr>
            <w:r>
              <w:rPr>
                <w:rFonts w:ascii="Arial" w:cs="Arial" w:eastAsia="Arial" w:hAnsi="Arial"/>
                <w:color w:val="444444"/>
                <w:sz w:val="20"/>
                <w:szCs w:val="20"/>
              </w:rPr>
              <w:t xml:space="preserve">When a new version of any artifact is published, this Reader’s Guide will be updated to reflect the change.</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7. What Is Not in This Dossier</w:t>
      </w:r>
    </w:p>
    <w:p>
      <w:pPr>
        <w:spacing w:after="100" w:before="60"/>
      </w:pPr>
      <w:r>
        <w:rPr>
          <w:rFonts w:ascii="Arial" w:cs="Arial" w:eastAsia="Arial" w:hAnsi="Arial"/>
          <w:color w:val="1A1A2E"/>
          <w:sz w:val="22"/>
          <w:szCs w:val="22"/>
        </w:rPr>
        <w:t xml:space="preserve">The following are explicitly designated as future work and are not covered in the current dossier: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Not Covered</w:t>
            </w:r>
          </w:p>
        </w:tc>
        <w:tc>
          <w:tcPr>
            <w:tcW w:type="dxa" w:w="5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Where It Will Be Addressed</w:t>
            </w:r>
          </w:p>
        </w:tc>
      </w:tr>
      <w:tr>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Federated fraud signal standards (bank-to-bank)</w:t>
            </w:r>
          </w:p>
        </w:tc>
        <w:tc>
          <w:tcPr>
            <w:tcW w:type="dxa" w:w="5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Future LDBP version — Fraud Detection Architecture spec</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ZKP integration patterns for attribute verification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Future LDBP version — Cryptographic Threshold Hardening spec</w:t>
            </w:r>
          </w:p>
        </w:tc>
      </w:tr>
      <w:tr>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Cross-institution Alias ID portability</w:t>
            </w:r>
          </w:p>
        </w:tc>
        <w:tc>
          <w:tcPr>
            <w:tcW w:type="dxa" w:w="5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Future LDBP version — Interoperability spec</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BNPL creditworthiness signal (is_debt_ratio_acceptable)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Future LDBP version — Underwriting Signal spec</w:t>
            </w:r>
          </w:p>
        </w:tc>
      </w:tr>
      <w:tr>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Multi-agent delegation chain authorization</w:t>
            </w:r>
          </w:p>
        </w:tc>
        <w:tc>
          <w:tcPr>
            <w:tcW w:type="dxa" w:w="5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Future LDBP version — Agentic Authorization spec</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OpenID Connect integration profile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Future LDBP version — Identity Integration spec</w:t>
            </w:r>
          </w:p>
        </w:tc>
      </w:tr>
      <w:tr>
        <w:tc>
          <w:tcPr>
            <w:tcW w:type="dxa" w:w="3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Reference implementation</w:t>
            </w:r>
          </w:p>
        </w:tc>
        <w:tc>
          <w:tcPr>
            <w:tcW w:type="dxa" w:w="5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Community contribution — see GitHub</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Certification program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9"/>
                <w:szCs w:val="19"/>
              </w:rPr>
              <w:t xml:space="preserve">Post v1.0 — pending trademark and conformance infrastructure</w:t>
            </w:r>
          </w:p>
        </w:tc>
      </w:tr>
    </w:tbl>
    <w:p>
      <w:pPr>
        <w:spacing w:after="120" w:before="120"/>
      </w:pPr>
      <w:r>
        <w:t xml:space="preserve"/>
      </w:r>
    </w:p>
    <w:p>
      <w:pPr>
        <w:pBdr>
          <w:bottom w:val="single" w:color="CCCCCC" w:sz="2" w:space="1"/>
        </w:pBdr>
        <w:spacing w:after="200" w:before="200"/>
      </w:pPr>
      <w:r>
        <w:t xml:space="preserve"/>
      </w:r>
    </w:p>
    <w:p>
      <w:pPr>
        <w:pStyle w:val="Heading1"/>
        <w:pBdr>
          <w:bottom w:val="single" w:color="2E75B6" w:sz="4" w:space="4"/>
        </w:pBdr>
        <w:spacing w:after="160" w:before="400"/>
      </w:pPr>
      <w:r>
        <w:rPr>
          <w:rFonts w:ascii="Arial" w:cs="Arial" w:eastAsia="Arial" w:hAnsi="Arial"/>
          <w:b/>
          <w:bCs/>
          <w:color w:val="1F4E79"/>
          <w:sz w:val="32"/>
          <w:szCs w:val="32"/>
        </w:rPr>
        <w:t xml:space="preserve">Attribution and License</w:t>
      </w:r>
    </w:p>
    <w:p>
      <w:pPr>
        <w:spacing w:after="100" w:before="60"/>
      </w:pPr>
      <w:r>
        <w:rPr>
          <w:rFonts w:ascii="Arial" w:cs="Arial" w:eastAsia="Arial" w:hAnsi="Arial"/>
          <w:b/>
          <w:bCs/>
          <w:color w:val="1A1A2E"/>
          <w:sz w:val="22"/>
          <w:szCs w:val="22"/>
        </w:rPr>
        <w:t xml:space="preserve">© 2026 Mary Ann Belarmino. BelarminoAdvisory.com.</w:t>
      </w:r>
    </w:p>
    <w:p>
      <w:pPr>
        <w:spacing w:after="40" w:before="40"/>
      </w:pPr>
      <w:r>
        <w:t xml:space="preserve"/>
      </w:r>
    </w:p>
    <w:p>
      <w:pPr>
        <w:spacing w:after="100" w:before="60"/>
      </w:pPr>
      <w:r>
        <w:rPr>
          <w:rFonts w:ascii="Arial" w:cs="Arial" w:eastAsia="Arial" w:hAnsi="Arial"/>
          <w:color w:val="1A1A2E"/>
          <w:sz w:val="22"/>
          <w:szCs w:val="22"/>
        </w:rPr>
        <w:t xml:space="preserve">Licensed under Creative Commons Attribution 4.0 International (CC BY 4.0). Attribution to Mary Ann Belarmino and BelarminoAdvisory.com is required on all uses, implementations, derivative works, and references.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2"/>
              <w:bottom w:val="single" w:color="1F4E79" w:sz="1"/>
              <w:right w:val="single" w:color="1F4E79" w:sz="1"/>
            </w:tcBorders>
            <w:shd w:fill="EAF0F8"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Contact</w:t>
            </w:r>
          </w:p>
          <w:p>
            <w:pPr>
              <w:spacing w:after="40" w:before="0"/>
            </w:pPr>
            <w:r>
              <w:rPr>
                <w:rFonts w:ascii="Arial" w:cs="Arial" w:eastAsia="Arial" w:hAnsi="Arial"/>
                <w:color w:val="444444"/>
                <w:sz w:val="20"/>
                <w:szCs w:val="20"/>
              </w:rPr>
              <w:t xml:space="preserve">For commercial licensing inquiries, implementation partnerships, or regulatory consultation: BelarminoAdvisory.com</w:t>
            </w:r>
          </w:p>
          <w:p>
            <w:pPr>
              <w:spacing w:after="40" w:before="0"/>
            </w:pPr>
            <w:r>
              <w:rPr>
                <w:rFonts w:ascii="Arial" w:cs="Arial" w:eastAsia="Arial" w:hAnsi="Arial"/>
                <w:color w:val="444444"/>
                <w:sz w:val="20"/>
                <w:szCs w:val="20"/>
              </w:rPr>
              <w:t xml:space="preserve">For technical contributions, amendment proposals, or implementation reports: LDBP GitHub Repository</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888888"/>
        <w:sz w:val="17"/>
        <w:szCs w:val="17"/>
      </w:rPr>
      <w:t xml:space="preserve">© 2026 Mary Ann Belarmino  |  BelarminoAdvisory.com  |  CC BY 4.0  |  LDBP Reader’s Guide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888888"/>
        <w:sz w:val="18"/>
        <w:szCs w:val="18"/>
      </w:rPr>
      <w:t xml:space="preserve">LDBP Dossier — Reader’s Guide v1.0  |  Mary Ann Belarmino  |  BelarminoAdvisory.com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2026-05-08T03:11:34.943Z</dcterms:created>
  <dcterms:modified xsi:type="dcterms:W3CDTF">2026-05-08T03:11:34.959Z</dcterms:modified>
</cp:coreProperties>
</file>

<file path=docProps/custom.xml><?xml version="1.0" encoding="utf-8"?>
<Properties xmlns="http://schemas.openxmlformats.org/officeDocument/2006/custom-properties" xmlns:vt="http://schemas.openxmlformats.org/officeDocument/2006/docPropsVTypes"/>
</file>