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aps/>
          <w:color w:val="888888"/>
          <w:sz w:val="20"/>
          <w:szCs w:val="20"/>
        </w:rPr>
        <w:t xml:space="preserve">LDBP CONFORMANCE DEFINITION</w:t>
      </w:r>
    </w:p>
    <w:p>
      <w:pPr>
        <w:spacing w:after="40" w:before="0"/>
        <w:jc w:val="center"/>
      </w:pPr>
      <w:r>
        <w:rPr>
          <w:rFonts w:ascii="Arial" w:cs="Arial" w:eastAsia="Arial" w:hAnsi="Arial"/>
          <w:b/>
          <w:bCs/>
          <w:color w:val="1F4E79"/>
          <w:sz w:val="52"/>
          <w:szCs w:val="52"/>
        </w:rPr>
        <w:t xml:space="preserve">Least Data Banking Protocol</w:t>
      </w:r>
    </w:p>
    <w:p>
      <w:pPr>
        <w:spacing w:after="40" w:before="0"/>
        <w:jc w:val="center"/>
      </w:pPr>
      <w:r>
        <w:rPr>
          <w:rFonts w:ascii="Arial" w:cs="Arial" w:eastAsia="Arial" w:hAnsi="Arial"/>
          <w:i/>
          <w:iCs/>
          <w:color w:val="2E75B6"/>
          <w:sz w:val="28"/>
          <w:szCs w:val="28"/>
        </w:rPr>
        <w:t xml:space="preserve">Principle Compliance Standard</w:t>
      </w:r>
    </w:p>
    <w:p>
      <w:pPr>
        <w:spacing w:after="240" w:before="0"/>
        <w:jc w:val="center"/>
      </w:pPr>
      <w:r>
        <w:rPr>
          <w:rFonts w:ascii="Arial" w:cs="Arial" w:eastAsia="Arial" w:hAnsi="Arial"/>
          <w:color w:val="666666"/>
          <w:sz w:val="22"/>
          <w:szCs w:val="22"/>
        </w:rPr>
        <w:t xml:space="preserve">Version 1.0  •  April 2026  •  CC BY 4.0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Author</w:t>
            </w:r>
          </w:p>
        </w:tc>
        <w:tc>
          <w:tcPr>
            <w:tcW w:type="dxa" w:w="7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Mary Ann Belarmino — BelarminoAdvisory.com</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Document Type</w:t>
            </w:r>
          </w:p>
        </w:tc>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LDBP Conformance Definition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Version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1.0 — Active</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License</w:t>
            </w:r>
          </w:p>
        </w:tc>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CC BY 4.0 — Attribution required on all uses and implementations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Canonical Location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LDBP GitHub Repository (LDBP_CONFORMANCE.md)</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Last Updated</w:t>
            </w:r>
          </w:p>
        </w:tc>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April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1"/>
              <w:right w:val="single" w:color="1F4E79" w:sz="1"/>
            </w:tcBorders>
            <w:shd w:fill="EAF0F8"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Governing Document</w:t>
            </w:r>
          </w:p>
          <w:p>
            <w:pPr>
              <w:spacing w:after="40" w:before="0"/>
            </w:pPr>
            <w:r>
              <w:rPr>
                <w:rFonts w:ascii="Arial" w:cs="Arial" w:eastAsia="Arial" w:hAnsi="Arial"/>
                <w:color w:val="444444"/>
                <w:sz w:val="20"/>
                <w:szCs w:val="20"/>
              </w:rPr>
              <w:t xml:space="preserve">This document is the authoritative conformance reference for the Least Data Banking Protocol (LDBP).</w:t>
            </w:r>
          </w:p>
          <w:p>
            <w:pPr>
              <w:spacing w:after="40" w:before="0"/>
            </w:pPr>
            <w:r>
              <w:rPr>
                <w:rFonts w:ascii="Arial" w:cs="Arial" w:eastAsia="Arial" w:hAnsi="Arial"/>
                <w:color w:val="444444"/>
                <w:sz w:val="20"/>
                <w:szCs w:val="20"/>
              </w:rPr>
              <w:t xml:space="preserve">Any implementation claiming LDBP conformance must satisfy every MUST and MUST NOT requirement herein.</w:t>
            </w:r>
          </w:p>
          <w:p>
            <w:pPr>
              <w:spacing w:after="40" w:before="0"/>
            </w:pPr>
            <w:r>
              <w:rPr>
                <w:rFonts w:ascii="Arial" w:cs="Arial" w:eastAsia="Arial" w:hAnsi="Arial"/>
                <w:color w:val="444444"/>
                <w:sz w:val="20"/>
                <w:szCs w:val="20"/>
              </w:rPr>
              <w:t xml:space="preserve">In the event of conflict between this document and any other LDBP artifact, this document governs.</w:t>
            </w:r>
          </w:p>
        </w:tc>
      </w:tr>
    </w:tbl>
    <w:p>
      <w:pPr>
        <w:spacing w:after="400" w:before="4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1. Purpose</w:t>
      </w:r>
    </w:p>
    <w:p>
      <w:pPr>
        <w:spacing w:after="100" w:before="60"/>
      </w:pPr>
      <w:r>
        <w:rPr>
          <w:rFonts w:ascii="Arial" w:cs="Arial" w:eastAsia="Arial" w:hAnsi="Arial"/>
          <w:color w:val="1A1A2E"/>
          <w:sz w:val="22"/>
          <w:szCs w:val="22"/>
        </w:rPr>
        <w:t xml:space="preserve">This document defines what it means to be LDBP-Conformant. Any implementation, derivative work, API specification, product, or service that claims conformance with the Least Data Banking Protocol (LDBP) must satisfy every requirement in this document.</w:t>
      </w:r>
    </w:p>
    <w:p>
      <w:pPr>
        <w:spacing w:after="60" w:before="60"/>
      </w:pPr>
      <w:r>
        <w:t xml:space="preserve"/>
      </w:r>
    </w:p>
    <w:p>
      <w:pPr>
        <w:spacing w:after="100" w:before="60"/>
      </w:pPr>
      <w:r>
        <w:rPr>
          <w:rFonts w:ascii="Arial" w:cs="Arial" w:eastAsia="Arial" w:hAnsi="Arial"/>
          <w:color w:val="1A1A2E"/>
          <w:sz w:val="22"/>
          <w:szCs w:val="22"/>
        </w:rPr>
        <w:t xml:space="preserve">Any implementation that does not satisfy every requirement in this document is not LDBP-conformant, regardless of naming, marketing, or partial compliance. Partial compliance that violates one or more of the Least-Data Principles defined here constitutes Principle Drift and may not be represented as LDBP.</w:t>
      </w:r>
    </w:p>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2. The Five Least-Data Principles</w:t>
      </w:r>
    </w:p>
    <w:p>
      <w:pPr>
        <w:spacing w:after="100" w:before="60"/>
      </w:pPr>
      <w:r>
        <w:rPr>
          <w:rFonts w:ascii="Arial" w:cs="Arial" w:eastAsia="Arial" w:hAnsi="Arial"/>
          <w:color w:val="1A1A2E"/>
          <w:sz w:val="22"/>
          <w:szCs w:val="22"/>
        </w:rPr>
        <w:t xml:space="preserve">LDBP is founded on five Least-Data Principles. These are not implementation guidelines — they are architectural invariants. An implementation that violates any one of them is not LDBP, regardless of how many other requirements it satisfies.</w:t>
      </w:r>
    </w:p>
    <w:p>
      <w:pPr>
        <w:spacing w:after="80" w:before="80"/>
      </w:pPr>
      <w:r>
        <w:t xml:space="preserve"/>
      </w:r>
    </w:p>
    <w:p>
      <w:pPr>
        <w:spacing w:after="80" w:before="160"/>
      </w:pPr>
      <w:r>
        <w:rPr>
          <w:rFonts w:ascii="Arial" w:cs="Arial" w:eastAsia="Arial" w:hAnsi="Arial"/>
          <w:b/>
          <w:bCs/>
          <w:color w:val="0D6E6E"/>
          <w:sz w:val="24"/>
          <w:szCs w:val="24"/>
        </w:rPr>
        <w:t xml:space="preserve">Principle 1 — Data Minimization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12"/>
              <w:bottom w:val="single" w:color="0D6E6E" w:sz="1"/>
              <w:right w:val="single" w:color="0D6E6E" w:sz="1"/>
            </w:tcBorders>
            <w:shd w:fill="E8F4F4" w:val="clear"/>
            <w:tcMar>
              <w:top w:type="dxa" w:w="120"/>
              <w:left w:type="dxa" w:w="200"/>
              <w:bottom w:type="dxa" w:w="120"/>
              <w:right w:type="dxa" w:w="200"/>
            </w:tcMar>
          </w:tcPr>
          <w:p>
            <w:pPr>
              <w:spacing w:after="60" w:before="0"/>
            </w:pPr>
            <w:r>
              <w:rPr>
                <w:rFonts w:ascii="Arial" w:cs="Arial" w:eastAsia="Arial" w:hAnsi="Arial"/>
                <w:b/>
                <w:bCs/>
                <w:color w:val="0D6E6E"/>
                <w:sz w:val="22"/>
                <w:szCs w:val="22"/>
              </w:rPr>
              <w:t xml:space="preserve">P1</w:t>
            </w:r>
          </w:p>
          <w:p>
            <w:pPr>
              <w:spacing w:after="40" w:before="0"/>
            </w:pPr>
            <w:r>
              <w:rPr>
                <w:rFonts w:ascii="Arial" w:cs="Arial" w:eastAsia="Arial" w:hAnsi="Arial"/>
                <w:color w:val="444444"/>
                <w:sz w:val="20"/>
                <w:szCs w:val="20"/>
              </w:rPr>
              <w:t xml:space="preserve">A Finance App must receive only what is necessary to complete the transaction and nothing more.</w:t>
            </w:r>
          </w:p>
          <w:p>
            <w:pPr>
              <w:spacing w:after="40" w:before="0"/>
            </w:pPr>
            <w:r>
              <w:rPr>
                <w:rFonts w:ascii="Arial" w:cs="Arial" w:eastAsia="Arial" w:hAnsi="Arial"/>
                <w:color w:val="444444"/>
                <w:sz w:val="20"/>
                <w:szCs w:val="20"/>
              </w:rPr>
              <w:t xml:space="preserve">The minimum necessary data for a payment transaction is a Boolean: does the account hold sufficient funds for this specific amount? No raw balance, no transaction history, no account metadata, and no financial profile is necessary or permitted.</w:t>
            </w:r>
          </w:p>
        </w:tc>
      </w:tr>
    </w:tbl>
    <w:p>
      <w:pPr>
        <w:spacing w:after="80" w:before="80"/>
      </w:pPr>
      <w:r>
        <w:t xml:space="preserve"/>
      </w:r>
    </w:p>
    <w:p>
      <w:pPr>
        <w:spacing w:after="80" w:before="160"/>
      </w:pPr>
      <w:r>
        <w:rPr>
          <w:rFonts w:ascii="Arial" w:cs="Arial" w:eastAsia="Arial" w:hAnsi="Arial"/>
          <w:b/>
          <w:bCs/>
          <w:color w:val="0D6E6E"/>
          <w:sz w:val="24"/>
          <w:szCs w:val="24"/>
        </w:rPr>
        <w:t xml:space="preserve">Principle 2 — Purpose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12"/>
              <w:bottom w:val="single" w:color="0D6E6E" w:sz="1"/>
              <w:right w:val="single" w:color="0D6E6E" w:sz="1"/>
            </w:tcBorders>
            <w:shd w:fill="E8F4F4" w:val="clear"/>
            <w:tcMar>
              <w:top w:type="dxa" w:w="120"/>
              <w:left w:type="dxa" w:w="200"/>
              <w:bottom w:type="dxa" w:w="120"/>
              <w:right w:type="dxa" w:w="200"/>
            </w:tcMar>
          </w:tcPr>
          <w:p>
            <w:pPr>
              <w:spacing w:after="60" w:before="0"/>
            </w:pPr>
            <w:r>
              <w:rPr>
                <w:rFonts w:ascii="Arial" w:cs="Arial" w:eastAsia="Arial" w:hAnsi="Arial"/>
                <w:b/>
                <w:bCs/>
                <w:color w:val="0D6E6E"/>
                <w:sz w:val="22"/>
                <w:szCs w:val="22"/>
              </w:rPr>
              <w:t xml:space="preserve">P2</w:t>
            </w:r>
          </w:p>
          <w:p>
            <w:pPr>
              <w:spacing w:after="40" w:before="0"/>
            </w:pPr>
            <w:r>
              <w:rPr>
                <w:rFonts w:ascii="Arial" w:cs="Arial" w:eastAsia="Arial" w:hAnsi="Arial"/>
                <w:color w:val="444444"/>
                <w:sz w:val="20"/>
                <w:szCs w:val="20"/>
              </w:rPr>
              <w:t xml:space="preserve">Data verified through LDBP must not be used for any purpose beyond the specific transaction for which it was verified.</w:t>
            </w:r>
          </w:p>
          <w:p>
            <w:pPr>
              <w:spacing w:after="40" w:before="0"/>
            </w:pPr>
            <w:r>
              <w:rPr>
                <w:rFonts w:ascii="Arial" w:cs="Arial" w:eastAsia="Arial" w:hAnsi="Arial"/>
                <w:color w:val="444444"/>
                <w:sz w:val="20"/>
                <w:szCs w:val="20"/>
              </w:rPr>
              <w:t xml:space="preserve">Verification results may not be used for profiling, upselling, credit scoring, data brokerage, or any secondary purpose. The Boolean result is transactional, not informational.</w:t>
            </w:r>
          </w:p>
        </w:tc>
      </w:tr>
    </w:tbl>
    <w:p>
      <w:pPr>
        <w:spacing w:after="80" w:before="80"/>
      </w:pPr>
      <w:r>
        <w:t xml:space="preserve"/>
      </w:r>
    </w:p>
    <w:p>
      <w:pPr>
        <w:spacing w:after="80" w:before="160"/>
      </w:pPr>
      <w:r>
        <w:rPr>
          <w:rFonts w:ascii="Arial" w:cs="Arial" w:eastAsia="Arial" w:hAnsi="Arial"/>
          <w:b/>
          <w:bCs/>
          <w:color w:val="0D6E6E"/>
          <w:sz w:val="24"/>
          <w:szCs w:val="24"/>
        </w:rPr>
        <w:t xml:space="preserve">Principle 3 — Account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12"/>
              <w:bottom w:val="single" w:color="0D6E6E" w:sz="1"/>
              <w:right w:val="single" w:color="0D6E6E" w:sz="1"/>
            </w:tcBorders>
            <w:shd w:fill="E8F4F4" w:val="clear"/>
            <w:tcMar>
              <w:top w:type="dxa" w:w="120"/>
              <w:left w:type="dxa" w:w="200"/>
              <w:bottom w:type="dxa" w:w="120"/>
              <w:right w:type="dxa" w:w="200"/>
            </w:tcMar>
          </w:tcPr>
          <w:p>
            <w:pPr>
              <w:spacing w:after="60" w:before="0"/>
            </w:pPr>
            <w:r>
              <w:rPr>
                <w:rFonts w:ascii="Arial" w:cs="Arial" w:eastAsia="Arial" w:hAnsi="Arial"/>
                <w:b/>
                <w:bCs/>
                <w:color w:val="0D6E6E"/>
                <w:sz w:val="22"/>
                <w:szCs w:val="22"/>
              </w:rPr>
              <w:t xml:space="preserve">P3</w:t>
            </w:r>
          </w:p>
          <w:p>
            <w:pPr>
              <w:spacing w:after="40" w:before="0"/>
            </w:pPr>
            <w:r>
              <w:rPr>
                <w:rFonts w:ascii="Arial" w:cs="Arial" w:eastAsia="Arial" w:hAnsi="Arial"/>
                <w:color w:val="444444"/>
                <w:sz w:val="20"/>
                <w:szCs w:val="20"/>
              </w:rPr>
              <w:t xml:space="preserve">A Finance App must be scoped to exactly one user-selected account.</w:t>
            </w:r>
          </w:p>
          <w:p>
            <w:pPr>
              <w:spacing w:after="40" w:before="0"/>
            </w:pPr>
            <w:r>
              <w:rPr>
                <w:rFonts w:ascii="Arial" w:cs="Arial" w:eastAsia="Arial" w:hAnsi="Arial"/>
                <w:color w:val="444444"/>
                <w:sz w:val="20"/>
                <w:szCs w:val="20"/>
              </w:rPr>
              <w:t xml:space="preserve">The user — not the Finance App — selects the account. The token issued by the bank is mathematically restricted to that account. Access to any other account at the same bank is architecturally impossible, not merely prohibited by policy.</w:t>
            </w:r>
          </w:p>
        </w:tc>
      </w:tr>
    </w:tbl>
    <w:p>
      <w:pPr>
        <w:spacing w:after="80" w:before="80"/>
      </w:pPr>
      <w:r>
        <w:t xml:space="preserve"/>
      </w:r>
    </w:p>
    <w:p>
      <w:pPr>
        <w:spacing w:after="80" w:before="160"/>
      </w:pPr>
      <w:r>
        <w:rPr>
          <w:rFonts w:ascii="Arial" w:cs="Arial" w:eastAsia="Arial" w:hAnsi="Arial"/>
          <w:b/>
          <w:bCs/>
          <w:color w:val="0D6E6E"/>
          <w:sz w:val="24"/>
          <w:szCs w:val="24"/>
        </w:rPr>
        <w:t xml:space="preserve">Principle 4 — Notification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12"/>
              <w:bottom w:val="single" w:color="0D6E6E" w:sz="1"/>
              <w:right w:val="single" w:color="0D6E6E" w:sz="1"/>
            </w:tcBorders>
            <w:shd w:fill="E8F4F4" w:val="clear"/>
            <w:tcMar>
              <w:top w:type="dxa" w:w="120"/>
              <w:left w:type="dxa" w:w="200"/>
              <w:bottom w:type="dxa" w:w="120"/>
              <w:right w:type="dxa" w:w="200"/>
            </w:tcMar>
          </w:tcPr>
          <w:p>
            <w:pPr>
              <w:spacing w:after="60" w:before="0"/>
            </w:pPr>
            <w:r>
              <w:rPr>
                <w:rFonts w:ascii="Arial" w:cs="Arial" w:eastAsia="Arial" w:hAnsi="Arial"/>
                <w:b/>
                <w:bCs/>
                <w:color w:val="0D6E6E"/>
                <w:sz w:val="22"/>
                <w:szCs w:val="22"/>
              </w:rPr>
              <w:t xml:space="preserve">P4</w:t>
            </w:r>
          </w:p>
          <w:p>
            <w:pPr>
              <w:spacing w:after="40" w:before="0"/>
            </w:pPr>
            <w:r>
              <w:rPr>
                <w:rFonts w:ascii="Arial" w:cs="Arial" w:eastAsia="Arial" w:hAnsi="Arial"/>
                <w:color w:val="444444"/>
                <w:sz w:val="20"/>
                <w:szCs w:val="20"/>
              </w:rPr>
              <w:t xml:space="preserve">When a verification is blocked for any reason, the bank notifies the user directly. The Finance App receives only False.</w:t>
            </w:r>
          </w:p>
          <w:p>
            <w:pPr>
              <w:spacing w:after="40" w:before="0"/>
            </w:pPr>
            <w:r>
              <w:rPr>
                <w:rFonts w:ascii="Arial" w:cs="Arial" w:eastAsia="Arial" w:hAnsi="Arial"/>
                <w:color w:val="444444"/>
                <w:sz w:val="20"/>
                <w:szCs w:val="20"/>
              </w:rPr>
              <w:t xml:space="preserve">The user’s right to know what happens on their account belongs to the bank-user relationship, not the bank-app relationship. Reason codes for False responses are strictly internal to the bank and must never be surfaced to the Finance App.</w:t>
            </w:r>
          </w:p>
        </w:tc>
      </w:tr>
    </w:tbl>
    <w:p>
      <w:pPr>
        <w:spacing w:after="80" w:before="80"/>
      </w:pPr>
      <w:r>
        <w:t xml:space="preserve"/>
      </w:r>
    </w:p>
    <w:p>
      <w:pPr>
        <w:spacing w:after="80" w:before="160"/>
      </w:pPr>
      <w:r>
        <w:rPr>
          <w:rFonts w:ascii="Arial" w:cs="Arial" w:eastAsia="Arial" w:hAnsi="Arial"/>
          <w:b/>
          <w:bCs/>
          <w:color w:val="0D6E6E"/>
          <w:sz w:val="24"/>
          <w:szCs w:val="24"/>
        </w:rPr>
        <w:t xml:space="preserve">Principle 5 — User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12"/>
              <w:bottom w:val="single" w:color="0D6E6E" w:sz="1"/>
              <w:right w:val="single" w:color="0D6E6E" w:sz="1"/>
            </w:tcBorders>
            <w:shd w:fill="E8F4F4" w:val="clear"/>
            <w:tcMar>
              <w:top w:type="dxa" w:w="120"/>
              <w:left w:type="dxa" w:w="200"/>
              <w:bottom w:type="dxa" w:w="120"/>
              <w:right w:type="dxa" w:w="200"/>
            </w:tcMar>
          </w:tcPr>
          <w:p>
            <w:pPr>
              <w:spacing w:after="60" w:before="0"/>
            </w:pPr>
            <w:r>
              <w:rPr>
                <w:rFonts w:ascii="Arial" w:cs="Arial" w:eastAsia="Arial" w:hAnsi="Arial"/>
                <w:b/>
                <w:bCs/>
                <w:color w:val="0D6E6E"/>
                <w:sz w:val="22"/>
                <w:szCs w:val="22"/>
              </w:rPr>
              <w:t xml:space="preserve">P5</w:t>
            </w:r>
          </w:p>
          <w:p>
            <w:pPr>
              <w:spacing w:after="40" w:before="0"/>
            </w:pPr>
            <w:r>
              <w:rPr>
                <w:rFonts w:ascii="Arial" w:cs="Arial" w:eastAsia="Arial" w:hAnsi="Arial"/>
                <w:color w:val="444444"/>
                <w:sz w:val="20"/>
                <w:szCs w:val="20"/>
              </w:rPr>
              <w:t xml:space="preserve">The user must be able to revoke a Finance App’s access to their account instantly, unilaterally, and without contacting the Finance App.</w:t>
            </w:r>
          </w:p>
          <w:p>
            <w:pPr>
              <w:spacing w:after="40" w:before="0"/>
            </w:pPr>
            <w:r>
              <w:rPr>
                <w:rFonts w:ascii="Arial" w:cs="Arial" w:eastAsia="Arial" w:hAnsi="Arial"/>
                <w:color w:val="444444"/>
                <w:sz w:val="20"/>
                <w:szCs w:val="20"/>
              </w:rPr>
              <w:t xml:space="preserve">The Kill Switch is not optional. It is a core architectural requirement. A user who cannot revoke access has not meaningfully consented to it.</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3. Conformance Requirements</w:t>
      </w:r>
    </w:p>
    <w:p>
      <w:pPr>
        <w:spacing w:after="100" w:before="60"/>
      </w:pPr>
      <w:r>
        <w:rPr>
          <w:rFonts w:ascii="Arial" w:cs="Arial" w:eastAsia="Arial" w:hAnsi="Arial"/>
          <w:color w:val="1A1A2E"/>
          <w:sz w:val="22"/>
          <w:szCs w:val="22"/>
        </w:rPr>
        <w:t xml:space="preserve">All requirements marked MUST are mandatory for conformance. Requirements marked MUST NOT represent absolute prohibitions — any implementation that violates a MUST NOT requirement is not LDBP-conformant. Requirements marked SHOULD are strongly recommended but do not affect conformance status.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C-01: API Response Data Minimization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C-01.1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/balance/verify and /transfer/charge endpoints MUST return only: is_enough (boolean), intent_id (echoed), and evaluated_at (timestamp) on a False response.</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C-01.2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/transfer/charge endpoint MUST return only: is_enough (boolean), transfer_id (on True only), intent_id, amount, currency, and executed_at on a True response.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C-01.3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No endpoint MUST NOT return a raw account balance to a Finance App under any circumstances, including error responses, debug responses, or partial responses.</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C-01.4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No endpoint MUST NOT return transaction history, account metadata, merchant data, or any financial profile data to a Finance App.</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C-01.5</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Batch endpoints /batch/balance/verify and /batch/transfer/charge MUST apply identical data minimization constraints per intent as their single-transaction equivalents.</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implementation that returns a raw balance, account history, or financial metadata to a Finance App in any response field, header, or side channel is not LDBP-conformant.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C-02: Boolean Verification Integrity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C-02.1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verification result MUST be a single Boolean (is_enough). No numeric, categorical, or multi-valued result is permitted as a substitute.</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C-02.2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Boolean result MUST reflect the composite atomic result of balance verification AND fraud evaluation performed in a single PEP operation. These MUST NOT be separated into sequential steps.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C-02.3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 False response MUST be opaque. All False conditions — insufficient funds, fraud flag, revoked token, rate limit exceeded, weekly cap hit — MUST return responses that are indistinguishable to the Finance App.</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P4</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C-02.4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Reason codes for False responses MUST NOT be surfaced in any API response field, HTTP header, error message, or side channel accessible to the Finance App.</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P4</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C-02.5</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bank MUST NOT implement any mechanism that allows a Finance App to determine the specific reason for a False response through repeated calls, response timing, or any other inference channel.</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P4</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implementation that allows a Finance App to distinguish between a False caused by insufficient funds and a False caused by a fraud flag — through any mechanism — is not LDBP-conformant.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C-03: Account Isolation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C-03.1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ScopedAccountToken MUST be mathematically restricted to exactly one user-selected account.</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C-03.2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account selection MUST be made by the user, not the Finance App. The bank’s authentication flow MUST present the account selector to the user directly.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C-03.3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bank’s PEP MUST architecturally reject any request targeting an account not encoded in the ScopedAccountToken. Policy-based rejection is insufficient — rejection MUST be enforced at the token validation layer.</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C-03.4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raw DDA (Direct Deposit Account) number MUST NOT be transmitted to the Finance App at any point, including during token exchange, verification, or execution.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C-03.5</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bank MUST generate an app-specific Alias ID (opaque token) for each Finance App. A compromised Alias ID for one app MUST NOT provide access via any other app or at any other bank.</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implementation where a Finance App token grants access to more than one account, or where the raw DDA number is transmitted to the Finance App, is not LDBP-conformant.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C-04: Execution Atomicity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C-04.1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/transfer/charge MUST perform balance verification, fraud evaluation, and fund deduction as a single atomic operation within the PEP. No gap between verification and execution is permitted.</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C-04.2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/batch/transfer/charge MUST apply the same atomic execution requirement per intent. Each intent MUST be independently atomically verified and executed.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C-04.3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X-Idempotency-Key MUST be cached for a minimum set duration. A retry with the same key MUST return the original response without re-executing the transfer.</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C-04.4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transfer:charge scope MUST be explicitly present in the ScopedAccountToken. It MUST NOT be implied by balance:verify. The user MUST have explicitly consented to immediate execution at token issuance.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 P5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implementation that separates verification and execution into sequential steps — creating a window between check and debit — is not LDBP-conformant.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C-05: Notification Sovereignty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C-05.1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When /balance/verify or /transfer/charge returns False due to an internal fraud flag, the bank MUST simultaneously deliver a verification.blocked notification directly to the authenticated user.</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P4</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C-05.2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verification.blocked notification MUST be delivered to the user via the bank’s own notification channel. It MUST NOT be delivered to or visible by the Finance App.</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P4</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C-05.3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notification MUST include: event type, timestamp, app alias, intent_id, and human-readable reason from the approved status taxonomy.</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P4</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C-05.4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Approved status taxonomy: declined_insufficient_funds, declined_fraud_review, declined_rate_limit, declined_revoked, declined_cap_exceeded. These codes MUST NOT appear in any API response to Finance Apps.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P4</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C-05.5</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 False result due to insufficient funds MUST NOT trigger a verification.blocked notification. Insufficient funds is a normal payment outcome, not a security event.</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P4</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C-05.6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bank MUST send a Real-time Consent Receipt to the user after every successful transfer, detailing amount, Finance App alias, and Consent Policy used.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P4</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implementation that notifies the Finance App of the reason for a False response, or that routes security notifications through the Finance App to the user, is not LDBP-conformant.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C-06: User Control and Revocation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C-06.1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bank MUST provide a user-accessible Kill Switch portal listing all active ScopedAccountTokens by Finance App alias.</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P5</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C-06.2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 single user action in the Kill Switch portal MUST immediately invalidate the ScopedAccountToken and terminate the Finance App’s access.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P5</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C-06.3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Token invalidation MUST be instantaneous. There MUST NOT be a grace period, delay, or notification to the Finance App before access is terminated.</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P5</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C-06.4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Kill Switch portal MUST include a transaction log with human-readable status entries for each verification and transfer event, visible to the authenticated user only.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P5</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C-06.5</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The user MUST be able to revoke access without contacting the Finance App, the bank’s customer service, or any third party.</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P5</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implementation where revoking a Finance App’s access requires more than a single user action, requires contacting the Finance App or bank support, or has any delay greater than one second is not LDBP-conformant.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C-07: Intent-ID Integrity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C-07.1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Each Intent-ID MUST be single-use. An Intent-ID consumed by a successful /transfer/charge call MUST be permanently invalidated.</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C-07.2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 False response from /balance/verify or /transfer/charge MUST immediately invalidate the Intent-ID. The Finance App MUST generate a new Intent-ID for any retry.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C-07.3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Reuse of a consumed or invalidated Intent-ID MUST be rejected with a 409 error. The bank MUST NOT execute a transfer against a reused Intent-ID under any circumstances.</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implementation that allows Intent-ID reuse, or that permits transfer execution without a valid unused Intent-ID, is not LDBP-conformant.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C-08: Batch Operations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000"/>
        <w:gridCol w:w="128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ID</w:t>
            </w:r>
          </w:p>
        </w:tc>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Requirement</w:t>
            </w:r>
          </w:p>
        </w:tc>
        <w:tc>
          <w:tcPr>
            <w:tcW w:type="dxa" w:w="1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Principle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C-08.1</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/batch/balance/verify is informational only. It MUST NOT move, earmark, or reserve funds.</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C-08.2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/batch/transfer/charge MUST perform atomic verify+execute per intent. There MUST NOT be a verify-execute gap.</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C-08.3</w:t>
            </w:r>
          </w:p>
        </w:tc>
        <w:tc>
          <w:tcPr>
            <w:tcW w:type="dxa" w:w="7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 standalone /batch/transfer/execute endpoint MUST NOT be implemented. This pattern creates a race condition gap that violates atomicity and is classified as Principle Drift.</w:t>
            </w:r>
          </w:p>
        </w:tc>
        <w:tc>
          <w:tcPr>
            <w:tcW w:type="dxa" w:w="1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C-08.4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Partial success in /batch/transfer/charge is valid. A False result on one intent MUST NOT block execution of other intents in the batch.</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Principle Drift Indicator</w:t>
            </w:r>
          </w:p>
          <w:p>
            <w:pPr>
              <w:spacing w:after="40" w:before="0"/>
            </w:pPr>
            <w:r>
              <w:rPr>
                <w:rFonts w:ascii="Arial" w:cs="Arial" w:eastAsia="Arial" w:hAnsi="Arial"/>
                <w:color w:val="444444"/>
                <w:sz w:val="20"/>
                <w:szCs w:val="20"/>
              </w:rPr>
              <w:t xml:space="preserve">Any batch implementation that separates verification from execution — including any variant of /batch/transfer/execute — is not LDBP-conformant.</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4. Principle Drift Taxonomy</w:t>
      </w:r>
    </w:p>
    <w:p>
      <w:pPr>
        <w:spacing w:after="100" w:before="60"/>
      </w:pPr>
      <w:r>
        <w:rPr>
          <w:rFonts w:ascii="Arial" w:cs="Arial" w:eastAsia="Arial" w:hAnsi="Arial"/>
          <w:color w:val="1A1A2E"/>
          <w:sz w:val="22"/>
          <w:szCs w:val="22"/>
        </w:rPr>
        <w:t xml:space="preserve">Principle Drift is any modification, extension, or implementation that violates one or more Least-Data Principles, regardless of intent, framing, or partial compliance. The following are explicit examples of Principle Drift. This list is illustrative, not exhaustive.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Drift Pattern</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Violated Principle</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Classification</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Returning raw balance alongside or instead of Boolean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 Data Minimization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Adding reason codes to False responses visible to Finance App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P4 — Data Minimization, Notification Sovereignty</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Exposing transaction history via any endpoint to Finance App</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 Data Minimization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Token that grants access to more than one account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 — Account Isolation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Transmitting raw DDA number to Finance App</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 — Account Isolation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Separating balance check and fraud evaluation into sequential calls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 Data Minimization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Implementing /batch/transfer/execute as a separate execution endpoint</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 Data Minimization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Notifying Finance App of fraud flag reason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P4 — Notification Sovereignty</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Kill Switch with delay, grace period, or app notification before revocation</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P5 — User Control</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Account selector controlled by Finance App rather than user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P3 — Account Isolation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Using verification results for profiling or secondary purposes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P2 — Purpose Limitation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Balance verification without simultaneous fraud evaluation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P1 — Data Minimization</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Principle Drift</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5. Claiming LDBP Conformance</w:t>
      </w:r>
    </w:p>
    <w:p>
      <w:pPr>
        <w:spacing w:after="100" w:before="60"/>
      </w:pPr>
      <w:r>
        <w:rPr>
          <w:rFonts w:ascii="Arial" w:cs="Arial" w:eastAsia="Arial" w:hAnsi="Arial"/>
          <w:color w:val="1A1A2E"/>
          <w:sz w:val="22"/>
          <w:szCs w:val="22"/>
        </w:rPr>
        <w:t xml:space="preserve">An implementation may claim LDBP conformance only if it satisfies every MUST and MUST NOT requirement in sections C-01 through C-08.</w:t>
      </w:r>
    </w:p>
    <w:p>
      <w:pPr>
        <w:spacing w:after="60" w:before="60"/>
      </w:pPr>
      <w:r>
        <w:t xml:space="preserve"/>
      </w:r>
    </w:p>
    <w:p>
      <w:pPr>
        <w:spacing w:after="100" w:before="60"/>
      </w:pPr>
      <w:r>
        <w:rPr>
          <w:rFonts w:ascii="Arial" w:cs="Arial" w:eastAsia="Arial" w:hAnsi="Arial"/>
          <w:color w:val="1A1A2E"/>
          <w:sz w:val="22"/>
          <w:szCs w:val="22"/>
        </w:rPr>
        <w:t xml:space="preserve">When claiming conformance, the implementing institution MUST include the following attribution statement in all relevant documentation, API specifications, developer portals, and regulatory filings: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single" w:color="1A7A4A" w:sz="12"/>
              <w:bottom w:val="single" w:color="1A7A4A" w:sz="1"/>
              <w:right w:val="single" w:color="1A7A4A" w:sz="1"/>
            </w:tcBorders>
            <w:shd w:fill="EBF7F0" w:val="clear"/>
            <w:tcMar>
              <w:top w:type="dxa" w:w="120"/>
              <w:left w:type="dxa" w:w="200"/>
              <w:bottom w:type="dxa" w:w="120"/>
              <w:right w:type="dxa" w:w="200"/>
            </w:tcMar>
          </w:tcPr>
          <w:p>
            <w:pPr>
              <w:spacing w:after="60" w:before="0"/>
            </w:pPr>
            <w:r>
              <w:rPr>
                <w:rFonts w:ascii="Arial" w:cs="Arial" w:eastAsia="Arial" w:hAnsi="Arial"/>
                <w:b/>
                <w:bCs/>
                <w:color w:val="1A7A4A"/>
                <w:sz w:val="22"/>
                <w:szCs w:val="22"/>
              </w:rPr>
              <w:t xml:space="preserve">Required Attribution Statement</w:t>
            </w:r>
          </w:p>
          <w:p>
            <w:pPr>
              <w:spacing w:after="40" w:before="0"/>
            </w:pPr>
            <w:r>
              <w:rPr>
                <w:rFonts w:ascii="Arial" w:cs="Arial" w:eastAsia="Arial" w:hAnsi="Arial"/>
                <w:color w:val="444444"/>
                <w:sz w:val="20"/>
                <w:szCs w:val="20"/>
              </w:rPr>
              <w:t xml:space="preserve">“This implementation conforms to the Least Data Banking Protocol (LDBP) as defined by Mary Ann Belarmino (BelarminoAdvisory.com). LDBP Conformance Definition v1.0. Licensed under CC BY 4.0.”</w:t>
            </w:r>
          </w:p>
        </w:tc>
      </w:tr>
    </w:tbl>
    <w:p>
      <w:pPr>
        <w:spacing w:after="80" w:before="80"/>
      </w:pPr>
      <w:r>
        <w:t xml:space="preserve"/>
      </w:r>
    </w:p>
    <w:p>
      <w:pPr>
        <w:spacing w:after="100" w:before="60"/>
      </w:pPr>
      <w:r>
        <w:rPr>
          <w:rFonts w:ascii="Arial" w:cs="Arial" w:eastAsia="Arial" w:hAnsi="Arial"/>
          <w:color w:val="1A1A2E"/>
          <w:sz w:val="22"/>
          <w:szCs w:val="22"/>
        </w:rPr>
        <w:t xml:space="preserve">Partial conformance claims — for example, “LDBP Phase 1 Conformant” — are permitted only for implementations that satisfy all requirements applicable to Phase 1 endpoints and include the following qualifier in all claims: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1"/>
              <w:right w:val="single" w:color="1F4E79" w:sz="1"/>
            </w:tcBorders>
            <w:shd w:fill="EAF0F8"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Phase 1 Partial Conformance Qualifier</w:t>
            </w:r>
          </w:p>
          <w:p>
            <w:pPr>
              <w:spacing w:after="40" w:before="0"/>
            </w:pPr>
            <w:r>
              <w:rPr>
                <w:rFonts w:ascii="Arial" w:cs="Arial" w:eastAsia="Arial" w:hAnsi="Arial"/>
                <w:color w:val="444444"/>
                <w:sz w:val="20"/>
                <w:szCs w:val="20"/>
              </w:rPr>
              <w:t xml:space="preserve">“Phase 1 LDBP Conformant — Phase 2 features not implemented.”</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6. Implementation-Defined Behaviors</w:t>
      </w:r>
    </w:p>
    <w:p>
      <w:pPr>
        <w:spacing w:after="100" w:before="60"/>
      </w:pPr>
      <w:r>
        <w:rPr>
          <w:rFonts w:ascii="Arial" w:cs="Arial" w:eastAsia="Arial" w:hAnsi="Arial"/>
          <w:color w:val="1A1A2E"/>
          <w:sz w:val="22"/>
          <w:szCs w:val="22"/>
        </w:rPr>
        <w:t xml:space="preserve">The following behaviors are deliberately left to the implementing institution and do not affect conformance status:</w:t>
      </w:r>
    </w:p>
    <w:p>
      <w:pPr>
        <w:spacing w:after="60" w:before="60"/>
      </w:pPr>
      <w:r>
        <w:t xml:space="preserve"/>
      </w:r>
    </w:p>
    <w:p>
      <w:pPr>
        <w:pStyle w:val="ListParagraph"/>
        <w:numPr>
          <w:ilvl w:val="0"/>
          <w:numId w:val="2"/>
        </w:numPr>
        <w:spacing w:after="50" w:before="50"/>
      </w:pPr>
      <w:r>
        <w:rPr>
          <w:rFonts w:ascii="Arial" w:cs="Arial" w:eastAsia="Arial" w:hAnsi="Arial"/>
          <w:color w:val="1A1A2E"/>
          <w:sz w:val="22"/>
          <w:szCs w:val="22"/>
        </w:rPr>
        <w:t xml:space="preserve">Fraud scoring model, training data, and internal flag thresholds</w:t>
      </w:r>
    </w:p>
    <w:p>
      <w:pPr>
        <w:pStyle w:val="ListParagraph"/>
        <w:numPr>
          <w:ilvl w:val="0"/>
          <w:numId w:val="2"/>
        </w:numPr>
        <w:spacing w:after="50" w:before="50"/>
      </w:pPr>
      <w:r>
        <w:rPr>
          <w:rFonts w:ascii="Arial" w:cs="Arial" w:eastAsia="Arial" w:hAnsi="Arial"/>
          <w:color w:val="1A1A2E"/>
          <w:sz w:val="22"/>
          <w:szCs w:val="22"/>
        </w:rPr>
        <w:t xml:space="preserve">Consumer notification delivery channel (push notification, SMS, email)</w:t>
      </w:r>
    </w:p>
    <w:p>
      <w:pPr>
        <w:pStyle w:val="ListParagraph"/>
        <w:numPr>
          <w:ilvl w:val="0"/>
          <w:numId w:val="2"/>
        </w:numPr>
        <w:spacing w:after="50" w:before="50"/>
      </w:pPr>
      <w:r>
        <w:rPr>
          <w:rFonts w:ascii="Arial" w:cs="Arial" w:eastAsia="Arial" w:hAnsi="Arial"/>
          <w:color w:val="1A1A2E"/>
          <w:sz w:val="22"/>
          <w:szCs w:val="22"/>
        </w:rPr>
        <w:t xml:space="preserve">Attribute verification method (internal comparison logic vs. Zero-Knowledge Proofs)</w:t>
      </w:r>
    </w:p>
    <w:p>
      <w:pPr>
        <w:pStyle w:val="ListParagraph"/>
        <w:numPr>
          <w:ilvl w:val="0"/>
          <w:numId w:val="2"/>
        </w:numPr>
        <w:spacing w:after="50" w:before="50"/>
      </w:pPr>
      <w:r>
        <w:rPr>
          <w:rFonts w:ascii="Arial" w:cs="Arial" w:eastAsia="Arial" w:hAnsi="Arial"/>
          <w:color w:val="1A1A2E"/>
          <w:sz w:val="22"/>
          <w:szCs w:val="22"/>
        </w:rPr>
        <w:t xml:space="preserve">Weekly/monthly Virtual Allowance cap values (Phase 2)</w:t>
      </w:r>
    </w:p>
    <w:p>
      <w:pPr>
        <w:pStyle w:val="ListParagraph"/>
        <w:numPr>
          <w:ilvl w:val="0"/>
          <w:numId w:val="2"/>
        </w:numPr>
        <w:spacing w:after="50" w:before="50"/>
      </w:pPr>
      <w:r>
        <w:rPr>
          <w:rFonts w:ascii="Arial" w:cs="Arial" w:eastAsia="Arial" w:hAnsi="Arial"/>
          <w:color w:val="1A1A2E"/>
          <w:sz w:val="22"/>
          <w:szCs w:val="22"/>
        </w:rPr>
        <w:t xml:space="preserve">mTLS certificate authority, rotation policy, and revocation mechanism</w:t>
      </w:r>
    </w:p>
    <w:p>
      <w:pPr>
        <w:pStyle w:val="ListParagraph"/>
        <w:numPr>
          <w:ilvl w:val="0"/>
          <w:numId w:val="2"/>
        </w:numPr>
        <w:spacing w:after="50" w:before="50"/>
      </w:pPr>
      <w:r>
        <w:rPr>
          <w:rFonts w:ascii="Arial" w:cs="Arial" w:eastAsia="Arial" w:hAnsi="Arial"/>
          <w:color w:val="1A1A2E"/>
          <w:sz w:val="22"/>
          <w:szCs w:val="22"/>
        </w:rPr>
        <w:t xml:space="preserve">Billing basis-point rate per execution event; whether verification calls are billed is institution-defined</w:t>
      </w:r>
    </w:p>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7. Versioning and Amendment</w:t>
      </w:r>
    </w:p>
    <w:p>
      <w:pPr>
        <w:spacing w:after="100" w:before="60"/>
      </w:pPr>
      <w:r>
        <w:rPr>
          <w:rFonts w:ascii="Arial" w:cs="Arial" w:eastAsia="Arial" w:hAnsi="Arial"/>
          <w:color w:val="1A1A2E"/>
          <w:sz w:val="22"/>
          <w:szCs w:val="22"/>
        </w:rPr>
        <w:t xml:space="preserve">This document is versioned. Conformance requirements may be amended in future versions. An implementation conformant with a prior version remains conformant with that version. Conformance claims MUST specify the version of this document against which conformance is asserted.</w:t>
      </w:r>
    </w:p>
    <w:p>
      <w:pPr>
        <w:spacing w:after="60" w:before="60"/>
      </w:pPr>
      <w:r>
        <w:t xml:space="preserve"/>
      </w:r>
    </w:p>
    <w:p>
      <w:pPr>
        <w:spacing w:after="100" w:before="60"/>
      </w:pPr>
      <w:r>
        <w:rPr>
          <w:rFonts w:ascii="Arial" w:cs="Arial" w:eastAsia="Arial" w:hAnsi="Arial"/>
          <w:color w:val="1A1A2E"/>
          <w:sz w:val="22"/>
          <w:szCs w:val="22"/>
        </w:rPr>
        <w:t xml:space="preserve">Amendment proposals may be submitted via the LDBP GitHub repository. Amendments that weaken any Least-Data Principle, expand data exposure to Finance Apps, or reduce user control rights will not be accepted regardless of commercial rationale. This constraint is permanent and applies to all future versions of this document.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single" w:color="B45309" w:sz="1"/>
              <w:right w:val="single" w:color="B45309" w:sz="1"/>
            </w:tcBorders>
            <w:shd w:fill="FEF9ED" w:val="clear"/>
            <w:tcMar>
              <w:top w:type="dxa" w:w="120"/>
              <w:left w:type="dxa" w:w="200"/>
              <w:bottom w:type="dxa" w:w="120"/>
              <w:right w:type="dxa" w:w="200"/>
            </w:tcMar>
          </w:tcPr>
          <w:p>
            <w:pPr>
              <w:spacing w:after="60" w:before="0"/>
            </w:pPr>
            <w:r>
              <w:rPr>
                <w:rFonts w:ascii="Arial" w:cs="Arial" w:eastAsia="Arial" w:hAnsi="Arial"/>
                <w:b/>
                <w:bCs/>
                <w:color w:val="B45309"/>
                <w:sz w:val="22"/>
                <w:szCs w:val="22"/>
              </w:rPr>
              <w:t xml:space="preserve">Permanent Constraint</w:t>
            </w:r>
          </w:p>
          <w:p>
            <w:pPr>
              <w:spacing w:after="40" w:before="0"/>
            </w:pPr>
            <w:r>
              <w:rPr>
                <w:rFonts w:ascii="Arial" w:cs="Arial" w:eastAsia="Arial" w:hAnsi="Arial"/>
                <w:color w:val="444444"/>
                <w:sz w:val="20"/>
                <w:szCs w:val="20"/>
              </w:rPr>
              <w:t xml:space="preserve">No future version of this Conformance Definition may reduce the five Least-Data Principles, expand permissible data disclosure to Finance Apps, or weaken user revocation rights.</w:t>
            </w:r>
          </w:p>
          <w:p>
            <w:pPr>
              <w:spacing w:after="40" w:before="0"/>
            </w:pPr>
            <w:r>
              <w:rPr>
                <w:rFonts w:ascii="Arial" w:cs="Arial" w:eastAsia="Arial" w:hAnsi="Arial"/>
                <w:color w:val="444444"/>
                <w:sz w:val="20"/>
                <w:szCs w:val="20"/>
              </w:rPr>
              <w:t xml:space="preserve">Any proposal that does so is not an amendment to LDBP — it is a different protocol.</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8. Document History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Version / Date</w:t>
            </w:r>
          </w:p>
        </w:tc>
        <w:tc>
          <w:tcPr>
            <w:tcW w:type="dxa" w:w="7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Summary</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v1.0 — April 2026</w:t>
            </w:r>
          </w:p>
        </w:tc>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Initial release. Five Least-Data Principles. Eight conformance categories (C-01 through C-08). Principle Drift taxonomy with 12 explicit drift patterns. Conformance claim requirements and required attribution statement. Implementation-Defined Behaviors updated to reflect institution-defined billing for verification calls.</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Attribution and License</w:t>
      </w:r>
    </w:p>
    <w:p>
      <w:pPr>
        <w:spacing w:after="100" w:before="60"/>
      </w:pPr>
      <w:r>
        <w:rPr>
          <w:rFonts w:ascii="Arial" w:cs="Arial" w:eastAsia="Arial" w:hAnsi="Arial"/>
          <w:b/>
          <w:bCs/>
          <w:color w:val="1A1A2E"/>
          <w:sz w:val="22"/>
          <w:szCs w:val="22"/>
        </w:rPr>
        <w:t xml:space="preserve">© 2026 Mary Ann Belarmino. BelarminoAdvisory.com.</w:t>
      </w:r>
    </w:p>
    <w:p>
      <w:pPr>
        <w:spacing w:after="40" w:before="40"/>
      </w:pPr>
      <w:r>
        <w:t xml:space="preserve"/>
      </w:r>
    </w:p>
    <w:p>
      <w:pPr>
        <w:spacing w:after="100" w:before="60"/>
      </w:pPr>
      <w:r>
        <w:rPr>
          <w:rFonts w:ascii="Arial" w:cs="Arial" w:eastAsia="Arial" w:hAnsi="Arial"/>
          <w:color w:val="1A1A2E"/>
          <w:sz w:val="22"/>
          <w:szCs w:val="22"/>
        </w:rPr>
        <w:t xml:space="preserve">Licensed under Creative Commons Attribution 4.0 International (CC BY 4.0). You are free to use, implement, reference, and build upon this document for any purpose, provided that attribution to Mary Ann Belarmino and BelarminoAdvisory.com is clearly stated in all uses, implementations, derivative works, and references.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1"/>
              <w:right w:val="single" w:color="1F4E79" w:sz="1"/>
            </w:tcBorders>
            <w:shd w:fill="EAF0F8"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Attribution Notice</w:t>
            </w:r>
          </w:p>
          <w:p>
            <w:pPr>
              <w:spacing w:after="40" w:before="0"/>
            </w:pPr>
            <w:r>
              <w:rPr>
                <w:rFonts w:ascii="Arial" w:cs="Arial" w:eastAsia="Arial" w:hAnsi="Arial"/>
                <w:color w:val="444444"/>
                <w:sz w:val="20"/>
                <w:szCs w:val="20"/>
              </w:rPr>
              <w:t xml:space="preserve">This Conformance Definition is the governing document for LDBP conformance claims.</w:t>
            </w:r>
          </w:p>
          <w:p>
            <w:pPr>
              <w:spacing w:after="40" w:before="0"/>
            </w:pPr>
            <w:r>
              <w:rPr>
                <w:rFonts w:ascii="Arial" w:cs="Arial" w:eastAsia="Arial" w:hAnsi="Arial"/>
                <w:color w:val="444444"/>
                <w:sz w:val="20"/>
                <w:szCs w:val="20"/>
              </w:rPr>
              <w:t xml:space="preserve">Any implementation that modifies the Least-Data Principles defined herein and claims LDBP conformance is misrepresenting its conformance status.</w:t>
            </w:r>
          </w:p>
          <w:p>
            <w:pPr>
              <w:spacing w:after="40" w:before="0"/>
            </w:pPr>
            <w:r>
              <w:rPr>
                <w:rFonts w:ascii="Arial" w:cs="Arial" w:eastAsia="Arial" w:hAnsi="Arial"/>
                <w:color w:val="444444"/>
                <w:sz w:val="20"/>
                <w:szCs w:val="20"/>
              </w:rPr>
              <w:t xml:space="preserve">For licensing inquiries: BelarminoAdvisory.com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7"/>
        <w:szCs w:val="17"/>
      </w:rPr>
      <w:t xml:space="preserve">© 2026 Mary Ann Belarmino  |  BelarminoAdvisory.com  |  CC BY 4.0  |  LDBP Conformance Definition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888888"/>
        <w:sz w:val="18"/>
        <w:szCs w:val="18"/>
      </w:rPr>
      <w:t xml:space="preserve">LDBP Conformance Definition v1.0  |  Mary Ann Belarmino  |  BelarminoAdvisory.com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2026-05-08T02:34:13.514Z</dcterms:created>
  <dcterms:modified xsi:type="dcterms:W3CDTF">2026-05-08T02:34:13.530Z</dcterms:modified>
</cp:coreProperties>
</file>

<file path=docProps/custom.xml><?xml version="1.0" encoding="utf-8"?>
<Properties xmlns="http://schemas.openxmlformats.org/officeDocument/2006/custom-properties" xmlns:vt="http://schemas.openxmlformats.org/officeDocument/2006/docPropsVTypes"/>
</file>