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После 40 дёснам нужно больше внимания: чаще камень, рецессия и «привычная» кровоточивость, которую нельзя игнорировать.</w:t>
      </w:r>
    </w:p>
    <w:p>
      <w:r>
        <w:t>Что помогает:</w:t>
        <w:br/>
        <w:t>— профгигиена по графику</w:t>
        <w:br/>
        <w:t>— ежедневный межзубный уход</w:t>
        <w:br/>
        <w:t>— мягкая техника чистки</w:t>
        <w:br/>
        <w:t>— контроль общего здоровья и лекарств</w:t>
        <w:br/>
        <w:t>— вовремя лечить разрушенные зубы</w:t>
      </w:r>
    </w:p>
    <w:p>
      <w:r>
        <w:t>Кровь, запах, оголение шеек и подвижность зубов — повод на осмотр, а не норма возраста.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