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Cardiac Segmentation Agent</w:t>
      </w:r>
    </w:p>
    <w:p>
      <w:pPr>
        <w:spacing w:after="120"/>
        <w:jc w:val="center"/>
      </w:pPr>
      <w:r>
        <w:rPr>
          <w:color w:val="595959"/>
          <w:sz w:val="30"/>
          <w:szCs w:val="30"/>
        </w:rPr>
        <w:t xml:space="preserve">Development Report</w:t>
      </w:r>
    </w:p>
    <w:p>
      <w:pPr>
        <w:spacing w:after="40"/>
        <w:jc w:val="center"/>
      </w:pPr>
      <w:r>
        <w:rPr>
          <w:i/>
          <w:iCs/>
          <w:color w:val="595959"/>
          <w:sz w:val="20"/>
          <w:szCs w:val="20"/>
        </w:rPr>
        <w:t xml:space="preserve">POCUS-Emergency: Intelligent Multimodal Assistant for Clinical Ultrasound</w:t>
      </w:r>
    </w:p>
    <w:p>
      <w:pPr>
        <w:pBdr>
          <w:bottom w:val="single" w:color="1F4E79" w:sz="6" w:space="8"/>
        </w:pBdr>
        <w:spacing w:after="300"/>
        <w:jc w:val="center"/>
      </w:pPr>
      <w:r>
        <w:rPr>
          <w:color w:val="595959"/>
          <w:sz w:val="20"/>
          <w:szCs w:val="20"/>
        </w:rPr>
        <w:t xml:space="preserve">July 2026</w:t>
      </w:r>
    </w:p>
    <w:p>
      <w:pPr>
        <w:pStyle w:val="Heading1"/>
        <w:spacing w:after="160" w:before="360"/>
      </w:pPr>
      <w:r>
        <w:t xml:space="preserve">1. Executive summary</w:t>
      </w:r>
    </w:p>
    <w:p>
      <w:pPr>
        <w:spacing w:after="120"/>
      </w:pPr>
      <w:r>
        <w:t xml:space="preserve">This module segments the left ventricle (LV), myocardium, and left atrium (LA) from four-chamber echocardiographic frames, and derives a functional ejection-fraction estimate from the predicted masks.</w:t>
      </w:r>
    </w:p>
    <w:p>
      <w:pPr>
        <w:spacing w:after="120"/>
      </w:pPr>
      <w:r>
        <w:rPr>
          <w:b/>
          <w:bCs/>
        </w:rPr>
        <w:t xml:space="preserve">Final adopted model: </w:t>
      </w:r>
      <w:r>
        <w:t xml:space="preserve">EfficientNet-B0-encoder U-Net, trained on CAMUS only, without fine-tuning.</w:t>
      </w:r>
    </w:p>
    <w:p>
      <w:pPr>
        <w:spacing w:after="120"/>
      </w:pPr>
      <w:r>
        <w:t xml:space="preserve">In-distribution performance matches the published nnU-Net benchmark on the same dataset. Performance on an independently-sourced external dataset is substantially lower; this gap was investigated across six distinct strategies, and is reported here rather than tuned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shd w:fill="1F4E79" w:color="auto" w:val="clear"/>
            <w:tcMar>
              <w:top w:type="dxa" w:w="80"/>
              <w:left w:type="dxa" w:w="120"/>
              <w:bottom w:type="dxa" w:w="80"/>
              <w:right w:type="dxa" w:w="120"/>
            </w:tcMar>
          </w:tcPr>
          <w:p>
            <w:r>
              <w:rPr>
                <w:b/>
                <w:bCs/>
                <w:color w:val="FFFFFF"/>
                <w:sz w:val="20"/>
                <w:szCs w:val="20"/>
              </w:rPr>
              <w:t xml:space="preserve">Metric</w:t>
            </w:r>
          </w:p>
        </w:tc>
        <w:tc>
          <w:tcPr>
            <w:tcW w:type="dxa" w:w="2400"/>
            <w:shd w:fill="1F4E79" w:color="auto" w:val="clear"/>
            <w:tcMar>
              <w:top w:type="dxa" w:w="80"/>
              <w:left w:type="dxa" w:w="120"/>
              <w:bottom w:type="dxa" w:w="80"/>
              <w:right w:type="dxa" w:w="120"/>
            </w:tcMar>
          </w:tcPr>
          <w:p>
            <w:r>
              <w:rPr>
                <w:b/>
                <w:bCs/>
                <w:color w:val="FFFFFF"/>
                <w:sz w:val="20"/>
                <w:szCs w:val="20"/>
              </w:rPr>
              <w:t xml:space="preserve">Result</w:t>
            </w:r>
          </w:p>
        </w:tc>
        <w:tc>
          <w:tcPr>
            <w:tcW w:type="dxa" w:w="3560"/>
            <w:shd w:fill="1F4E79" w:color="auto" w:val="clear"/>
            <w:tcMar>
              <w:top w:type="dxa" w:w="80"/>
              <w:left w:type="dxa" w:w="120"/>
              <w:bottom w:type="dxa" w:w="80"/>
              <w:right w:type="dxa" w:w="120"/>
            </w:tcMar>
          </w:tcPr>
          <w:p>
            <w:r>
              <w:rPr>
                <w:b/>
                <w:bCs/>
                <w:color w:val="FFFFFF"/>
                <w:sz w:val="20"/>
                <w:szCs w:val="20"/>
              </w:rPr>
              <w:t xml:space="preserve">Reference</w:t>
            </w:r>
          </w:p>
        </w:tc>
      </w:tr>
      <w:tr>
        <w:tc>
          <w:tcPr>
            <w:tcW w:type="dxa" w:w="3400"/>
            <w:tcMar>
              <w:top w:type="dxa" w:w="80"/>
              <w:left w:type="dxa" w:w="120"/>
              <w:bottom w:type="dxa" w:w="80"/>
              <w:right w:type="dxa" w:w="120"/>
            </w:tcMar>
          </w:tcPr>
          <w:p>
            <w:r>
              <w:rPr>
                <w:b w:val="false"/>
                <w:bCs w:val="false"/>
                <w:sz w:val="20"/>
                <w:szCs w:val="20"/>
              </w:rPr>
              <w:t xml:space="preserve">CAMUS validation — LV Dice</w:t>
            </w:r>
          </w:p>
        </w:tc>
        <w:tc>
          <w:tcPr>
            <w:tcW w:type="dxa" w:w="2400"/>
            <w:tcMar>
              <w:top w:type="dxa" w:w="80"/>
              <w:left w:type="dxa" w:w="120"/>
              <w:bottom w:type="dxa" w:w="80"/>
              <w:right w:type="dxa" w:w="120"/>
            </w:tcMar>
          </w:tcPr>
          <w:p>
            <w:r>
              <w:rPr>
                <w:b w:val="false"/>
                <w:bCs w:val="false"/>
                <w:sz w:val="20"/>
                <w:szCs w:val="20"/>
              </w:rPr>
              <w:t xml:space="preserve">0.925</w:t>
            </w:r>
          </w:p>
        </w:tc>
        <w:tc>
          <w:tcPr>
            <w:tcW w:type="dxa" w:w="3560"/>
            <w:tcMar>
              <w:top w:type="dxa" w:w="80"/>
              <w:left w:type="dxa" w:w="120"/>
              <w:bottom w:type="dxa" w:w="80"/>
              <w:right w:type="dxa" w:w="120"/>
            </w:tcMar>
          </w:tcPr>
          <w:p>
            <w:r>
              <w:rPr>
                <w:b w:val="false"/>
                <w:bCs w:val="false"/>
                <w:sz w:val="20"/>
                <w:szCs w:val="20"/>
              </w:rPr>
              <w:t xml:space="preserve">nnU-Net benchmark: 0.93</w:t>
            </w:r>
          </w:p>
        </w:tc>
      </w:tr>
      <w:tr>
        <w:tc>
          <w:tcPr>
            <w:tcW w:type="dxa" w:w="3400"/>
            <w:shd w:fill="F2F2F2" w:color="auto" w:val="clear"/>
            <w:tcMar>
              <w:top w:type="dxa" w:w="80"/>
              <w:left w:type="dxa" w:w="120"/>
              <w:bottom w:type="dxa" w:w="80"/>
              <w:right w:type="dxa" w:w="120"/>
            </w:tcMar>
          </w:tcPr>
          <w:p>
            <w:r>
              <w:rPr>
                <w:b w:val="false"/>
                <w:bCs w:val="false"/>
                <w:sz w:val="20"/>
                <w:szCs w:val="20"/>
              </w:rPr>
              <w:t xml:space="preserve">CAMUS validation — Myocardium Dice</w:t>
            </w:r>
          </w:p>
        </w:tc>
        <w:tc>
          <w:tcPr>
            <w:tcW w:type="dxa" w:w="2400"/>
            <w:shd w:fill="F2F2F2" w:color="auto" w:val="clear"/>
            <w:tcMar>
              <w:top w:type="dxa" w:w="80"/>
              <w:left w:type="dxa" w:w="120"/>
              <w:bottom w:type="dxa" w:w="80"/>
              <w:right w:type="dxa" w:w="120"/>
            </w:tcMar>
          </w:tcPr>
          <w:p>
            <w:r>
              <w:rPr>
                <w:b w:val="false"/>
                <w:bCs w:val="false"/>
                <w:sz w:val="20"/>
                <w:szCs w:val="20"/>
              </w:rPr>
              <w:t xml:space="preserve">0.840</w:t>
            </w:r>
          </w:p>
        </w:tc>
        <w:tc>
          <w:tcPr>
            <w:tcW w:type="dxa" w:w="3560"/>
            <w:shd w:fill="F2F2F2" w:color="auto" w:val="clear"/>
            <w:tcMar>
              <w:top w:type="dxa" w:w="80"/>
              <w:left w:type="dxa" w:w="120"/>
              <w:bottom w:type="dxa" w:w="80"/>
              <w:right w:type="dxa" w:w="120"/>
            </w:tcMar>
          </w:tcPr>
          <w:p>
            <w:r>
              <w:rPr>
                <w:b w:val="false"/>
                <w:bCs w:val="false"/>
                <w:sz w:val="20"/>
                <w:szCs w:val="20"/>
              </w:rPr>
              <w:t xml:space="preserve">nnU-Net benchmark: 0.86</w:t>
            </w:r>
          </w:p>
        </w:tc>
      </w:tr>
      <w:tr>
        <w:tc>
          <w:tcPr>
            <w:tcW w:type="dxa" w:w="3400"/>
            <w:tcMar>
              <w:top w:type="dxa" w:w="80"/>
              <w:left w:type="dxa" w:w="120"/>
              <w:bottom w:type="dxa" w:w="80"/>
              <w:right w:type="dxa" w:w="120"/>
            </w:tcMar>
          </w:tcPr>
          <w:p>
            <w:r>
              <w:rPr>
                <w:b w:val="false"/>
                <w:bCs w:val="false"/>
                <w:sz w:val="20"/>
                <w:szCs w:val="20"/>
              </w:rPr>
              <w:t xml:space="preserve">CAMUS validation — LA Dice</w:t>
            </w:r>
          </w:p>
        </w:tc>
        <w:tc>
          <w:tcPr>
            <w:tcW w:type="dxa" w:w="2400"/>
            <w:tcMar>
              <w:top w:type="dxa" w:w="80"/>
              <w:left w:type="dxa" w:w="120"/>
              <w:bottom w:type="dxa" w:w="80"/>
              <w:right w:type="dxa" w:w="120"/>
            </w:tcMar>
          </w:tcPr>
          <w:p>
            <w:r>
              <w:rPr>
                <w:b w:val="false"/>
                <w:bCs w:val="false"/>
                <w:sz w:val="20"/>
                <w:szCs w:val="20"/>
              </w:rPr>
              <w:t xml:space="preserve">0.885</w:t>
            </w:r>
          </w:p>
        </w:tc>
        <w:tc>
          <w:tcPr>
            <w:tcW w:type="dxa" w:w="3560"/>
            <w:tcMar>
              <w:top w:type="dxa" w:w="80"/>
              <w:left w:type="dxa" w:w="120"/>
              <w:bottom w:type="dxa" w:w="80"/>
              <w:right w:type="dxa" w:w="120"/>
            </w:tcMar>
          </w:tcPr>
          <w:p>
            <w:r>
              <w:rPr>
                <w:b w:val="false"/>
                <w:bCs w:val="false"/>
                <w:sz w:val="20"/>
                <w:szCs w:val="20"/>
              </w:rPr>
              <w:t xml:space="preserve">nnU-Net benchmark: 0.89</w:t>
            </w:r>
          </w:p>
        </w:tc>
      </w:tr>
      <w:tr>
        <w:tc>
          <w:tcPr>
            <w:tcW w:type="dxa" w:w="3400"/>
            <w:shd w:fill="F2F2F2" w:color="auto" w:val="clear"/>
            <w:tcMar>
              <w:top w:type="dxa" w:w="80"/>
              <w:left w:type="dxa" w:w="120"/>
              <w:bottom w:type="dxa" w:w="80"/>
              <w:right w:type="dxa" w:w="120"/>
            </w:tcMar>
          </w:tcPr>
          <w:p>
            <w:r>
              <w:rPr>
                <w:b w:val="false"/>
                <w:bCs w:val="false"/>
                <w:sz w:val="20"/>
                <w:szCs w:val="20"/>
              </w:rPr>
              <w:t xml:space="preserve">External (archive.zip) — LV Dice</w:t>
            </w:r>
          </w:p>
        </w:tc>
        <w:tc>
          <w:tcPr>
            <w:tcW w:type="dxa" w:w="2400"/>
            <w:shd w:fill="F2F2F2" w:color="auto" w:val="clear"/>
            <w:tcMar>
              <w:top w:type="dxa" w:w="80"/>
              <w:left w:type="dxa" w:w="120"/>
              <w:bottom w:type="dxa" w:w="80"/>
              <w:right w:type="dxa" w:w="120"/>
            </w:tcMar>
          </w:tcPr>
          <w:p>
            <w:r>
              <w:rPr>
                <w:b w:val="false"/>
                <w:bCs w:val="false"/>
                <w:sz w:val="20"/>
                <w:szCs w:val="20"/>
              </w:rPr>
              <w:t xml:space="preserve">0.556</w:t>
            </w:r>
          </w:p>
        </w:tc>
        <w:tc>
          <w:tcPr>
            <w:tcW w:type="dxa" w:w="3560"/>
            <w:shd w:fill="F2F2F2" w:color="auto" w:val="clear"/>
            <w:tcMar>
              <w:top w:type="dxa" w:w="80"/>
              <w:left w:type="dxa" w:w="120"/>
              <w:bottom w:type="dxa" w:w="80"/>
              <w:right w:type="dxa" w:w="120"/>
            </w:tcMar>
          </w:tcPr>
          <w:p>
            <w:r>
              <w:rPr>
                <w:b w:val="false"/>
                <w:bCs w:val="false"/>
                <w:sz w:val="20"/>
                <w:szCs w:val="20"/>
              </w:rPr>
              <w:t xml:space="preserve">Raw, uncorrected: 0.264</w:t>
            </w:r>
          </w:p>
        </w:tc>
      </w:tr>
      <w:tr>
        <w:tc>
          <w:tcPr>
            <w:tcW w:type="dxa" w:w="3400"/>
            <w:tcMar>
              <w:top w:type="dxa" w:w="80"/>
              <w:left w:type="dxa" w:w="120"/>
              <w:bottom w:type="dxa" w:w="80"/>
              <w:right w:type="dxa" w:w="120"/>
            </w:tcMar>
          </w:tcPr>
          <w:p>
            <w:r>
              <w:rPr>
                <w:b w:val="false"/>
                <w:bCs w:val="false"/>
                <w:sz w:val="20"/>
                <w:szCs w:val="20"/>
              </w:rPr>
              <w:t xml:space="preserve">External — prediction fragmentation</w:t>
            </w:r>
          </w:p>
        </w:tc>
        <w:tc>
          <w:tcPr>
            <w:tcW w:type="dxa" w:w="2400"/>
            <w:tcMar>
              <w:top w:type="dxa" w:w="80"/>
              <w:left w:type="dxa" w:w="120"/>
              <w:bottom w:type="dxa" w:w="80"/>
              <w:right w:type="dxa" w:w="120"/>
            </w:tcMar>
          </w:tcPr>
          <w:p>
            <w:r>
              <w:rPr>
                <w:b w:val="false"/>
                <w:bCs w:val="false"/>
                <w:sz w:val="20"/>
                <w:szCs w:val="20"/>
              </w:rPr>
              <w:t xml:space="preserve">1.9% of frames</w:t>
            </w:r>
          </w:p>
        </w:tc>
        <w:tc>
          <w:tcPr>
            <w:tcW w:type="dxa" w:w="3560"/>
            <w:tcMar>
              <w:top w:type="dxa" w:w="80"/>
              <w:left w:type="dxa" w:w="120"/>
              <w:bottom w:type="dxa" w:w="80"/>
              <w:right w:type="dxa" w:w="120"/>
            </w:tcMar>
          </w:tcPr>
          <w:p>
            <w:r>
              <w:rPr>
                <w:b w:val="false"/>
                <w:bCs w:val="false"/>
                <w:sz w:val="20"/>
                <w:szCs w:val="20"/>
              </w:rPr>
              <w:t xml:space="preserve">Ground truth: 0%</w:t>
            </w:r>
          </w:p>
        </w:tc>
      </w:tr>
      <w:tr>
        <w:tc>
          <w:tcPr>
            <w:tcW w:type="dxa" w:w="3400"/>
            <w:shd w:fill="F2F2F2" w:color="auto" w:val="clear"/>
            <w:tcMar>
              <w:top w:type="dxa" w:w="80"/>
              <w:left w:type="dxa" w:w="120"/>
              <w:bottom w:type="dxa" w:w="80"/>
              <w:right w:type="dxa" w:w="120"/>
            </w:tcMar>
          </w:tcPr>
          <w:p>
            <w:r>
              <w:rPr>
                <w:b w:val="false"/>
                <w:bCs w:val="false"/>
                <w:sz w:val="20"/>
                <w:szCs w:val="20"/>
              </w:rPr>
              <w:t xml:space="preserve">EF — mean absolute error</w:t>
            </w:r>
          </w:p>
        </w:tc>
        <w:tc>
          <w:tcPr>
            <w:tcW w:type="dxa" w:w="2400"/>
            <w:shd w:fill="F2F2F2" w:color="auto" w:val="clear"/>
            <w:tcMar>
              <w:top w:type="dxa" w:w="80"/>
              <w:left w:type="dxa" w:w="120"/>
              <w:bottom w:type="dxa" w:w="80"/>
              <w:right w:type="dxa" w:w="120"/>
            </w:tcMar>
          </w:tcPr>
          <w:p>
            <w:r>
              <w:rPr>
                <w:b w:val="false"/>
                <w:bCs w:val="false"/>
                <w:sz w:val="20"/>
                <w:szCs w:val="20"/>
              </w:rPr>
              <w:t xml:space="preserve">7.1 pp</w:t>
            </w:r>
          </w:p>
        </w:tc>
        <w:tc>
          <w:tcPr>
            <w:tcW w:type="dxa" w:w="3560"/>
            <w:shd w:fill="F2F2F2" w:color="auto" w:val="clear"/>
            <w:tcMar>
              <w:top w:type="dxa" w:w="80"/>
              <w:left w:type="dxa" w:w="120"/>
              <w:bottom w:type="dxa" w:w="80"/>
              <w:right w:type="dxa" w:w="120"/>
            </w:tcMar>
          </w:tcPr>
          <w:p>
            <w:r>
              <w:rPr>
                <w:b w:val="false"/>
                <w:bCs w:val="false"/>
                <w:sz w:val="20"/>
                <w:szCs w:val="20"/>
              </w:rPr>
              <w:t xml:space="preserve">Uncorrected area EF: 12.7 pp</w:t>
            </w:r>
          </w:p>
        </w:tc>
      </w:tr>
      <w:tr>
        <w:tc>
          <w:tcPr>
            <w:tcW w:type="dxa" w:w="3400"/>
            <w:tcMar>
              <w:top w:type="dxa" w:w="80"/>
              <w:left w:type="dxa" w:w="120"/>
              <w:bottom w:type="dxa" w:w="80"/>
              <w:right w:type="dxa" w:w="120"/>
            </w:tcMar>
          </w:tcPr>
          <w:p>
            <w:r>
              <w:rPr>
                <w:b w:val="false"/>
                <w:bCs w:val="false"/>
                <w:sz w:val="20"/>
                <w:szCs w:val="20"/>
              </w:rPr>
              <w:t xml:space="preserve">EF band — balanced accuracy</w:t>
            </w:r>
          </w:p>
        </w:tc>
        <w:tc>
          <w:tcPr>
            <w:tcW w:type="dxa" w:w="2400"/>
            <w:tcMar>
              <w:top w:type="dxa" w:w="80"/>
              <w:left w:type="dxa" w:w="120"/>
              <w:bottom w:type="dxa" w:w="80"/>
              <w:right w:type="dxa" w:w="120"/>
            </w:tcMar>
          </w:tcPr>
          <w:p>
            <w:r>
              <w:rPr>
                <w:b w:val="false"/>
                <w:bCs w:val="false"/>
                <w:sz w:val="20"/>
                <w:szCs w:val="20"/>
              </w:rPr>
              <w:t xml:space="preserve">59.5%</w:t>
            </w:r>
          </w:p>
        </w:tc>
        <w:tc>
          <w:tcPr>
            <w:tcW w:type="dxa" w:w="3560"/>
            <w:tcMar>
              <w:top w:type="dxa" w:w="80"/>
              <w:left w:type="dxa" w:w="120"/>
              <w:bottom w:type="dxa" w:w="80"/>
              <w:right w:type="dxa" w:w="120"/>
            </w:tcMar>
          </w:tcPr>
          <w:p>
            <w:r>
              <w:rPr>
                <w:b w:val="false"/>
                <w:bCs w:val="false"/>
                <w:sz w:val="20"/>
                <w:szCs w:val="20"/>
              </w:rPr>
              <w:t xml:space="preserve">Chance baseline: 33.3%</w:t>
            </w:r>
          </w:p>
        </w:tc>
      </w:tr>
      <w:tr>
        <w:tc>
          <w:tcPr>
            <w:tcW w:type="dxa" w:w="3400"/>
            <w:shd w:fill="F2F2F2" w:color="auto" w:val="clear"/>
            <w:tcMar>
              <w:top w:type="dxa" w:w="80"/>
              <w:left w:type="dxa" w:w="120"/>
              <w:bottom w:type="dxa" w:w="80"/>
              <w:right w:type="dxa" w:w="120"/>
            </w:tcMar>
          </w:tcPr>
          <w:p>
            <w:r>
              <w:rPr>
                <w:b w:val="false"/>
                <w:bCs w:val="false"/>
                <w:sz w:val="20"/>
                <w:szCs w:val="20"/>
              </w:rPr>
              <w:t xml:space="preserve">EF band — severe/normal errors</w:t>
            </w:r>
          </w:p>
        </w:tc>
        <w:tc>
          <w:tcPr>
            <w:tcW w:type="dxa" w:w="2400"/>
            <w:shd w:fill="F2F2F2" w:color="auto" w:val="clear"/>
            <w:tcMar>
              <w:top w:type="dxa" w:w="80"/>
              <w:left w:type="dxa" w:w="120"/>
              <w:bottom w:type="dxa" w:w="80"/>
              <w:right w:type="dxa" w:w="120"/>
            </w:tcMar>
          </w:tcPr>
          <w:p>
            <w:r>
              <w:rPr>
                <w:b w:val="false"/>
                <w:bCs w:val="false"/>
                <w:sz w:val="20"/>
                <w:szCs w:val="20"/>
              </w:rPr>
              <w:t xml:space="preserve">0 of 100</w:t>
            </w:r>
          </w:p>
        </w:tc>
        <w:tc>
          <w:tcPr>
            <w:tcW w:type="dxa" w:w="3560"/>
            <w:shd w:fill="F2F2F2" w:color="auto" w:val="clear"/>
            <w:tcMar>
              <w:top w:type="dxa" w:w="80"/>
              <w:left w:type="dxa" w:w="120"/>
              <w:bottom w:type="dxa" w:w="80"/>
              <w:right w:type="dxa" w:w="120"/>
            </w:tcMar>
          </w:tcPr>
          <w:p>
            <w:r>
              <w:rPr>
                <w:b w:val="false"/>
                <w:bCs w:val="false"/>
                <w:sz w:val="20"/>
                <w:szCs w:val="20"/>
              </w:rPr>
              <w:t xml:space="preserve">The dangerous confusion</w:t>
            </w:r>
          </w:p>
        </w:tc>
      </w:tr>
      <w:tr>
        <w:tc>
          <w:tcPr>
            <w:tcW w:type="dxa" w:w="3400"/>
            <w:tcMar>
              <w:top w:type="dxa" w:w="80"/>
              <w:left w:type="dxa" w:w="120"/>
              <w:bottom w:type="dxa" w:w="80"/>
              <w:right w:type="dxa" w:w="120"/>
            </w:tcMar>
          </w:tcPr>
          <w:p>
            <w:r>
              <w:rPr>
                <w:b w:val="false"/>
                <w:bCs w:val="false"/>
                <w:sz w:val="20"/>
                <w:szCs w:val="20"/>
              </w:rPr>
              <w:t xml:space="preserve">Confidence — calibration error</w:t>
            </w:r>
          </w:p>
        </w:tc>
        <w:tc>
          <w:tcPr>
            <w:tcW w:type="dxa" w:w="2400"/>
            <w:tcMar>
              <w:top w:type="dxa" w:w="80"/>
              <w:left w:type="dxa" w:w="120"/>
              <w:bottom w:type="dxa" w:w="80"/>
              <w:right w:type="dxa" w:w="120"/>
            </w:tcMar>
          </w:tcPr>
          <w:p>
            <w:r>
              <w:rPr>
                <w:b w:val="false"/>
                <w:bCs w:val="false"/>
                <w:sz w:val="20"/>
                <w:szCs w:val="20"/>
              </w:rPr>
              <w:t xml:space="preserve">0.009</w:t>
            </w:r>
          </w:p>
        </w:tc>
        <w:tc>
          <w:tcPr>
            <w:tcW w:type="dxa" w:w="3560"/>
            <w:tcMar>
              <w:top w:type="dxa" w:w="80"/>
              <w:left w:type="dxa" w:w="120"/>
              <w:bottom w:type="dxa" w:w="80"/>
              <w:right w:type="dxa" w:w="120"/>
            </w:tcMar>
          </w:tcPr>
          <w:p>
            <w:r>
              <w:rPr>
                <w:b w:val="false"/>
                <w:bCs w:val="false"/>
                <w:sz w:val="20"/>
                <w:szCs w:val="20"/>
              </w:rPr>
              <w:t xml:space="preserve">Before calibration: 0.293</w:t>
            </w:r>
          </w:p>
        </w:tc>
      </w:tr>
    </w:tbl>
    <w:p>
      <w:pPr>
        <w:spacing w:after="120"/>
      </w:pPr>
      <w:r>
        <w:t xml:space="preserve"/>
      </w:r>
    </w:p>
    <w:p>
      <w:pPr>
        <w:pStyle w:val="Heading1"/>
        <w:spacing w:after="160" w:before="360"/>
      </w:pPr>
      <w:r>
        <w:t xml:space="preserve">2. Datasets</w:t>
      </w:r>
    </w:p>
    <w:p>
      <w:pPr>
        <w:pStyle w:val="Heading2"/>
        <w:spacing w:after="120" w:before="260"/>
      </w:pPr>
      <w:r>
        <w:t xml:space="preserve">2.1 CAMUS (training and in-distribution validation)</w:t>
      </w:r>
    </w:p>
    <w:p>
      <w:pPr>
        <w:pStyle w:val="ListParagraph"/>
        <w:numPr>
          <w:ilvl w:val="0"/>
          <w:numId w:val="2"/>
        </w:numPr>
        <w:spacing w:after="80"/>
      </w:pPr>
      <w:r>
        <w:t xml:space="preserve">500 patients, four-chamber (4CH) view, end-diastole (ED) and end-systole (ES) frames.</w:t>
      </w:r>
    </w:p>
    <w:p>
      <w:pPr>
        <w:pStyle w:val="ListParagraph"/>
        <w:numPr>
          <w:ilvl w:val="0"/>
          <w:numId w:val="2"/>
        </w:numPr>
        <w:spacing w:after="80"/>
      </w:pPr>
      <w:r>
        <w:t xml:space="preserve">Pixel-level ground truth with four classes: background, LV endocardium, myocardium, left atrium.</w:t>
      </w:r>
    </w:p>
    <w:p>
      <w:pPr>
        <w:pStyle w:val="ListParagraph"/>
        <w:numPr>
          <w:ilvl w:val="0"/>
          <w:numId w:val="2"/>
        </w:numPr>
        <w:spacing w:after="80"/>
      </w:pPr>
      <w:r>
        <w:t xml:space="preserve">Split by patient (400 train / 100 validation), never by frame — ED and ES frames of the same patient are near-duplicates, so a frame-level split would leak anatomy across the boundary.</w:t>
      </w:r>
    </w:p>
    <w:p>
      <w:pPr>
        <w:pStyle w:val="ListParagraph"/>
        <w:numPr>
          <w:ilvl w:val="0"/>
          <w:numId w:val="2"/>
        </w:numPr>
        <w:spacing w:after="80"/>
      </w:pPr>
      <w:r>
        <w:t xml:space="preserve">Frames resized to 256×256 and normalised to [0, 1]; masks resized with nearest-neighbour interpolation to preserve valid integer labels.</w:t>
      </w:r>
    </w:p>
    <w:p>
      <w:pPr>
        <w:pStyle w:val="Heading2"/>
        <w:spacing w:after="120" w:before="260"/>
      </w:pPr>
      <w:r>
        <w:t xml:space="preserve">2.2 archive.zip (external validation only)</w:t>
      </w:r>
    </w:p>
    <w:p>
      <w:pPr>
        <w:pStyle w:val="ListParagraph"/>
        <w:numPr>
          <w:ilvl w:val="0"/>
          <w:numId w:val="2"/>
        </w:numPr>
        <w:spacing w:after="80"/>
      </w:pPr>
      <w:r>
        <w:t xml:space="preserve">900 frame/mask pairs from an independent source; binary LV labels only (no myocardium or LA annotation).</w:t>
      </w:r>
    </w:p>
    <w:p>
      <w:pPr>
        <w:pStyle w:val="ListParagraph"/>
        <w:numPr>
          <w:ilvl w:val="0"/>
          <w:numId w:val="2"/>
        </w:numPr>
        <w:spacing w:after="80"/>
      </w:pPr>
      <w:r>
        <w:t xml:space="preserve">Never used for training in the final model. Held out entirely as a generalisation check.</w:t>
      </w:r>
    </w:p>
    <w:p>
      <w:pPr>
        <w:pStyle w:val="ListParagraph"/>
        <w:numPr>
          <w:ilvl w:val="0"/>
          <w:numId w:val="2"/>
        </w:numPr>
        <w:spacing w:after="80"/>
      </w:pPr>
      <w:r>
        <w:t xml:space="preserve">No patient or clip identifiers are provided, so patient-level separation cannot be verified.</w:t>
      </w:r>
    </w:p>
    <w:p>
      <w:pPr>
        <w:pStyle w:val="Heading2"/>
        <w:spacing w:after="120" w:before="260"/>
      </w:pPr>
      <w:r>
        <w:t xml:space="preserve">2.3 archive2.zip (evaluated and excluded)</w:t>
      </w:r>
    </w:p>
    <w:p>
      <w:pPr>
        <w:pStyle w:val="ListParagraph"/>
        <w:numPr>
          <w:ilvl w:val="0"/>
          <w:numId w:val="2"/>
        </w:numPr>
        <w:spacing w:after="80"/>
      </w:pPr>
      <w:r>
        <w:t xml:space="preserve">100 frames with JSON polygon contours for LV, LA, RV, and RA — structures CAMUS does not fully cover.</w:t>
      </w:r>
    </w:p>
    <w:p>
      <w:pPr>
        <w:pStyle w:val="ListParagraph"/>
        <w:numPr>
          <w:ilvl w:val="0"/>
          <w:numId w:val="2"/>
        </w:numPr>
        <w:spacing w:after="80"/>
      </w:pPr>
      <w:r>
        <w:t xml:space="preserve">Frame-to-frame difference analysis confirmed all 100 frames are one continuous cine loop from a single patient, not 100 independent cases.</w:t>
      </w:r>
    </w:p>
    <w:p>
      <w:pPr>
        <w:pStyle w:val="ListParagraph"/>
        <w:numPr>
          <w:ilvl w:val="0"/>
          <w:numId w:val="2"/>
        </w:numPr>
        <w:spacing w:after="80"/>
      </w:pPr>
      <w:r>
        <w:t xml:space="preserve">Consequently excluded from both training and evaluation: no train/test split of a single patient can support a generalisation claim.</w:t>
      </w:r>
    </w:p>
    <w:p>
      <w:r>
        <w:br w:type="page"/>
      </w:r>
    </w:p>
    <w:p>
      <w:pPr>
        <w:pStyle w:val="Heading1"/>
        <w:spacing w:after="160" w:before="360"/>
      </w:pPr>
      <w:r>
        <w:t xml:space="preserve">3. Method</w:t>
      </w:r>
    </w:p>
    <w:p>
      <w:pPr>
        <w:pStyle w:val="Heading2"/>
        <w:spacing w:after="120" w:before="260"/>
      </w:pPr>
      <w:r>
        <w:t xml:space="preserve">3.1 Architecture</w:t>
      </w:r>
    </w:p>
    <w:p>
      <w:pPr>
        <w:spacing w:after="120"/>
      </w:pPr>
      <w:r>
        <w:t xml:space="preserve">U-Net with an EfficientNet-B0 encoder pretrained on ImageNet, adapted to single-channel grayscale input. This was selected empirically over an equivalent from-scratch U-Net: the pretrained encoder produced markedly more spatially coherent predictions on out-of-distribution frames, reducing prediction fragmentation from 44.3% of frames to 2.4%.</w:t>
      </w:r>
    </w:p>
    <w:p>
      <w:pPr>
        <w:pStyle w:val="Heading2"/>
        <w:spacing w:after="120" w:before="260"/>
      </w:pPr>
      <w:r>
        <w:t xml:space="preserve">3.2 Loss</w:t>
      </w:r>
    </w:p>
    <w:p>
      <w:pPr>
        <w:spacing w:after="120"/>
      </w:pPr>
      <w:r>
        <w:t xml:space="preserve">Composite loss: cross-entropy plus soft Dice. Cross-entropy alone under-weights the target structures, which occupy a small fraction of pixels relative to background; the Dice term directly optimises the evaluation metric.</w:t>
      </w:r>
    </w:p>
    <w:p>
      <w:pPr>
        <w:pStyle w:val="Heading2"/>
        <w:spacing w:after="120" w:before="260"/>
      </w:pPr>
      <w:r>
        <w:t xml:space="preserve">3.3 Augmentation</w:t>
      </w:r>
    </w:p>
    <w:p>
      <w:pPr>
        <w:spacing w:after="120"/>
      </w:pPr>
      <w:r>
        <w:t xml:space="preserve">Horizontal flip, mild rotation (±15°), and brightness/contrast jitter, applied to training samples only. Spatial transforms are applied identically to image and mask. A stronger variant was tested and rejected (Section 4.2).</w:t>
      </w:r>
    </w:p>
    <w:p>
      <w:pPr>
        <w:pStyle w:val="Heading2"/>
        <w:spacing w:after="120" w:before="260"/>
      </w:pPr>
      <w:r>
        <w:t xml:space="preserve">3.4 Training</w:t>
      </w:r>
    </w:p>
    <w:p>
      <w:pPr>
        <w:spacing w:after="120"/>
      </w:pPr>
      <w:r>
        <w:t xml:space="preserve">Adam, learning rate 1×10⁻³, weight decay 1×10⁻⁴, batch size 8, up to 30 epochs with early stopping (patience 12). The checkpoint with the lowest validation loss is retained, not the final epoch.</w:t>
      </w:r>
    </w:p>
    <w:p>
      <w:pPr>
        <w:pStyle w:val="Heading2"/>
        <w:spacing w:after="120" w:before="260"/>
      </w:pPr>
      <w:r>
        <w:t xml:space="preserve">3.5 Orientation correction</w:t>
      </w:r>
    </w:p>
    <w:p>
      <w:pPr>
        <w:spacing w:after="120"/>
      </w:pPr>
      <w:r>
        <w:t xml:space="preserve">The external dataset’s ultrasound sector opens in a different direction than CAMUS’s. This was diagnosed by sweeping all eight orientations (four rotations × with/without horizontal flip) against the trained model and measuring Dice for each — not assumed from visual inspection. A 270° rotation was confirmed optimal and is applied at load time.</w:t>
      </w:r>
    </w:p>
    <w:p>
      <w:pPr>
        <w:pStyle w:val="Heading1"/>
        <w:spacing w:after="160" w:before="360"/>
      </w:pPr>
      <w:r>
        <w:t xml:space="preserve">4. Experiment log</w:t>
      </w:r>
    </w:p>
    <w:p>
      <w:pPr>
        <w:spacing w:after="120"/>
      </w:pPr>
      <w:r>
        <w:t xml:space="preserve">Six strategies were evaluated against the external-validation gap. Two were adopted; four were rejected on the basis of measured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5000"/>
        <w:gridCol w:w="1460"/>
      </w:tblGrid>
      <w:tr>
        <w:trPr>
          <w:tblHeader/>
        </w:trPr>
        <w:tc>
          <w:tcPr>
            <w:tcW w:type="dxa" w:w="2900"/>
            <w:shd w:fill="1F4E79" w:color="auto" w:val="clear"/>
            <w:tcMar>
              <w:top w:type="dxa" w:w="80"/>
              <w:left w:type="dxa" w:w="120"/>
              <w:bottom w:type="dxa" w:w="80"/>
              <w:right w:type="dxa" w:w="120"/>
            </w:tcMar>
          </w:tcPr>
          <w:p>
            <w:r>
              <w:rPr>
                <w:b/>
                <w:bCs/>
                <w:color w:val="FFFFFF"/>
                <w:sz w:val="20"/>
                <w:szCs w:val="20"/>
              </w:rPr>
              <w:t xml:space="preserve">Strategy</w:t>
            </w:r>
          </w:p>
        </w:tc>
        <w:tc>
          <w:tcPr>
            <w:tcW w:type="dxa" w:w="5000"/>
            <w:shd w:fill="1F4E79" w:color="auto" w:val="clear"/>
            <w:tcMar>
              <w:top w:type="dxa" w:w="80"/>
              <w:left w:type="dxa" w:w="120"/>
              <w:bottom w:type="dxa" w:w="80"/>
              <w:right w:type="dxa" w:w="120"/>
            </w:tcMar>
          </w:tcPr>
          <w:p>
            <w:r>
              <w:rPr>
                <w:b/>
                <w:bCs/>
                <w:color w:val="FFFFFF"/>
                <w:sz w:val="20"/>
                <w:szCs w:val="20"/>
              </w:rPr>
              <w:t xml:space="preserve">Measured outcome</w:t>
            </w:r>
          </w:p>
        </w:tc>
        <w:tc>
          <w:tcPr>
            <w:tcW w:type="dxa" w:w="1460"/>
            <w:shd w:fill="1F4E79" w:color="auto" w:val="clear"/>
            <w:tcMar>
              <w:top w:type="dxa" w:w="80"/>
              <w:left w:type="dxa" w:w="120"/>
              <w:bottom w:type="dxa" w:w="80"/>
              <w:right w:type="dxa" w:w="120"/>
            </w:tcMar>
          </w:tcPr>
          <w:p>
            <w:r>
              <w:rPr>
                <w:b/>
                <w:bCs/>
                <w:color w:val="FFFFFF"/>
                <w:sz w:val="20"/>
                <w:szCs w:val="20"/>
              </w:rPr>
              <w:t xml:space="preserve">Adopted</w:t>
            </w:r>
          </w:p>
        </w:tc>
      </w:tr>
      <w:tr>
        <w:tc>
          <w:tcPr>
            <w:tcW w:type="dxa" w:w="2900"/>
            <w:tcMar>
              <w:top w:type="dxa" w:w="80"/>
              <w:left w:type="dxa" w:w="120"/>
              <w:bottom w:type="dxa" w:w="80"/>
              <w:right w:type="dxa" w:w="120"/>
            </w:tcMar>
          </w:tcPr>
          <w:p>
            <w:r>
              <w:rPr>
                <w:b w:val="false"/>
                <w:bCs w:val="false"/>
                <w:sz w:val="20"/>
                <w:szCs w:val="20"/>
              </w:rPr>
              <w:t xml:space="preserve">Orientation correction (rot270)</w:t>
            </w:r>
          </w:p>
        </w:tc>
        <w:tc>
          <w:tcPr>
            <w:tcW w:type="dxa" w:w="5000"/>
            <w:tcMar>
              <w:top w:type="dxa" w:w="80"/>
              <w:left w:type="dxa" w:w="120"/>
              <w:bottom w:type="dxa" w:w="80"/>
              <w:right w:type="dxa" w:w="120"/>
            </w:tcMar>
          </w:tcPr>
          <w:p>
            <w:r>
              <w:rPr>
                <w:b w:val="false"/>
                <w:bCs w:val="false"/>
                <w:sz w:val="20"/>
                <w:szCs w:val="20"/>
              </w:rPr>
              <w:t xml:space="preserve">External LV Dice 0.264 → 0.517. Confirmed via 8-way sweep.</w:t>
            </w:r>
          </w:p>
        </w:tc>
        <w:tc>
          <w:tcPr>
            <w:tcW w:type="dxa" w:w="1460"/>
            <w:tcMar>
              <w:top w:type="dxa" w:w="80"/>
              <w:left w:type="dxa" w:w="120"/>
              <w:bottom w:type="dxa" w:w="80"/>
              <w:right w:type="dxa" w:w="120"/>
            </w:tcMar>
          </w:tcPr>
          <w:p>
            <w:r>
              <w:rPr>
                <w:b w:val="false"/>
                <w:bCs w:val="false"/>
                <w:sz w:val="20"/>
                <w:szCs w:val="20"/>
              </w:rPr>
              <w:t xml:space="preserve">Yes</w:t>
            </w:r>
          </w:p>
        </w:tc>
      </w:tr>
      <w:tr>
        <w:tc>
          <w:tcPr>
            <w:tcW w:type="dxa" w:w="2900"/>
            <w:shd w:fill="F2F2F2" w:color="auto" w:val="clear"/>
            <w:tcMar>
              <w:top w:type="dxa" w:w="80"/>
              <w:left w:type="dxa" w:w="120"/>
              <w:bottom w:type="dxa" w:w="80"/>
              <w:right w:type="dxa" w:w="120"/>
            </w:tcMar>
          </w:tcPr>
          <w:p>
            <w:r>
              <w:rPr>
                <w:b w:val="false"/>
                <w:bCs w:val="false"/>
                <w:sz w:val="20"/>
                <w:szCs w:val="20"/>
              </w:rPr>
              <w:t xml:space="preserve">EfficientNet-B0 encoder</w:t>
            </w:r>
          </w:p>
        </w:tc>
        <w:tc>
          <w:tcPr>
            <w:tcW w:type="dxa" w:w="5000"/>
            <w:shd w:fill="F2F2F2" w:color="auto" w:val="clear"/>
            <w:tcMar>
              <w:top w:type="dxa" w:w="80"/>
              <w:left w:type="dxa" w:w="120"/>
              <w:bottom w:type="dxa" w:w="80"/>
              <w:right w:type="dxa" w:w="120"/>
            </w:tcMar>
          </w:tcPr>
          <w:p>
            <w:r>
              <w:rPr>
                <w:b w:val="false"/>
                <w:bCs w:val="false"/>
                <w:sz w:val="20"/>
                <w:szCs w:val="20"/>
              </w:rPr>
              <w:t xml:space="preserve">Fragmentation 44.3% → 2.4%; external Dice improved.</w:t>
            </w:r>
          </w:p>
        </w:tc>
        <w:tc>
          <w:tcPr>
            <w:tcW w:type="dxa" w:w="1460"/>
            <w:shd w:fill="F2F2F2" w:color="auto" w:val="clear"/>
            <w:tcMar>
              <w:top w:type="dxa" w:w="80"/>
              <w:left w:type="dxa" w:w="120"/>
              <w:bottom w:type="dxa" w:w="80"/>
              <w:right w:type="dxa" w:w="120"/>
            </w:tcMar>
          </w:tcPr>
          <w:p>
            <w:r>
              <w:rPr>
                <w:b w:val="false"/>
                <w:bCs w:val="false"/>
                <w:sz w:val="20"/>
                <w:szCs w:val="20"/>
              </w:rPr>
              <w:t xml:space="preserve">Yes</w:t>
            </w:r>
          </w:p>
        </w:tc>
      </w:tr>
      <w:tr>
        <w:tc>
          <w:tcPr>
            <w:tcW w:type="dxa" w:w="2900"/>
            <w:tcMar>
              <w:top w:type="dxa" w:w="80"/>
              <w:left w:type="dxa" w:w="120"/>
              <w:bottom w:type="dxa" w:w="80"/>
              <w:right w:type="dxa" w:w="120"/>
            </w:tcMar>
          </w:tcPr>
          <w:p>
            <w:r>
              <w:rPr>
                <w:b w:val="false"/>
                <w:bCs w:val="false"/>
                <w:sz w:val="20"/>
                <w:szCs w:val="20"/>
              </w:rPr>
              <w:t xml:space="preserve">Rotation-invariance + speckle noise augmentation</w:t>
            </w:r>
          </w:p>
        </w:tc>
        <w:tc>
          <w:tcPr>
            <w:tcW w:type="dxa" w:w="5000"/>
            <w:tcMar>
              <w:top w:type="dxa" w:w="80"/>
              <w:left w:type="dxa" w:w="120"/>
              <w:bottom w:type="dxa" w:w="80"/>
              <w:right w:type="dxa" w:w="120"/>
            </w:tcMar>
          </w:tcPr>
          <w:p>
            <w:r>
              <w:rPr>
                <w:b w:val="false"/>
                <w:bCs w:val="false"/>
                <w:sz w:val="20"/>
                <w:szCs w:val="20"/>
              </w:rPr>
              <w:t xml:space="preserve">External Dice unchanged (0.517 → 0.517); CAMUS Dice fell on every structure.</w:t>
            </w:r>
          </w:p>
        </w:tc>
        <w:tc>
          <w:tcPr>
            <w:tcW w:type="dxa" w:w="1460"/>
            <w:tcMar>
              <w:top w:type="dxa" w:w="80"/>
              <w:left w:type="dxa" w:w="120"/>
              <w:bottom w:type="dxa" w:w="80"/>
              <w:right w:type="dxa" w:w="120"/>
            </w:tcMar>
          </w:tcPr>
          <w:p>
            <w:r>
              <w:rPr>
                <w:b w:val="false"/>
                <w:bCs w:val="false"/>
                <w:sz w:val="20"/>
                <w:szCs w:val="20"/>
              </w:rPr>
              <w:t xml:space="preserve">No</w:t>
            </w:r>
          </w:p>
        </w:tc>
      </w:tr>
      <w:tr>
        <w:tc>
          <w:tcPr>
            <w:tcW w:type="dxa" w:w="2900"/>
            <w:shd w:fill="F2F2F2" w:color="auto" w:val="clear"/>
            <w:tcMar>
              <w:top w:type="dxa" w:w="80"/>
              <w:left w:type="dxa" w:w="120"/>
              <w:bottom w:type="dxa" w:w="80"/>
              <w:right w:type="dxa" w:w="120"/>
            </w:tcMar>
          </w:tcPr>
          <w:p>
            <w:r>
              <w:rPr>
                <w:b w:val="false"/>
                <w:bCs w:val="false"/>
                <w:sz w:val="20"/>
                <w:szCs w:val="20"/>
              </w:rPr>
              <w:t xml:space="preserve">archive2.zip as new RV/RA classes</w:t>
            </w:r>
          </w:p>
        </w:tc>
        <w:tc>
          <w:tcPr>
            <w:tcW w:type="dxa" w:w="5000"/>
            <w:shd w:fill="F2F2F2" w:color="auto" w:val="clear"/>
            <w:tcMar>
              <w:top w:type="dxa" w:w="80"/>
              <w:left w:type="dxa" w:w="120"/>
              <w:bottom w:type="dxa" w:w="80"/>
              <w:right w:type="dxa" w:w="120"/>
            </w:tcMar>
          </w:tcPr>
          <w:p>
            <w:r>
              <w:rPr>
                <w:b w:val="false"/>
                <w:bCs w:val="false"/>
                <w:sz w:val="20"/>
                <w:szCs w:val="20"/>
              </w:rPr>
              <w:t xml:space="preserve">Single-patient source — not validatable.</w:t>
            </w:r>
          </w:p>
        </w:tc>
        <w:tc>
          <w:tcPr>
            <w:tcW w:type="dxa" w:w="1460"/>
            <w:shd w:fill="F2F2F2" w:color="auto" w:val="clear"/>
            <w:tcMar>
              <w:top w:type="dxa" w:w="80"/>
              <w:left w:type="dxa" w:w="120"/>
              <w:bottom w:type="dxa" w:w="80"/>
              <w:right w:type="dxa" w:w="120"/>
            </w:tcMar>
          </w:tcPr>
          <w:p>
            <w:r>
              <w:rPr>
                <w:b w:val="false"/>
                <w:bCs w:val="false"/>
                <w:sz w:val="20"/>
                <w:szCs w:val="20"/>
              </w:rPr>
              <w:t xml:space="preserve">No</w:t>
            </w:r>
          </w:p>
        </w:tc>
      </w:tr>
      <w:tr>
        <w:tc>
          <w:tcPr>
            <w:tcW w:type="dxa" w:w="2900"/>
            <w:tcMar>
              <w:top w:type="dxa" w:w="80"/>
              <w:left w:type="dxa" w:w="120"/>
              <w:bottom w:type="dxa" w:w="80"/>
              <w:right w:type="dxa" w:w="120"/>
            </w:tcMar>
          </w:tcPr>
          <w:p>
            <w:r>
              <w:rPr>
                <w:b w:val="false"/>
                <w:bCs w:val="false"/>
                <w:sz w:val="20"/>
                <w:szCs w:val="20"/>
              </w:rPr>
              <w:t xml:space="preserve">archive2.zip LV/LA labels folded into training</w:t>
            </w:r>
          </w:p>
        </w:tc>
        <w:tc>
          <w:tcPr>
            <w:tcW w:type="dxa" w:w="5000"/>
            <w:tcMar>
              <w:top w:type="dxa" w:w="80"/>
              <w:left w:type="dxa" w:w="120"/>
              <w:bottom w:type="dxa" w:w="80"/>
              <w:right w:type="dxa" w:w="120"/>
            </w:tcMar>
          </w:tcPr>
          <w:p>
            <w:r>
              <w:rPr>
                <w:b w:val="false"/>
                <w:bCs w:val="false"/>
                <w:sz w:val="20"/>
                <w:szCs w:val="20"/>
              </w:rPr>
              <w:t xml:space="preserve">CAMUS Dice fell slightly; external Dice 0.517 → 0.526 (within noise).</w:t>
            </w:r>
          </w:p>
        </w:tc>
        <w:tc>
          <w:tcPr>
            <w:tcW w:type="dxa" w:w="1460"/>
            <w:tcMar>
              <w:top w:type="dxa" w:w="80"/>
              <w:left w:type="dxa" w:w="120"/>
              <w:bottom w:type="dxa" w:w="80"/>
              <w:right w:type="dxa" w:w="120"/>
            </w:tcMar>
          </w:tcPr>
          <w:p>
            <w:r>
              <w:rPr>
                <w:b w:val="false"/>
                <w:bCs w:val="false"/>
                <w:sz w:val="20"/>
                <w:szCs w:val="20"/>
              </w:rPr>
              <w:t xml:space="preserve">No</w:t>
            </w:r>
          </w:p>
        </w:tc>
      </w:tr>
      <w:tr>
        <w:tc>
          <w:tcPr>
            <w:tcW w:type="dxa" w:w="2900"/>
            <w:shd w:fill="F2F2F2" w:color="auto" w:val="clear"/>
            <w:tcMar>
              <w:top w:type="dxa" w:w="80"/>
              <w:left w:type="dxa" w:w="120"/>
              <w:bottom w:type="dxa" w:w="80"/>
              <w:right w:type="dxa" w:w="120"/>
            </w:tcMar>
          </w:tcPr>
          <w:p>
            <w:r>
              <w:rPr>
                <w:b w:val="false"/>
                <w:bCs w:val="false"/>
                <w:sz w:val="20"/>
                <w:szCs w:val="20"/>
              </w:rPr>
              <w:t xml:space="preserve">Fine-tuning on archive.zip (×2)</w:t>
            </w:r>
          </w:p>
        </w:tc>
        <w:tc>
          <w:tcPr>
            <w:tcW w:type="dxa" w:w="5000"/>
            <w:shd w:fill="F2F2F2" w:color="auto" w:val="clear"/>
            <w:tcMar>
              <w:top w:type="dxa" w:w="80"/>
              <w:left w:type="dxa" w:w="120"/>
              <w:bottom w:type="dxa" w:w="80"/>
              <w:right w:type="dxa" w:w="120"/>
            </w:tcMar>
          </w:tcPr>
          <w:p>
            <w:r>
              <w:rPr>
                <w:b w:val="false"/>
                <w:bCs w:val="false"/>
                <w:sz w:val="20"/>
                <w:szCs w:val="20"/>
              </w:rPr>
              <w:t xml:space="preserve">External Dice → ~0.87, but CAMUS LV 0.925 → 0.657, myocardium 0.840 → 0.214; fragmentation → ~85%.</w:t>
            </w:r>
          </w:p>
        </w:tc>
        <w:tc>
          <w:tcPr>
            <w:tcW w:type="dxa" w:w="1460"/>
            <w:shd w:fill="F2F2F2" w:color="auto" w:val="clear"/>
            <w:tcMar>
              <w:top w:type="dxa" w:w="80"/>
              <w:left w:type="dxa" w:w="120"/>
              <w:bottom w:type="dxa" w:w="80"/>
              <w:right w:type="dxa" w:w="120"/>
            </w:tcMar>
          </w:tcPr>
          <w:p>
            <w:r>
              <w:rPr>
                <w:b w:val="false"/>
                <w:bCs w:val="false"/>
                <w:sz w:val="20"/>
                <w:szCs w:val="20"/>
              </w:rPr>
              <w:t xml:space="preserve">No</w:t>
            </w:r>
          </w:p>
        </w:tc>
      </w:tr>
    </w:tbl>
    <w:p>
      <w:pPr>
        <w:spacing w:after="120"/>
      </w:pPr>
      <w:r>
        <w:t xml:space="preserve"/>
      </w:r>
    </w:p>
    <w:p>
      <w:pPr>
        <w:pStyle w:val="Heading2"/>
        <w:spacing w:after="120" w:before="260"/>
      </w:pPr>
      <w:r>
        <w:t xml:space="preserve">4.1 Orientation correction (adopted)</w:t>
      </w:r>
    </w:p>
    <w:p>
      <w:pPr>
        <w:spacing w:after="120"/>
      </w:pPr>
      <w:r>
        <w:t xml:space="preserve">The initial external Dice of 0.264 was hypothesised to reflect an acquisition-convention mismatch rather than a model deficiency. Rather than assume a direction, all eight orientations were tested against the already-trained checkpoint: rot0 = 0.264, rot90 = 0.424, rot180 = 0.378, rot270 = 0.517, with flipped variants offering no further improvement. This single correction recovers roughly half the gap at zero training cost.</w:t>
      </w:r>
    </w:p>
    <w:p>
      <w:pPr>
        <w:pStyle w:val="Heading2"/>
        <w:spacing w:after="120" w:before="260"/>
      </w:pPr>
      <w:r>
        <w:t xml:space="preserve">4.2 Augmentation upgrade (rejected)</w:t>
      </w:r>
    </w:p>
    <w:p>
      <w:pPr>
        <w:spacing w:after="120"/>
      </w:pPr>
      <w:r>
        <w:t xml:space="preserve">Laplacian-variance measurement showed the external dataset carries approximately 66% more high-frequency image energy than CAMUS (1303.9 vs 787.8) — i.e. noisier, not blurrier. This motivated multiplicative speckle noise (the physically correct ultrasound noise model) rather than Gaussian blur, together with 90° rotation invariance.</w:t>
      </w:r>
    </w:p>
    <w:p>
      <w:pPr>
        <w:spacing w:after="120"/>
      </w:pPr>
      <w:r>
        <w:t xml:space="preserve">Tested in isolation, the result was unambiguous: external Dice remained at exactly 0.517, while CAMUS Dice declined on all three structures (0.929/0.846/0.895 → 0.910/0.823/0.885). Directly targeting the measured noise difference produced no measurable benefit, which argues the residual gap is not primarily a texture-statistics problem.</w:t>
      </w:r>
    </w:p>
    <w:p>
      <w:pPr>
        <w:pStyle w:val="Heading2"/>
        <w:spacing w:after="120" w:before="260"/>
      </w:pPr>
      <w:r>
        <w:t xml:space="preserve">4.3 Second-dataset integration (rejected)</w:t>
      </w:r>
    </w:p>
    <w:p>
      <w:pPr>
        <w:spacing w:after="120"/>
      </w:pPr>
      <w:r>
        <w:t xml:space="preserve">archive2.zip was evaluated in two forms. First, as an extension to five output classes adding RV and RA: rejected once frame-difference analysis established that all 100 frames originate from one patient, making any internal split incapable of demonstrating generalisation.</w:t>
      </w:r>
    </w:p>
    <w:p>
      <w:pPr>
        <w:spacing w:after="120"/>
      </w:pPr>
      <w:r>
        <w:t xml:space="preserve">Second, its LV/LA labels were folded into training the existing three-structure model, using an ignore-index scheme so that pixels this dataset leaves unannotated (which may contain real myocardium) are excluded from the loss rather than taught as confirmed background. Measured outcome: CAMUS Dice declined slightly across all three structures (0.929/0.846/0.895 → 0.919/0.827/0.882) while external Dice moved 0.517 → 0.526, a change within run-to-run variance. No benefit, small cost.</w:t>
      </w:r>
    </w:p>
    <w:p>
      <w:pPr>
        <w:pStyle w:val="Heading2"/>
        <w:spacing w:after="120" w:before="260"/>
      </w:pPr>
      <w:r>
        <w:t xml:space="preserve">4.4 Domain-adaptation fine-tuning (rejected)</w:t>
      </w:r>
    </w:p>
    <w:p>
      <w:pPr>
        <w:spacing w:after="120"/>
      </w:pPr>
      <w:r>
        <w:t xml:space="preserve">The most promising remaining hypothesis was that the model understands cardiac anatomy but not this specific imaging domain — a hypothesis that fine-tuning tests directly. The CAMUS-pretrained model was fine-tuned on 80% of archive.zip (learning rate 5×10⁻⁵, 12 epochs, encoder frozen for the first four) and evaluated on the remaining 20%.</w:t>
      </w:r>
    </w:p>
    <w:p>
      <w:pPr>
        <w:spacing w:after="120"/>
      </w:pPr>
      <w:r>
        <w:t xml:space="preserve">The first attempt produced strong LV adaptation (held-out Dice 0.522 → 0.880) but catastrophic forgetting: myocardium and LA Dice collapsed to approximately zero within two epochs. The cause is structural — archive.zip contains no labels for background, myocardium, or LA at all, so nothing anchored those three classes during fine-tuning.</w:t>
      </w:r>
    </w:p>
    <w:p>
      <w:pPr>
        <w:spacing w:after="120"/>
      </w:pPr>
      <w:r>
        <w:t xml:space="preserve">A second attempt added CAMUS replay, pairing every external batch with a CAMUS batch in the same optimisation step. This mitigated but did not solve the problem: CAMUS LV fell to 0.657 and myocardium to 0.214, and retention never exceeded 0.77 at any epoch in the trajectory. Prediction fragmentation simultaneously rose to roughly 85% of frames, indicating the elevated external Dice reflects aggressive over-segmentation rather than genuinely coherent delineation.</w:t>
      </w:r>
    </w:p>
    <w:p>
      <w:pPr>
        <w:spacing w:after="120"/>
      </w:pPr>
      <w:r>
        <w:rPr>
          <w:b/>
          <w:bCs/>
        </w:rPr>
        <w:t xml:space="preserve">Decision: </w:t>
      </w:r>
      <w:r>
        <w:t xml:space="preserve">rejected. A model that segments one external dataset well but loses myocardium segmentation entirely is not a better model. The adopted configuration is the only one satisfying all three requirements simultaneously — strong in-distribution performance, stable training, and no catastrophic forgetting.</w:t>
      </w:r>
    </w:p>
    <w:p>
      <w:r>
        <w:br w:type="page"/>
      </w:r>
    </w:p>
    <w:p>
      <w:pPr>
        <w:pStyle w:val="Heading1"/>
        <w:spacing w:after="160" w:before="360"/>
      </w:pPr>
      <w:r>
        <w:t xml:space="preserve">5. Ejection fraction</w:t>
      </w:r>
    </w:p>
    <w:p>
      <w:pPr>
        <w:spacing w:after="120"/>
      </w:pPr>
      <w:r>
        <w:t xml:space="preserve">Segmentation is a means rather than the end: the clinical question concerns ventricular function. An area-based ejection-fraction proxy is computed from the model’s own predicted masks (not from ground truth), so the measurement exercises the full pipeline as it would run in practice:</w:t>
      </w:r>
    </w:p>
    <w:p>
      <w:pPr>
        <w:spacing w:after="160" w:before="120"/>
        <w:jc w:val="center"/>
      </w:pPr>
      <w:r>
        <w:rPr>
          <w:rFonts w:ascii="Consolas" w:cs="Consolas" w:eastAsia="Consolas" w:hAnsi="Consolas"/>
          <w:sz w:val="20"/>
          <w:szCs w:val="20"/>
        </w:rPr>
        <w:t xml:space="preserve">AEF = (LV_area_ED − LV_area_ES) / LV_area_ED × 100</w:t>
      </w:r>
    </w:p>
    <w:p>
      <w:pPr>
        <w:spacing w:after="120"/>
      </w:pPr>
      <w:r>
        <w:t xml:space="preserve">This simplifies true volumetric EF, which requires Simpson’s-method disk summation across a biplane acquisition. With a single 2D view, area serves as a proxy and not a clinical-grade measurement.</w:t>
      </w:r>
    </w:p>
    <w:p>
      <w:pPr>
        <w:spacing w:after="120"/>
      </w:pPr>
      <w:r>
        <w:t xml:space="preserve">Three bands are reported rather than the four of standard clinical practice. The mildly / moderately / severely reduced bands are each roughly ten points wide — narrower than this proxy’s expected error — so a four-way split largely measures noise. The agent therefore reports normal (≥ 55%), reduced (30–54%), and severe (&lt; 30%), which is more stable and sufficient for the downstream reasoning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1F4E79" w:color="auto" w:val="clear"/>
            <w:tcMar>
              <w:top w:type="dxa" w:w="80"/>
              <w:left w:type="dxa" w:w="120"/>
              <w:bottom w:type="dxa" w:w="80"/>
              <w:right w:type="dxa" w:w="120"/>
            </w:tcMar>
          </w:tcPr>
          <w:p>
            <w:r>
              <w:rPr>
                <w:b/>
                <w:bCs/>
                <w:color w:val="FFFFFF"/>
                <w:sz w:val="20"/>
                <w:szCs w:val="20"/>
              </w:rPr>
              <w:t xml:space="preserve">Band</w:t>
            </w:r>
          </w:p>
        </w:tc>
        <w:tc>
          <w:tcPr>
            <w:tcW w:type="dxa" w:w="2600"/>
            <w:shd w:fill="1F4E79" w:color="auto" w:val="clear"/>
            <w:tcMar>
              <w:top w:type="dxa" w:w="80"/>
              <w:left w:type="dxa" w:w="120"/>
              <w:bottom w:type="dxa" w:w="80"/>
              <w:right w:type="dxa" w:w="120"/>
            </w:tcMar>
          </w:tcPr>
          <w:p>
            <w:r>
              <w:rPr>
                <w:b/>
                <w:bCs/>
                <w:color w:val="FFFFFF"/>
                <w:sz w:val="20"/>
                <w:szCs w:val="20"/>
              </w:rPr>
              <w:t xml:space="preserve">Ejection fraction</w:t>
            </w:r>
          </w:p>
        </w:tc>
        <w:tc>
          <w:tcPr>
            <w:tcW w:type="dxa" w:w="4560"/>
            <w:shd w:fill="1F4E79" w:color="auto" w:val="clear"/>
            <w:tcMar>
              <w:top w:type="dxa" w:w="80"/>
              <w:left w:type="dxa" w:w="120"/>
              <w:bottom w:type="dxa" w:w="80"/>
              <w:right w:type="dxa" w:w="120"/>
            </w:tcMar>
          </w:tcPr>
          <w:p>
            <w:r>
              <w:rPr>
                <w:b/>
                <w:bCs/>
                <w:color w:val="FFFFFF"/>
                <w:sz w:val="20"/>
                <w:szCs w:val="20"/>
              </w:rPr>
              <w:t xml:space="preserve">Reported finding</w:t>
            </w:r>
          </w:p>
        </w:tc>
      </w:tr>
      <w:tr>
        <w:tc>
          <w:tcPr>
            <w:tcW w:type="dxa" w:w="2200"/>
            <w:tcMar>
              <w:top w:type="dxa" w:w="80"/>
              <w:left w:type="dxa" w:w="120"/>
              <w:bottom w:type="dxa" w:w="80"/>
              <w:right w:type="dxa" w:w="120"/>
            </w:tcMar>
          </w:tcPr>
          <w:p>
            <w:r>
              <w:rPr>
                <w:b w:val="false"/>
                <w:bCs w:val="false"/>
                <w:sz w:val="20"/>
                <w:szCs w:val="20"/>
              </w:rPr>
              <w:t xml:space="preserve">Normal</w:t>
            </w:r>
          </w:p>
        </w:tc>
        <w:tc>
          <w:tcPr>
            <w:tcW w:type="dxa" w:w="2600"/>
            <w:tcMar>
              <w:top w:type="dxa" w:w="80"/>
              <w:left w:type="dxa" w:w="120"/>
              <w:bottom w:type="dxa" w:w="80"/>
              <w:right w:type="dxa" w:w="120"/>
            </w:tcMar>
          </w:tcPr>
          <w:p>
            <w:r>
              <w:rPr>
                <w:b w:val="false"/>
                <w:bCs w:val="false"/>
                <w:sz w:val="20"/>
                <w:szCs w:val="20"/>
              </w:rPr>
              <w:t xml:space="preserve">≥ 55%</w:t>
            </w:r>
          </w:p>
        </w:tc>
        <w:tc>
          <w:tcPr>
            <w:tcW w:type="dxa" w:w="4560"/>
            <w:tcMar>
              <w:top w:type="dxa" w:w="80"/>
              <w:left w:type="dxa" w:w="120"/>
              <w:bottom w:type="dxa" w:w="80"/>
              <w:right w:type="dxa" w:w="120"/>
            </w:tcMar>
          </w:tcPr>
          <w:p>
            <w:r>
              <w:rPr>
                <w:b w:val="false"/>
                <w:bCs w:val="false"/>
                <w:sz w:val="20"/>
                <w:szCs w:val="20"/>
              </w:rPr>
              <w:t xml:space="preserve">Normal ventricular function</w:t>
            </w:r>
          </w:p>
        </w:tc>
      </w:tr>
      <w:tr>
        <w:tc>
          <w:tcPr>
            <w:tcW w:type="dxa" w:w="2200"/>
            <w:shd w:fill="F2F2F2" w:color="auto" w:val="clear"/>
            <w:tcMar>
              <w:top w:type="dxa" w:w="80"/>
              <w:left w:type="dxa" w:w="120"/>
              <w:bottom w:type="dxa" w:w="80"/>
              <w:right w:type="dxa" w:w="120"/>
            </w:tcMar>
          </w:tcPr>
          <w:p>
            <w:r>
              <w:rPr>
                <w:b w:val="false"/>
                <w:bCs w:val="false"/>
                <w:sz w:val="20"/>
                <w:szCs w:val="20"/>
              </w:rPr>
              <w:t xml:space="preserve">Reduced</w:t>
            </w:r>
          </w:p>
        </w:tc>
        <w:tc>
          <w:tcPr>
            <w:tcW w:type="dxa" w:w="2600"/>
            <w:shd w:fill="F2F2F2" w:color="auto" w:val="clear"/>
            <w:tcMar>
              <w:top w:type="dxa" w:w="80"/>
              <w:left w:type="dxa" w:w="120"/>
              <w:bottom w:type="dxa" w:w="80"/>
              <w:right w:type="dxa" w:w="120"/>
            </w:tcMar>
          </w:tcPr>
          <w:p>
            <w:r>
              <w:rPr>
                <w:b w:val="false"/>
                <w:bCs w:val="false"/>
                <w:sz w:val="20"/>
                <w:szCs w:val="20"/>
              </w:rPr>
              <w:t xml:space="preserve">30 – 54%</w:t>
            </w:r>
          </w:p>
        </w:tc>
        <w:tc>
          <w:tcPr>
            <w:tcW w:type="dxa" w:w="4560"/>
            <w:shd w:fill="F2F2F2" w:color="auto" w:val="clear"/>
            <w:tcMar>
              <w:top w:type="dxa" w:w="80"/>
              <w:left w:type="dxa" w:w="120"/>
              <w:bottom w:type="dxa" w:w="80"/>
              <w:right w:type="dxa" w:w="120"/>
            </w:tcMar>
          </w:tcPr>
          <w:p>
            <w:r>
              <w:rPr>
                <w:b w:val="false"/>
                <w:bCs w:val="false"/>
                <w:sz w:val="20"/>
                <w:szCs w:val="20"/>
              </w:rPr>
              <w:t xml:space="preserve">Mild-to-moderate LV dysfunction</w:t>
            </w:r>
          </w:p>
        </w:tc>
      </w:tr>
      <w:tr>
        <w:tc>
          <w:tcPr>
            <w:tcW w:type="dxa" w:w="2200"/>
            <w:tcMar>
              <w:top w:type="dxa" w:w="80"/>
              <w:left w:type="dxa" w:w="120"/>
              <w:bottom w:type="dxa" w:w="80"/>
              <w:right w:type="dxa" w:w="120"/>
            </w:tcMar>
          </w:tcPr>
          <w:p>
            <w:r>
              <w:rPr>
                <w:b w:val="false"/>
                <w:bCs w:val="false"/>
                <w:sz w:val="20"/>
                <w:szCs w:val="20"/>
              </w:rPr>
              <w:t xml:space="preserve">Severe</w:t>
            </w:r>
          </w:p>
        </w:tc>
        <w:tc>
          <w:tcPr>
            <w:tcW w:type="dxa" w:w="2600"/>
            <w:tcMar>
              <w:top w:type="dxa" w:w="80"/>
              <w:left w:type="dxa" w:w="120"/>
              <w:bottom w:type="dxa" w:w="80"/>
              <w:right w:type="dxa" w:w="120"/>
            </w:tcMar>
          </w:tcPr>
          <w:p>
            <w:r>
              <w:rPr>
                <w:b w:val="false"/>
                <w:bCs w:val="false"/>
                <w:sz w:val="20"/>
                <w:szCs w:val="20"/>
              </w:rPr>
              <w:t xml:space="preserve">&lt; 30%</w:t>
            </w:r>
          </w:p>
        </w:tc>
        <w:tc>
          <w:tcPr>
            <w:tcW w:type="dxa" w:w="4560"/>
            <w:tcMar>
              <w:top w:type="dxa" w:w="80"/>
              <w:left w:type="dxa" w:w="120"/>
              <w:bottom w:type="dxa" w:w="80"/>
              <w:right w:type="dxa" w:w="120"/>
            </w:tcMar>
          </w:tcPr>
          <w:p>
            <w:r>
              <w:rPr>
                <w:b w:val="false"/>
                <w:bCs w:val="false"/>
                <w:sz w:val="20"/>
                <w:szCs w:val="20"/>
              </w:rPr>
              <w:t xml:space="preserve">Severe LV dysfunction</w:t>
            </w:r>
          </w:p>
        </w:tc>
      </w:tr>
    </w:tbl>
    <w:p>
      <w:pPr>
        <w:spacing w:after="120"/>
      </w:pPr>
      <w:r>
        <w:t xml:space="preserve"/>
      </w:r>
    </w:p>
    <w:p>
      <w:pPr>
        <w:spacing w:after="120"/>
      </w:pPr>
      <w:r>
        <w:t xml:space="preserve">Both four-band and three-band agreement are reported against a majority-class baseline, since an agreement figure that fails to beat "always predict the most common band" carries no information.</w:t>
      </w:r>
    </w:p>
    <w:p>
      <w:pPr>
        <w:pStyle w:val="Heading2"/>
        <w:spacing w:after="120" w:before="260"/>
      </w:pPr>
      <w:r>
        <w:t xml:space="preserve">5.1 The area-to-volume correction</w:t>
      </w:r>
    </w:p>
    <w:p>
      <w:pPr>
        <w:spacing w:after="120"/>
      </w:pPr>
      <w:r>
        <w:t xml:space="preserve">A first evaluation computed EF directly from left-ventricular pixel area and failed: 29.0% four-band agreement against a 43.0% majority-class baseline, with a mean absolute error of 12.7 percentage points. Correlation, however, was 0.752 — the model ranked patients correctly and was systematically offset, which indicates bias rather than noise.</w:t>
      </w:r>
    </w:p>
    <w:p>
      <w:pPr>
        <w:spacing w:after="120"/>
      </w:pPr>
      <w:r>
        <w:t xml:space="preserve">The cause is geometric. Ejection fraction is defined on volumes, whereas a single 2D view measures area. For an approximately ellipsoidal ventricle, volume scales as area raised to the power 3/2, so the measured area ratio understates the true volumetric change:</w:t>
      </w:r>
    </w:p>
    <w:p>
      <w:pPr>
        <w:spacing w:after="160" w:before="120"/>
        <w:jc w:val="center"/>
      </w:pPr>
      <w:r>
        <w:rPr>
          <w:rFonts w:ascii="Consolas" w:cs="Consolas" w:eastAsia="Consolas" w:hAnsi="Consolas"/>
          <w:sz w:val="18"/>
          <w:szCs w:val="18"/>
        </w:rPr>
        <w:t xml:space="preserve">EF_area = 1 − (1 − EF_true)^(2/3)     →     EF_volume = 1 − (1 − EF_area)^(3/2)</w:t>
      </w:r>
    </w:p>
    <w:p>
      <w:pPr>
        <w:spacing w:after="120"/>
      </w:pPr>
      <w:r>
        <w:t xml:space="preserve">Averaged across the physiological range, the predicted bias is 12.1 percentage points against an observed error of 12.7 — agreement close enough to identify the mechanism rather than merely fit it. Inverting the relationship reduced mean absolute error from 12.7 to 7.1 percentage points and moved four-band agreement from 29.0% (failing) to 50.0% against the same 43.0% baseline.</w:t>
      </w:r>
    </w:p>
    <w:p>
      <w:pPr>
        <w:pStyle w:val="Heading2"/>
        <w:spacing w:after="120" w:before="260"/>
      </w:pPr>
      <w:r>
        <w:t xml:space="preserve">5.2 Results and the choice of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rPr>
          <w:tblHeader/>
        </w:trPr>
        <w:tc>
          <w:tcPr>
            <w:tcW w:type="dxa" w:w="3600"/>
            <w:shd w:fill="1F4E79" w:color="auto" w:val="clear"/>
            <w:tcMar>
              <w:top w:type="dxa" w:w="80"/>
              <w:left w:type="dxa" w:w="120"/>
              <w:bottom w:type="dxa" w:w="80"/>
              <w:right w:type="dxa" w:w="120"/>
            </w:tcMar>
          </w:tcPr>
          <w:p>
            <w:r>
              <w:rPr>
                <w:b/>
                <w:bCs/>
                <w:color w:val="FFFFFF"/>
                <w:sz w:val="20"/>
                <w:szCs w:val="20"/>
              </w:rPr>
              <w:t xml:space="preserve">Metric</w:t>
            </w:r>
          </w:p>
        </w:tc>
        <w:tc>
          <w:tcPr>
            <w:tcW w:type="dxa" w:w="2600"/>
            <w:shd w:fill="1F4E79" w:color="auto" w:val="clear"/>
            <w:tcMar>
              <w:top w:type="dxa" w:w="80"/>
              <w:left w:type="dxa" w:w="120"/>
              <w:bottom w:type="dxa" w:w="80"/>
              <w:right w:type="dxa" w:w="120"/>
            </w:tcMar>
          </w:tcPr>
          <w:p>
            <w:r>
              <w:rPr>
                <w:b/>
                <w:bCs/>
                <w:color w:val="FFFFFF"/>
                <w:sz w:val="20"/>
                <w:szCs w:val="20"/>
              </w:rPr>
              <w:t xml:space="preserve">Result</w:t>
            </w:r>
          </w:p>
        </w:tc>
        <w:tc>
          <w:tcPr>
            <w:tcW w:type="dxa" w:w="3160"/>
            <w:shd w:fill="1F4E79" w:color="auto" w:val="clear"/>
            <w:tcMar>
              <w:top w:type="dxa" w:w="80"/>
              <w:left w:type="dxa" w:w="120"/>
              <w:bottom w:type="dxa" w:w="80"/>
              <w:right w:type="dxa" w:w="120"/>
            </w:tcMar>
          </w:tcPr>
          <w:p>
            <w:r>
              <w:rPr>
                <w:b/>
                <w:bCs/>
                <w:color w:val="FFFFFF"/>
                <w:sz w:val="20"/>
                <w:szCs w:val="20"/>
              </w:rPr>
              <w:t xml:space="preserve">Reference</w:t>
            </w:r>
          </w:p>
        </w:tc>
      </w:tr>
      <w:tr>
        <w:tc>
          <w:tcPr>
            <w:tcW w:type="dxa" w:w="3600"/>
            <w:tcMar>
              <w:top w:type="dxa" w:w="80"/>
              <w:left w:type="dxa" w:w="120"/>
              <w:bottom w:type="dxa" w:w="80"/>
              <w:right w:type="dxa" w:w="120"/>
            </w:tcMar>
          </w:tcPr>
          <w:p>
            <w:r>
              <w:rPr>
                <w:b w:val="false"/>
                <w:bCs w:val="false"/>
                <w:sz w:val="20"/>
                <w:szCs w:val="20"/>
              </w:rPr>
              <w:t xml:space="preserve">Mean absolute error</w:t>
            </w:r>
          </w:p>
        </w:tc>
        <w:tc>
          <w:tcPr>
            <w:tcW w:type="dxa" w:w="2600"/>
            <w:tcMar>
              <w:top w:type="dxa" w:w="80"/>
              <w:left w:type="dxa" w:w="120"/>
              <w:bottom w:type="dxa" w:w="80"/>
              <w:right w:type="dxa" w:w="120"/>
            </w:tcMar>
          </w:tcPr>
          <w:p>
            <w:r>
              <w:rPr>
                <w:b w:val="false"/>
                <w:bCs w:val="false"/>
                <w:sz w:val="20"/>
                <w:szCs w:val="20"/>
              </w:rPr>
              <w:t xml:space="preserve">7.1 pp</w:t>
            </w:r>
          </w:p>
        </w:tc>
        <w:tc>
          <w:tcPr>
            <w:tcW w:type="dxa" w:w="3160"/>
            <w:tcMar>
              <w:top w:type="dxa" w:w="80"/>
              <w:left w:type="dxa" w:w="120"/>
              <w:bottom w:type="dxa" w:w="80"/>
              <w:right w:type="dxa" w:w="120"/>
            </w:tcMar>
          </w:tcPr>
          <w:p>
            <w:r>
              <w:rPr>
                <w:b w:val="false"/>
                <w:bCs w:val="false"/>
                <w:sz w:val="20"/>
                <w:szCs w:val="20"/>
              </w:rPr>
              <w:t xml:space="preserve">Raw area EF: 12.7 pp</w:t>
            </w:r>
          </w:p>
        </w:tc>
      </w:tr>
      <w:tr>
        <w:tc>
          <w:tcPr>
            <w:tcW w:type="dxa" w:w="3600"/>
            <w:shd w:fill="F2F2F2" w:color="auto" w:val="clear"/>
            <w:tcMar>
              <w:top w:type="dxa" w:w="80"/>
              <w:left w:type="dxa" w:w="120"/>
              <w:bottom w:type="dxa" w:w="80"/>
              <w:right w:type="dxa" w:w="120"/>
            </w:tcMar>
          </w:tcPr>
          <w:p>
            <w:r>
              <w:rPr>
                <w:b w:val="false"/>
                <w:bCs w:val="false"/>
                <w:sz w:val="20"/>
                <w:szCs w:val="20"/>
              </w:rPr>
              <w:t xml:space="preserve">Correlation</w:t>
            </w:r>
          </w:p>
        </w:tc>
        <w:tc>
          <w:tcPr>
            <w:tcW w:type="dxa" w:w="2600"/>
            <w:shd w:fill="F2F2F2" w:color="auto" w:val="clear"/>
            <w:tcMar>
              <w:top w:type="dxa" w:w="80"/>
              <w:left w:type="dxa" w:w="120"/>
              <w:bottom w:type="dxa" w:w="80"/>
              <w:right w:type="dxa" w:w="120"/>
            </w:tcMar>
          </w:tcPr>
          <w:p>
            <w:r>
              <w:rPr>
                <w:b w:val="false"/>
                <w:bCs w:val="false"/>
                <w:sz w:val="20"/>
                <w:szCs w:val="20"/>
              </w:rPr>
              <w:t xml:space="preserve">0.756</w:t>
            </w:r>
          </w:p>
        </w:tc>
        <w:tc>
          <w:tcPr>
            <w:tcW w:type="dxa" w:w="3160"/>
            <w:shd w:fill="F2F2F2" w:color="auto" w:val="clear"/>
            <w:tcMar>
              <w:top w:type="dxa" w:w="80"/>
              <w:left w:type="dxa" w:w="120"/>
              <w:bottom w:type="dxa" w:w="80"/>
              <w:right w:type="dxa" w:w="120"/>
            </w:tcMar>
          </w:tcPr>
          <w:p>
            <w:r>
              <w:rPr>
                <w:b w:val="false"/>
                <w:bCs w:val="false"/>
                <w:sz w:val="20"/>
                <w:szCs w:val="20"/>
              </w:rPr>
              <w:t xml:space="preserve">—</w:t>
            </w:r>
          </w:p>
        </w:tc>
      </w:tr>
      <w:tr>
        <w:tc>
          <w:tcPr>
            <w:tcW w:type="dxa" w:w="3600"/>
            <w:tcMar>
              <w:top w:type="dxa" w:w="80"/>
              <w:left w:type="dxa" w:w="120"/>
              <w:bottom w:type="dxa" w:w="80"/>
              <w:right w:type="dxa" w:w="120"/>
            </w:tcMar>
          </w:tcPr>
          <w:p>
            <w:r>
              <w:rPr>
                <w:b w:val="false"/>
                <w:bCs w:val="false"/>
                <w:sz w:val="20"/>
                <w:szCs w:val="20"/>
              </w:rPr>
              <w:t xml:space="preserve">Balanced accuracy (3-band)</w:t>
            </w:r>
          </w:p>
        </w:tc>
        <w:tc>
          <w:tcPr>
            <w:tcW w:type="dxa" w:w="2600"/>
            <w:tcMar>
              <w:top w:type="dxa" w:w="80"/>
              <w:left w:type="dxa" w:w="120"/>
              <w:bottom w:type="dxa" w:w="80"/>
              <w:right w:type="dxa" w:w="120"/>
            </w:tcMar>
          </w:tcPr>
          <w:p>
            <w:r>
              <w:rPr>
                <w:b w:val="false"/>
                <w:bCs w:val="false"/>
                <w:sz w:val="20"/>
                <w:szCs w:val="20"/>
              </w:rPr>
              <w:t xml:space="preserve">59.5%</w:t>
            </w:r>
          </w:p>
        </w:tc>
        <w:tc>
          <w:tcPr>
            <w:tcW w:type="dxa" w:w="3160"/>
            <w:tcMar>
              <w:top w:type="dxa" w:w="80"/>
              <w:left w:type="dxa" w:w="120"/>
              <w:bottom w:type="dxa" w:w="80"/>
              <w:right w:type="dxa" w:w="120"/>
            </w:tcMar>
          </w:tcPr>
          <w:p>
            <w:r>
              <w:rPr>
                <w:b w:val="false"/>
                <w:bCs w:val="false"/>
                <w:sz w:val="20"/>
                <w:szCs w:val="20"/>
              </w:rPr>
              <w:t xml:space="preserve">Chance: 33.3%</w:t>
            </w:r>
          </w:p>
        </w:tc>
      </w:tr>
      <w:tr>
        <w:tc>
          <w:tcPr>
            <w:tcW w:type="dxa" w:w="3600"/>
            <w:shd w:fill="F2F2F2" w:color="auto" w:val="clear"/>
            <w:tcMar>
              <w:top w:type="dxa" w:w="80"/>
              <w:left w:type="dxa" w:w="120"/>
              <w:bottom w:type="dxa" w:w="80"/>
              <w:right w:type="dxa" w:w="120"/>
            </w:tcMar>
          </w:tcPr>
          <w:p>
            <w:r>
              <w:rPr>
                <w:b w:val="false"/>
                <w:bCs w:val="false"/>
                <w:sz w:val="20"/>
                <w:szCs w:val="20"/>
              </w:rPr>
              <w:t xml:space="preserve">Plain accuracy (3-band)</w:t>
            </w:r>
          </w:p>
        </w:tc>
        <w:tc>
          <w:tcPr>
            <w:tcW w:type="dxa" w:w="2600"/>
            <w:shd w:fill="F2F2F2" w:color="auto" w:val="clear"/>
            <w:tcMar>
              <w:top w:type="dxa" w:w="80"/>
              <w:left w:type="dxa" w:w="120"/>
              <w:bottom w:type="dxa" w:w="80"/>
              <w:right w:type="dxa" w:w="120"/>
            </w:tcMar>
          </w:tcPr>
          <w:p>
            <w:r>
              <w:rPr>
                <w:b w:val="false"/>
                <w:bCs w:val="false"/>
                <w:sz w:val="20"/>
                <w:szCs w:val="20"/>
              </w:rPr>
              <w:t xml:space="preserve">66.0%</w:t>
            </w:r>
          </w:p>
        </w:tc>
        <w:tc>
          <w:tcPr>
            <w:tcW w:type="dxa" w:w="3160"/>
            <w:shd w:fill="F2F2F2" w:color="auto" w:val="clear"/>
            <w:tcMar>
              <w:top w:type="dxa" w:w="80"/>
              <w:left w:type="dxa" w:w="120"/>
              <w:bottom w:type="dxa" w:w="80"/>
              <w:right w:type="dxa" w:w="120"/>
            </w:tcMar>
          </w:tcPr>
          <w:p>
            <w:r>
              <w:rPr>
                <w:b w:val="false"/>
                <w:bCs w:val="false"/>
                <w:sz w:val="20"/>
                <w:szCs w:val="20"/>
              </w:rPr>
              <w:t xml:space="preserve">Majority baseline: 66.0%</w:t>
            </w:r>
          </w:p>
        </w:tc>
      </w:tr>
      <w:tr>
        <w:tc>
          <w:tcPr>
            <w:tcW w:type="dxa" w:w="3600"/>
            <w:tcMar>
              <w:top w:type="dxa" w:w="80"/>
              <w:left w:type="dxa" w:w="120"/>
              <w:bottom w:type="dxa" w:w="80"/>
              <w:right w:type="dxa" w:w="120"/>
            </w:tcMar>
          </w:tcPr>
          <w:p>
            <w:r>
              <w:rPr>
                <w:b w:val="false"/>
                <w:bCs w:val="false"/>
                <w:sz w:val="20"/>
                <w:szCs w:val="20"/>
              </w:rPr>
              <w:t xml:space="preserve">Recall — severe / reduced / normal</w:t>
            </w:r>
          </w:p>
        </w:tc>
        <w:tc>
          <w:tcPr>
            <w:tcW w:type="dxa" w:w="2600"/>
            <w:tcMar>
              <w:top w:type="dxa" w:w="80"/>
              <w:left w:type="dxa" w:w="120"/>
              <w:bottom w:type="dxa" w:w="80"/>
              <w:right w:type="dxa" w:w="120"/>
            </w:tcMar>
          </w:tcPr>
          <w:p>
            <w:r>
              <w:rPr>
                <w:b w:val="false"/>
                <w:bCs w:val="false"/>
                <w:sz w:val="20"/>
                <w:szCs w:val="20"/>
              </w:rPr>
              <w:t xml:space="preserve">0.64 / 0.76 / 0.39</w:t>
            </w:r>
          </w:p>
        </w:tc>
        <w:tc>
          <w:tcPr>
            <w:tcW w:type="dxa" w:w="3160"/>
            <w:tcMar>
              <w:top w:type="dxa" w:w="80"/>
              <w:left w:type="dxa" w:w="120"/>
              <w:bottom w:type="dxa" w:w="80"/>
              <w:right w:type="dxa" w:w="120"/>
            </w:tcMar>
          </w:tcPr>
          <w:p>
            <w:r>
              <w:rPr>
                <w:b w:val="false"/>
                <w:bCs w:val="false"/>
                <w:sz w:val="20"/>
                <w:szCs w:val="20"/>
              </w:rPr>
              <w:t xml:space="preserve">n = 11 / 66 / 23</w:t>
            </w:r>
          </w:p>
        </w:tc>
      </w:tr>
      <w:tr>
        <w:tc>
          <w:tcPr>
            <w:tcW w:type="dxa" w:w="3600"/>
            <w:shd w:fill="F2F2F2" w:color="auto" w:val="clear"/>
            <w:tcMar>
              <w:top w:type="dxa" w:w="80"/>
              <w:left w:type="dxa" w:w="120"/>
              <w:bottom w:type="dxa" w:w="80"/>
              <w:right w:type="dxa" w:w="120"/>
            </w:tcMar>
          </w:tcPr>
          <w:p>
            <w:r>
              <w:rPr>
                <w:b w:val="false"/>
                <w:bCs w:val="false"/>
                <w:sz w:val="20"/>
                <w:szCs w:val="20"/>
              </w:rPr>
              <w:t xml:space="preserve">Severe ↔ normal confusions</w:t>
            </w:r>
          </w:p>
        </w:tc>
        <w:tc>
          <w:tcPr>
            <w:tcW w:type="dxa" w:w="2600"/>
            <w:shd w:fill="F2F2F2" w:color="auto" w:val="clear"/>
            <w:tcMar>
              <w:top w:type="dxa" w:w="80"/>
              <w:left w:type="dxa" w:w="120"/>
              <w:bottom w:type="dxa" w:w="80"/>
              <w:right w:type="dxa" w:w="120"/>
            </w:tcMar>
          </w:tcPr>
          <w:p>
            <w:r>
              <w:rPr>
                <w:b w:val="false"/>
                <w:bCs w:val="false"/>
                <w:sz w:val="20"/>
                <w:szCs w:val="20"/>
              </w:rPr>
              <w:t xml:space="preserve">0 of 100</w:t>
            </w:r>
          </w:p>
        </w:tc>
        <w:tc>
          <w:tcPr>
            <w:tcW w:type="dxa" w:w="3160"/>
            <w:shd w:fill="F2F2F2" w:color="auto" w:val="clear"/>
            <w:tcMar>
              <w:top w:type="dxa" w:w="80"/>
              <w:left w:type="dxa" w:w="120"/>
              <w:bottom w:type="dxa" w:w="80"/>
              <w:right w:type="dxa" w:w="120"/>
            </w:tcMar>
          </w:tcPr>
          <w:p>
            <w:r>
              <w:rPr>
                <w:b w:val="false"/>
                <w:bCs w:val="false"/>
                <w:sz w:val="20"/>
                <w:szCs w:val="20"/>
              </w:rPr>
              <w:t xml:space="preserve">—</w:t>
            </w:r>
          </w:p>
        </w:tc>
      </w:tr>
    </w:tbl>
    <w:p>
      <w:pPr>
        <w:spacing w:after="120"/>
      </w:pPr>
      <w:r>
        <w:t xml:space="preserve"/>
      </w:r>
    </w:p>
    <w:p>
      <w:pPr>
        <w:spacing w:after="120"/>
      </w:pPr>
      <w:r>
        <w:t xml:space="preserve">Plain accuracy is reported but is not the appropriate headline. Sixty-six of the hundred validation patients fall in the reduced band, so a model that always predicted that band would also score 66% while discriminating nothing. Balanced accuracy — the mean of per-class recalls — is the honest measure, and on it the model reaches 59.5% against a 33.3% chance baseline. This mirrors the reasoning applied to the Triage Agent, where overall accuracy concealed the rate of dangerous misclassification.</w:t>
      </w:r>
    </w:p>
    <w:p>
      <w:pPr>
        <w:spacing w:after="120"/>
      </w:pPr>
      <w:r>
        <w:t xml:space="preserve">The most clinically significant result is that no case was confused between the severe and normal bands. Every error falls between adjacent bands, so the model does not mistake a failing ventricle for a healthy one.</w:t>
      </w:r>
    </w:p>
    <w:p>
      <w:pPr>
        <w:pStyle w:val="Heading1"/>
        <w:spacing w:after="160" w:before="360"/>
      </w:pPr>
      <w:r>
        <w:t xml:space="preserve">6. Agent output contract</w:t>
      </w:r>
    </w:p>
    <w:p>
      <w:pPr>
        <w:spacing w:after="120"/>
      </w:pPr>
      <w:r>
        <w:t xml:space="preserve">Within the system architecture the Ultrasound Agent reports findings and confidence; it does not decide urgency. Urgency and escalation are the responsibility of the Clinical Reasoning Agent, which fuses this output with the Triage Agent’s severity level and the patient’s clinical and biological data. Emitting an urgency verdict here would duplicate that logic in two places and compromise the separation of concerns.</w:t>
      </w:r>
    </w:p>
    <w:p>
      <w:pPr>
        <w:spacing w:after="160" w:before="120"/>
      </w:pPr>
      <w:r>
        <w:rPr>
          <w:rFonts w:ascii="Consolas" w:cs="Consolas" w:eastAsia="Consolas" w:hAnsi="Consolas"/>
          <w:sz w:val="18"/>
          <w:szCs w:val="18"/>
        </w:rPr>
        <w:t xml:space="preserve">{ "organ": "heart", "finding": "Mild-to-moderate LV dysfunction", "confidence": 0.88, "measurements": { "ejection_fraction": 42.3, "ef_spread_pp": 1.8 }, "quality": { "lv_detected": true, "fragmented": false } }</w:t>
      </w:r>
    </w:p>
    <w:p>
      <w:pPr>
        <w:pStyle w:val="Heading2"/>
        <w:spacing w:after="120" w:before="260"/>
      </w:pPr>
      <w:r>
        <w:t xml:space="preserve">6.1 Derivation of the confidence score</w:t>
      </w:r>
    </w:p>
    <w:p>
      <w:pPr>
        <w:spacing w:after="120"/>
      </w:pPr>
      <w:r>
        <w:t xml:space="preserve">A pixel-averaged softmax value would express confidence in the segmentation, not in the finding — and the finding is what the downstream agent consumes. Instead, each frame pair is passed through the model under eight fixed test-time augmentations: identity, ±3° rotation, ±5% brightness, ±5% contrast, and horizontal flip. Each pass yields an ejection-fraction estimate, and confidence is the proportion of passes agreeing on the reported band.</w:t>
      </w:r>
    </w:p>
    <w:p>
      <w:pPr>
        <w:spacing w:after="120"/>
      </w:pPr>
      <w:r>
        <w:t xml:space="preserve">The measure is interpretable by construction. A case near EF ≈ 54, just below the normal threshold, changes band across passes and scores low; a case at EF ≈ 20 agrees unanimously and scores high. The cases a clinician should hesitate over are precisely those that score low.</w:t>
      </w:r>
    </w:p>
    <w:p>
      <w:pPr>
        <w:spacing w:after="120"/>
      </w:pPr>
      <w:r>
        <w:t xml:space="preserve">The augmentations are fixed rather than randomly sampled, so identical input always yields identical confidence — a requirement for a clinical tool, where an output varying between runs cannot be acted upon. Rotations are limited to ±3° so that the ventricle is never clipped at the frame boundary, which would corrupt the area computation; the measured area deviation introduced by that rotation is 0.10%.</w:t>
      </w:r>
    </w:p>
    <w:p>
      <w:pPr>
        <w:pStyle w:val="Heading2"/>
        <w:spacing w:after="120" w:before="260"/>
      </w:pPr>
      <w:r>
        <w:t xml:space="preserve">6.2 Calibration</w:t>
      </w:r>
    </w:p>
    <w:p>
      <w:pPr>
        <w:spacing w:after="120"/>
      </w:pPr>
      <w:r>
        <w:t xml:space="preserve">A confidence score is only meaningful if calibrated: cases reported at 0.8 should be correct approximately 80% of the time. Measured directly, the raw score was substantially overconfident, with an expected calibration error (ECE) of 0.293 — a mean reported confidence of 0.96 against 67% observed accuracy.</w:t>
      </w:r>
    </w:p>
    <w:p>
      <w:pPr>
        <w:spacing w:after="120"/>
      </w:pPr>
      <w:r>
        <w:t xml:space="preserve">The reliability curve was nevertheless monotonic (0.71 → 0.33, 0.88 → 0.44, 1.00 → 0.73): higher confidence did correspond to higher accuracy, so the ranking carried information and only the scale was wrong. Isotonic regression addresses precisely this, learning a monotonic mapping from reported to observed probability without assuming a parametric form. Applying it reduced ECE from 0.293 to 0.009.</w:t>
      </w:r>
    </w:p>
    <w:p>
      <w:pPr>
        <w:spacing w:after="120"/>
      </w:pPr>
      <w:r>
        <w:t xml:space="preserve">The calibrated figure is computed out-of-fold — the mapping is fitted on four fifths of the patients and applied to the held-out fifth, rotated across all five folds — because fitting and scoring on the same cases would be circular and would report an optimistically low error. The calibrator exported for deployment is refitted on all cases, which is standard practice once out-of-fold evaluation has established that calibration helps.</w:t>
      </w:r>
    </w:p>
    <w:p>
      <w:pPr>
        <w:spacing w:after="120"/>
      </w:pPr>
      <w:r>
        <w:rPr>
          <w:b/>
          <w:bCs/>
        </w:rPr>
        <w:t xml:space="preserve">Two consequences worth stating. </w:t>
      </w:r>
      <w:r>
        <w:t xml:space="preserve">First, calibration caps the reported confidence at approximately 0.74: the agent can no longer express high certainty, because at that level it is correct 73% of the time. That ceiling is the honest value and should be interpreted as such by the Clinical Reasoning Agent rather than read as hesitancy. Second, the raw score takes only three distinct values, so the isotonic fit is effectively a three-point lookup; out-of-fold evaluation limits but does not eliminate the resulting optimism, and the 0.009 figure should be regarded as a lower bound on the error expected against genuinely new data.</w:t>
      </w:r>
    </w:p>
    <w:p>
      <w:pPr>
        <w:pStyle w:val="Heading1"/>
        <w:spacing w:after="160" w:before="360"/>
      </w:pPr>
      <w:r>
        <w:t xml:space="preserve">7. Limitations</w:t>
      </w:r>
    </w:p>
    <w:p>
      <w:pPr>
        <w:pStyle w:val="ListParagraph"/>
        <w:numPr>
          <w:ilvl w:val="0"/>
          <w:numId w:val="2"/>
        </w:numPr>
        <w:spacing w:after="80"/>
      </w:pPr>
      <w:r>
        <w:t xml:space="preserve">External validation rests on a dataset without patient or clip identifiers. Near-duplicate frames cannot be excluded, so external figures are an indicator of generalisation, not a validated clinical claim.</w:t>
      </w:r>
    </w:p>
    <w:p>
      <w:pPr>
        <w:pStyle w:val="ListParagraph"/>
        <w:numPr>
          <w:ilvl w:val="0"/>
          <w:numId w:val="2"/>
        </w:numPr>
        <w:spacing w:after="80"/>
      </w:pPr>
      <w:r>
        <w:t xml:space="preserve">The external dataset annotates only the left ventricle; myocardium and LA generalisation are therefore untested outside CAMUS.</w:t>
      </w:r>
    </w:p>
    <w:p>
      <w:pPr>
        <w:pStyle w:val="ListParagraph"/>
        <w:numPr>
          <w:ilvl w:val="0"/>
          <w:numId w:val="2"/>
        </w:numPr>
        <w:spacing w:after="80"/>
      </w:pPr>
      <w:r>
        <w:t xml:space="preserve">Only the 4CH view is used. Extension to 2CH is straightforward with the same pipeline but has not been performed.</w:t>
      </w:r>
    </w:p>
    <w:p>
      <w:pPr>
        <w:pStyle w:val="ListParagraph"/>
        <w:numPr>
          <w:ilvl w:val="0"/>
          <w:numId w:val="2"/>
        </w:numPr>
        <w:spacing w:after="80"/>
      </w:pPr>
      <w:r>
        <w:t xml:space="preserve">The ejection-fraction figure is an area-based proxy from a single view, not a volumetric measurement.</w:t>
      </w:r>
    </w:p>
    <w:p>
      <w:pPr>
        <w:pStyle w:val="ListParagraph"/>
        <w:numPr>
          <w:ilvl w:val="0"/>
          <w:numId w:val="2"/>
        </w:numPr>
        <w:spacing w:after="80"/>
      </w:pPr>
      <w:r>
        <w:t xml:space="preserve">Reported differences of roughly 0.01 Dice fall within observed run-to-run variance and should not be interpreted as meaningful.</w:t>
      </w:r>
    </w:p>
    <w:p>
      <w:pPr>
        <w:pStyle w:val="ListParagraph"/>
        <w:numPr>
          <w:ilvl w:val="0"/>
          <w:numId w:val="2"/>
        </w:numPr>
        <w:spacing w:after="80"/>
      </w:pPr>
      <w:r>
        <w:t xml:space="preserve">No evaluation has been performed on real point-of-care emergency ultrasound, which is noisier and less standardised than either dataset used here.</w:t>
      </w:r>
    </w:p>
    <w:p>
      <w:pPr>
        <w:pStyle w:val="ListParagraph"/>
        <w:numPr>
          <w:ilvl w:val="0"/>
          <w:numId w:val="2"/>
        </w:numPr>
        <w:spacing w:after="80"/>
      </w:pPr>
      <w:r>
        <w:t xml:space="preserve">The confidence score measures the stability of the model’s own estimate under perturbation. A case may be stable and consistently wrong, in which case confidence would be high and misleading; the calibration analysis is what bounds this risk, and it must be executed before the score is relied upon.</w:t>
      </w:r>
    </w:p>
    <w:p>
      <w:pPr>
        <w:pStyle w:val="ListParagraph"/>
        <w:numPr>
          <w:ilvl w:val="0"/>
          <w:numId w:val="2"/>
        </w:numPr>
        <w:spacing w:after="80"/>
      </w:pPr>
      <w:r>
        <w:t xml:space="preserve">CAMUS acquisitions are standardised and of good quality. Confidence calibrated on this distribution may not transfer to degraded bedside imaging.</w:t>
      </w:r>
    </w:p>
    <w:p>
      <w:pPr>
        <w:pStyle w:val="Heading1"/>
        <w:spacing w:after="160" w:before="360"/>
      </w:pPr>
      <w:r>
        <w:t xml:space="preserve">8. Conclusion</w:t>
      </w:r>
    </w:p>
    <w:p>
      <w:pPr>
        <w:spacing w:after="120"/>
      </w:pPr>
      <w:r>
        <w:t xml:space="preserve">The cardiac module delivers a segmentation model that matches published benchmark performance in-distribution and carries a clearly characterised, honestly quantified generalisation limitation.</w:t>
      </w:r>
    </w:p>
    <w:p>
      <w:pPr>
        <w:spacing w:after="120"/>
      </w:pPr>
      <w:r>
        <w:t xml:space="preserve">The methodological contribution is the diagnostic process rather than the final Dice figure. A large external gap was decomposed empirically: an orientation mismatch accounting for roughly half of it was identified and corrected; a texture-statistics hypothesis was measured, tested, and disproved; a second dataset was analysed, found to be single-patient, and excluded; and domain-adaptation fine-tuning was implemented twice and rejected on the basis of catastrophic forgetting. Four of six strategies produced negative results, and each is documented with the measurements that justified the decision.</w:t>
      </w:r>
    </w:p>
    <w:p>
      <w:pPr>
        <w:spacing w:after="120"/>
      </w:pPr>
      <w:r>
        <w:t xml:space="preserve">The model is frozen in this configuration. Its output is a structured finding with a stability-derived confidence score, consumed by the Clinical Reasoning Agent alongside the Triage Agent’s severity assessment and the patient’s clinical data. Urgency is determined there, not here.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2026-08-01T11:34:50.561Z</dcterms:created>
  <dcterms:modified xsi:type="dcterms:W3CDTF">2026-08-01T11:34:50.571Z</dcterms:modified>
</cp:coreProperties>
</file>

<file path=docProps/custom.xml><?xml version="1.0" encoding="utf-8"?>
<Properties xmlns="http://schemas.openxmlformats.org/officeDocument/2006/custom-properties" xmlns:vt="http://schemas.openxmlformats.org/officeDocument/2006/docPropsVTypes"/>
</file>