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Gallbladder Classification Agent</w:t>
      </w:r>
    </w:p>
    <w:p>
      <w:pPr>
        <w:spacing w:after="120"/>
        <w:jc w:val="center"/>
      </w:pPr>
      <w:r>
        <w:rPr>
          <w:color w:val="595959"/>
          <w:sz w:val="30"/>
          <w:szCs w:val="30"/>
        </w:rPr>
        <w:t xml:space="preserve">Development Report</w:t>
      </w:r>
    </w:p>
    <w:p>
      <w:pPr>
        <w:spacing w:after="40"/>
        <w:jc w:val="center"/>
      </w:pPr>
      <w:r>
        <w:rPr>
          <w:i/>
          <w:iCs/>
          <w:color w:val="595959"/>
          <w:sz w:val="20"/>
          <w:szCs w:val="20"/>
        </w:rPr>
        <w:t xml:space="preserve">POCUS-Emergency: Intelligent Multimodal Assistant for Clinical Ultrasound</w:t>
      </w:r>
    </w:p>
    <w:p>
      <w:pPr>
        <w:pBdr>
          <w:bottom w:val="single" w:color="1F4E79" w:sz="6" w:space="8"/>
        </w:pBdr>
        <w:spacing w:after="300"/>
        <w:jc w:val="center"/>
      </w:pPr>
      <w:r>
        <w:rPr>
          <w:color w:val="595959"/>
          <w:sz w:val="20"/>
          <w:szCs w:val="20"/>
        </w:rPr>
        <w:t xml:space="preserve">August 2026</w:t>
      </w:r>
    </w:p>
    <w:p>
      <w:pPr>
        <w:pStyle w:val="Heading1"/>
        <w:spacing w:after="160" w:before="360"/>
      </w:pPr>
      <w:r>
        <w:t xml:space="preserve">1. Executive summary</w:t>
      </w:r>
    </w:p>
    <w:p>
      <w:pPr>
        <w:spacing w:after="120"/>
      </w:pPr>
      <w:r>
        <w:t xml:space="preserve">This module classifies gallbladder pathology from B-mode abdominal ultrasound. Within the system architecture the Ultrasound Agent reports findings, confidence and explainability; urgency and escalation are decided by the Clinical Reasoning Agent.</w:t>
      </w:r>
    </w:p>
    <w:p>
      <w:pPr>
        <w:spacing w:after="120"/>
      </w:pPr>
      <w:r>
        <w:rPr>
          <w:b/>
          <w:bCs/>
        </w:rPr>
        <w:t xml:space="preserve">Final adopted configuration: </w:t>
      </w:r>
      <w:r>
        <w:t xml:space="preserve">EfficientNet-B0 trained on eight fine-grained pathology classes with a class-weighted loss, its predictions marginalised to five reported classes, evaluated by five-fold GroupKFold at case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F4E79" w:color="auto" w:val="clear"/>
            <w:tcMar>
              <w:top w:type="dxa" w:w="80"/>
              <w:left w:type="dxa" w:w="120"/>
              <w:bottom w:type="dxa" w:w="80"/>
              <w:right w:type="dxa" w:w="120"/>
            </w:tcMar>
          </w:tcPr>
          <w:p>
            <w:r>
              <w:rPr>
                <w:b/>
                <w:bCs/>
                <w:color w:val="FFFFFF"/>
                <w:sz w:val="20"/>
                <w:szCs w:val="20"/>
              </w:rPr>
              <w:t xml:space="preserve">Metric</w:t>
            </w:r>
          </w:p>
        </w:tc>
        <w:tc>
          <w:tcPr>
            <w:tcW w:type="dxa" w:w="2400"/>
            <w:shd w:fill="1F4E79" w:color="auto" w:val="clear"/>
            <w:tcMar>
              <w:top w:type="dxa" w:w="80"/>
              <w:left w:type="dxa" w:w="120"/>
              <w:bottom w:type="dxa" w:w="80"/>
              <w:right w:type="dxa" w:w="120"/>
            </w:tcMar>
          </w:tcPr>
          <w:p>
            <w:r>
              <w:rPr>
                <w:b/>
                <w:bCs/>
                <w:color w:val="FFFFFF"/>
                <w:sz w:val="20"/>
                <w:szCs w:val="20"/>
              </w:rPr>
              <w:t xml:space="preserve">Result</w:t>
            </w:r>
          </w:p>
        </w:tc>
        <w:tc>
          <w:tcPr>
            <w:tcW w:type="dxa" w:w="3360"/>
            <w:shd w:fill="1F4E79" w:color="auto" w:val="clear"/>
            <w:tcMar>
              <w:top w:type="dxa" w:w="80"/>
              <w:left w:type="dxa" w:w="120"/>
              <w:bottom w:type="dxa" w:w="80"/>
              <w:right w:type="dxa" w:w="120"/>
            </w:tcMar>
          </w:tcPr>
          <w:p>
            <w:r>
              <w:rPr>
                <w:b/>
                <w:bCs/>
                <w:color w:val="FFFFFF"/>
                <w:sz w:val="20"/>
                <w:szCs w:val="20"/>
              </w:rPr>
              <w:t xml:space="preserve">Reference</w:t>
            </w:r>
          </w:p>
        </w:tc>
      </w:tr>
      <w:tr>
        <w:tc>
          <w:tcPr>
            <w:tcW w:type="dxa" w:w="3600"/>
            <w:tcMar>
              <w:top w:type="dxa" w:w="80"/>
              <w:left w:type="dxa" w:w="120"/>
              <w:bottom w:type="dxa" w:w="80"/>
              <w:right w:type="dxa" w:w="120"/>
            </w:tcMar>
          </w:tcPr>
          <w:p>
            <w:r>
              <w:rPr>
                <w:b w:val="false"/>
                <w:bCs w:val="false"/>
                <w:sz w:val="20"/>
                <w:szCs w:val="20"/>
              </w:rPr>
              <w:t xml:space="preserve">Balanced accuracy (5 classes)</w:t>
            </w:r>
          </w:p>
        </w:tc>
        <w:tc>
          <w:tcPr>
            <w:tcW w:type="dxa" w:w="2400"/>
            <w:tcMar>
              <w:top w:type="dxa" w:w="80"/>
              <w:left w:type="dxa" w:w="120"/>
              <w:bottom w:type="dxa" w:w="80"/>
              <w:right w:type="dxa" w:w="120"/>
            </w:tcMar>
          </w:tcPr>
          <w:p>
            <w:r>
              <w:rPr>
                <w:b w:val="false"/>
                <w:bCs w:val="false"/>
                <w:sz w:val="20"/>
                <w:szCs w:val="20"/>
              </w:rPr>
              <w:t xml:space="preserve">63.1%</w:t>
            </w:r>
          </w:p>
        </w:tc>
        <w:tc>
          <w:tcPr>
            <w:tcW w:type="dxa" w:w="3360"/>
            <w:tcMar>
              <w:top w:type="dxa" w:w="80"/>
              <w:left w:type="dxa" w:w="120"/>
              <w:bottom w:type="dxa" w:w="80"/>
              <w:right w:type="dxa" w:w="120"/>
            </w:tcMar>
          </w:tcPr>
          <w:p>
            <w:r>
              <w:rPr>
                <w:b w:val="false"/>
                <w:bCs w:val="false"/>
                <w:sz w:val="20"/>
                <w:szCs w:val="20"/>
              </w:rPr>
              <w:t xml:space="preserve">Chance: 20.0%</w:t>
            </w:r>
          </w:p>
        </w:tc>
      </w:tr>
      <w:tr>
        <w:tc>
          <w:tcPr>
            <w:tcW w:type="dxa" w:w="3600"/>
            <w:shd w:fill="F2F2F2" w:color="auto" w:val="clear"/>
            <w:tcMar>
              <w:top w:type="dxa" w:w="80"/>
              <w:left w:type="dxa" w:w="120"/>
              <w:bottom w:type="dxa" w:w="80"/>
              <w:right w:type="dxa" w:w="120"/>
            </w:tcMar>
          </w:tcPr>
          <w:p>
            <w:r>
              <w:rPr>
                <w:b w:val="false"/>
                <w:bCs w:val="false"/>
                <w:sz w:val="20"/>
                <w:szCs w:val="20"/>
              </w:rPr>
              <w:t xml:space="preserve">Plain accuracy</w:t>
            </w:r>
          </w:p>
        </w:tc>
        <w:tc>
          <w:tcPr>
            <w:tcW w:type="dxa" w:w="2400"/>
            <w:shd w:fill="F2F2F2" w:color="auto" w:val="clear"/>
            <w:tcMar>
              <w:top w:type="dxa" w:w="80"/>
              <w:left w:type="dxa" w:w="120"/>
              <w:bottom w:type="dxa" w:w="80"/>
              <w:right w:type="dxa" w:w="120"/>
            </w:tcMar>
          </w:tcPr>
          <w:p>
            <w:r>
              <w:rPr>
                <w:b w:val="false"/>
                <w:bCs w:val="false"/>
                <w:sz w:val="20"/>
                <w:szCs w:val="20"/>
              </w:rPr>
              <w:t xml:space="preserve">64.3%</w:t>
            </w:r>
          </w:p>
        </w:tc>
        <w:tc>
          <w:tcPr>
            <w:tcW w:type="dxa" w:w="3360"/>
            <w:shd w:fill="F2F2F2" w:color="auto" w:val="clear"/>
            <w:tcMar>
              <w:top w:type="dxa" w:w="80"/>
              <w:left w:type="dxa" w:w="120"/>
              <w:bottom w:type="dxa" w:w="80"/>
              <w:right w:type="dxa" w:w="120"/>
            </w:tcMar>
          </w:tcPr>
          <w:p>
            <w:r>
              <w:rPr>
                <w:b w:val="false"/>
                <w:bCs w:val="false"/>
                <w:sz w:val="20"/>
                <w:szCs w:val="20"/>
              </w:rPr>
              <w:t xml:space="preserve">—</w:t>
            </w:r>
          </w:p>
        </w:tc>
      </w:tr>
      <w:tr>
        <w:tc>
          <w:tcPr>
            <w:tcW w:type="dxa" w:w="3600"/>
            <w:tcMar>
              <w:top w:type="dxa" w:w="80"/>
              <w:left w:type="dxa" w:w="120"/>
              <w:bottom w:type="dxa" w:w="80"/>
              <w:right w:type="dxa" w:w="120"/>
            </w:tcMar>
          </w:tcPr>
          <w:p>
            <w:r>
              <w:rPr>
                <w:b w:val="false"/>
                <w:bCs w:val="false"/>
                <w:sz w:val="20"/>
                <w:szCs w:val="20"/>
              </w:rPr>
              <w:t xml:space="preserve">Per-class recall range</w:t>
            </w:r>
          </w:p>
        </w:tc>
        <w:tc>
          <w:tcPr>
            <w:tcW w:type="dxa" w:w="2400"/>
            <w:tcMar>
              <w:top w:type="dxa" w:w="80"/>
              <w:left w:type="dxa" w:w="120"/>
              <w:bottom w:type="dxa" w:w="80"/>
              <w:right w:type="dxa" w:w="120"/>
            </w:tcMar>
          </w:tcPr>
          <w:p>
            <w:r>
              <w:rPr>
                <w:b w:val="false"/>
                <w:bCs w:val="false"/>
                <w:sz w:val="20"/>
                <w:szCs w:val="20"/>
              </w:rPr>
              <w:t xml:space="preserve">0.44 – 0.70</w:t>
            </w:r>
          </w:p>
        </w:tc>
        <w:tc>
          <w:tcPr>
            <w:tcW w:type="dxa" w:w="3360"/>
            <w:tcMar>
              <w:top w:type="dxa" w:w="80"/>
              <w:left w:type="dxa" w:w="120"/>
              <w:bottom w:type="dxa" w:w="80"/>
              <w:right w:type="dxa" w:w="120"/>
            </w:tcMar>
          </w:tcPr>
          <w:p>
            <w:r>
              <w:rPr>
                <w:b w:val="false"/>
                <w:bCs w:val="false"/>
                <w:sz w:val="20"/>
                <w:szCs w:val="20"/>
              </w:rPr>
              <w:t xml:space="preserve">Previously 0.31 – 0.77</w:t>
            </w:r>
          </w:p>
        </w:tc>
      </w:tr>
      <w:tr>
        <w:tc>
          <w:tcPr>
            <w:tcW w:type="dxa" w:w="3600"/>
            <w:shd w:fill="F2F2F2" w:color="auto" w:val="clear"/>
            <w:tcMar>
              <w:top w:type="dxa" w:w="80"/>
              <w:left w:type="dxa" w:w="120"/>
              <w:bottom w:type="dxa" w:w="80"/>
              <w:right w:type="dxa" w:w="120"/>
            </w:tcMar>
          </w:tcPr>
          <w:p>
            <w:r>
              <w:rPr>
                <w:b w:val="false"/>
                <w:bCs w:val="false"/>
                <w:sz w:val="20"/>
                <w:szCs w:val="20"/>
              </w:rPr>
              <w:t xml:space="preserve">Confidence calibration error</w:t>
            </w:r>
          </w:p>
        </w:tc>
        <w:tc>
          <w:tcPr>
            <w:tcW w:type="dxa" w:w="2400"/>
            <w:shd w:fill="F2F2F2" w:color="auto" w:val="clear"/>
            <w:tcMar>
              <w:top w:type="dxa" w:w="80"/>
              <w:left w:type="dxa" w:w="120"/>
              <w:bottom w:type="dxa" w:w="80"/>
              <w:right w:type="dxa" w:w="120"/>
            </w:tcMar>
          </w:tcPr>
          <w:p>
            <w:r>
              <w:rPr>
                <w:b w:val="false"/>
                <w:bCs w:val="false"/>
                <w:sz w:val="20"/>
                <w:szCs w:val="20"/>
              </w:rPr>
              <w:t xml:space="preserve">0.042</w:t>
            </w:r>
          </w:p>
        </w:tc>
        <w:tc>
          <w:tcPr>
            <w:tcW w:type="dxa" w:w="3360"/>
            <w:shd w:fill="F2F2F2" w:color="auto" w:val="clear"/>
            <w:tcMar>
              <w:top w:type="dxa" w:w="80"/>
              <w:left w:type="dxa" w:w="120"/>
              <w:bottom w:type="dxa" w:w="80"/>
              <w:right w:type="dxa" w:w="120"/>
            </w:tcMar>
          </w:tcPr>
          <w:p>
            <w:r>
              <w:rPr>
                <w:b w:val="false"/>
                <w:bCs w:val="false"/>
                <w:sz w:val="20"/>
                <w:szCs w:val="20"/>
              </w:rPr>
              <w:t xml:space="preserve">Before scaling: 0.058</w:t>
            </w:r>
          </w:p>
        </w:tc>
      </w:tr>
      <w:tr>
        <w:tc>
          <w:tcPr>
            <w:tcW w:type="dxa" w:w="3600"/>
            <w:tcMar>
              <w:top w:type="dxa" w:w="80"/>
              <w:left w:type="dxa" w:w="120"/>
              <w:bottom w:type="dxa" w:w="80"/>
              <w:right w:type="dxa" w:w="120"/>
            </w:tcMar>
          </w:tcPr>
          <w:p>
            <w:r>
              <w:rPr>
                <w:b w:val="false"/>
                <w:bCs w:val="false"/>
                <w:sz w:val="20"/>
                <w:szCs w:val="20"/>
              </w:rPr>
              <w:t xml:space="preserve">Independent cases</w:t>
            </w:r>
          </w:p>
        </w:tc>
        <w:tc>
          <w:tcPr>
            <w:tcW w:type="dxa" w:w="2400"/>
            <w:tcMar>
              <w:top w:type="dxa" w:w="80"/>
              <w:left w:type="dxa" w:w="120"/>
              <w:bottom w:type="dxa" w:w="80"/>
              <w:right w:type="dxa" w:w="120"/>
            </w:tcMar>
          </w:tcPr>
          <w:p>
            <w:r>
              <w:rPr>
                <w:b w:val="false"/>
                <w:bCs w:val="false"/>
                <w:sz w:val="20"/>
                <w:szCs w:val="20"/>
              </w:rPr>
              <w:t xml:space="preserve">199</w:t>
            </w:r>
          </w:p>
        </w:tc>
        <w:tc>
          <w:tcPr>
            <w:tcW w:type="dxa" w:w="3360"/>
            <w:tcMar>
              <w:top w:type="dxa" w:w="80"/>
              <w:left w:type="dxa" w:w="120"/>
              <w:bottom w:type="dxa" w:w="80"/>
              <w:right w:type="dxa" w:w="120"/>
            </w:tcMar>
          </w:tcPr>
          <w:p>
            <w:r>
              <w:rPr>
                <w:b w:val="false"/>
                <w:bCs w:val="false"/>
                <w:sz w:val="20"/>
                <w:szCs w:val="20"/>
              </w:rPr>
              <w:t xml:space="preserve">From 4,826 frames</w:t>
            </w:r>
          </w:p>
        </w:tc>
      </w:tr>
    </w:tbl>
    <w:p>
      <w:pPr>
        <w:spacing w:after="120"/>
      </w:pPr>
      <w:r>
        <w:t xml:space="preserve"/>
      </w:r>
    </w:p>
    <w:p>
      <w:pPr>
        <w:spacing w:after="120"/>
      </w:pPr>
      <w:r>
        <w:t xml:space="preserve">The result is a proof of concept on a teaching atlas, not a clinically validated classifier. The constraining factor is 199 independent cases; the limitations in Section 8 are material and should be read alongside the figures above.</w:t>
      </w:r>
    </w:p>
    <w:p>
      <w:pPr>
        <w:pStyle w:val="Heading1"/>
        <w:spacing w:after="160" w:before="360"/>
      </w:pPr>
      <w:r>
        <w:t xml:space="preserve">2. Dataset</w:t>
      </w:r>
    </w:p>
    <w:p>
      <w:pPr>
        <w:spacing w:after="120"/>
      </w:pPr>
      <w:r>
        <w:t xml:space="preserve">Nine folders of B-mode stills, one per pathology chapter, 10,692 JPEG images at 1200×900.</w:t>
      </w:r>
    </w:p>
    <w:p>
      <w:pPr>
        <w:pStyle w:val="Heading2"/>
        <w:spacing w:after="120" w:before="260"/>
      </w:pPr>
      <w:r>
        <w:t xml:space="preserve">2.1 The sample size is 220, not 10,692</w:t>
      </w:r>
    </w:p>
    <w:p>
      <w:pPr>
        <w:spacing w:after="120"/>
      </w:pPr>
      <w:r>
        <w:t xml:space="preserve">Filenames encode a case identifier: a1 (2).jpg and a1 (3).jpg are frames of the same study. Across the nine folders there are only 220 distinct cases, each contributing 40 to 87 near-duplicate frames.</w:t>
      </w:r>
    </w:p>
    <w:p>
      <w:pPr>
        <w:spacing w:after="120"/>
      </w:pPr>
      <w:r>
        <w:t xml:space="preserve">Splitting by image would place frames of one patient on both sides of the split and yield an accuracy in the high nineties that measures nothing. Every split in this work is grouped by case identifier, verified to produce zero case overlap across folds, with each case held out exactly once.</w:t>
      </w:r>
    </w:p>
    <w:p>
      <w:pPr>
        <w:spacing w:after="120"/>
      </w:pPr>
      <w:r>
        <w:t xml:space="preserve">Frames per case are capped at 25, sampled evenly across each study. Beyond that count the frames are near-duplicates: they multiply compute without adding information, and they allow classes with longer studies to dominate the gradient purely through frame count.</w:t>
      </w:r>
    </w:p>
    <w:p>
      <w:pPr>
        <w:pStyle w:val="Heading2"/>
        <w:spacing w:after="120" w:before="260"/>
      </w:pPr>
      <w:r>
        <w:t xml:space="preserve">2.2 Folder 2 is not a normal class</w:t>
      </w:r>
    </w:p>
    <w:p>
      <w:pPr>
        <w:spacing w:after="120"/>
      </w:pPr>
      <w:r>
        <w:t xml:space="preserve">Folder 2 is titled "Abdomen and retroperitoneum" and was initially mapped to a Normal category on the basis of a small sample of its images. Reviewing one frame from every one of its 21 cases showed masses, cystic lesions, vessels and retroperitoneal structures — a general abdominal chapter, not healthy gallbladders.</w:t>
      </w:r>
    </w:p>
    <w:p>
      <w:pPr>
        <w:spacing w:after="120"/>
      </w:pPr>
      <w:r>
        <w:t xml:space="preserve">The consequence was visible in the first confusion matrix: 11 of its 21 cases were predicted as Carcinoma. In imaging terms those predictions were reasonable, because the images do contain masses. The label was wrong, not the model. Folder 2 is excluded from all subsequent work, leaving 199 cases.</w:t>
      </w:r>
    </w:p>
    <w:p>
      <w:pPr>
        <w:pStyle w:val="Heading2"/>
        <w:spacing w:after="120" w:before="260"/>
      </w:pPr>
      <w:r>
        <w:t xml:space="preserve">2.3 No healthy class exists in this dataset</w:t>
      </w:r>
    </w:p>
    <w:p>
      <w:pPr>
        <w:spacing w:after="120"/>
      </w:pPr>
      <w:r>
        <w:rPr>
          <w:b/>
          <w:bCs/>
        </w:rPr>
        <w:t xml:space="preserve">All nine folders are pathology chapters. </w:t>
      </w:r>
      <w:r>
        <w:t xml:space="preserve">The agent can therefore answer which pathology is present, never whether one is present at all. A prediction from this model is a choice among diseases and must never be read as a negative finding. The output contract declares this explicitly so the constraint travels with the prediction rather than living in documentation.</w:t>
      </w:r>
    </w:p>
    <w:p>
      <w:pPr>
        <w:pStyle w:val="Heading2"/>
        <w:spacing w:after="120" w:before="260"/>
      </w:pPr>
      <w:r>
        <w:t xml:space="preserve">2.4 Burned-in annotation markers</w:t>
      </w:r>
    </w:p>
    <w:p>
      <w:pPr>
        <w:spacing w:after="120"/>
      </w:pPr>
      <w:r>
        <w:t xml:space="preserve">Bright arrow markers appear in 15% to 50% of frames depending on folder (perforation 50%, polyps 15%). The uneven distribution is a genuine confound. It is not large enough to account for the measured performance, but it is a concrete reason these figures will not transfer directly to bedside point-of-care ultrasound, where no such markers exist.</w:t>
      </w:r>
    </w:p>
    <w:p>
      <w:r>
        <w:br w:type="page"/>
      </w:r>
    </w:p>
    <w:p>
      <w:pPr>
        <w:pStyle w:val="Heading1"/>
        <w:spacing w:after="160" w:before="360"/>
      </w:pPr>
      <w:r>
        <w:t xml:space="preserve">3. Method</w:t>
      </w:r>
    </w:p>
    <w:p>
      <w:pPr>
        <w:pStyle w:val="Heading2"/>
        <w:spacing w:after="120" w:before="260"/>
      </w:pPr>
      <w:r>
        <w:t xml:space="preserve">3.1 Architecture selection</w:t>
      </w:r>
    </w:p>
    <w:p>
      <w:pPr>
        <w:spacing w:after="120"/>
      </w:pPr>
      <w:r>
        <w:t xml:space="preserve">Two candidates were compared on a common fold: EfficientNet-B0 pretrained on ImageNet, and a ResNet-18 initialised from USCL, an ultrasound-specific contrastive checkpoint. The USCL weights were verified to map exactly onto a torchvision ResNet-18 backbone, all 120 tensors matching by name and shape, with its SimCLR projection heads discarded.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1F4E79" w:color="auto" w:val="clear"/>
            <w:tcMar>
              <w:top w:type="dxa" w:w="80"/>
              <w:left w:type="dxa" w:w="120"/>
              <w:bottom w:type="dxa" w:w="80"/>
              <w:right w:type="dxa" w:w="120"/>
            </w:tcMar>
          </w:tcPr>
          <w:p>
            <w:r>
              <w:rPr>
                <w:b/>
                <w:bCs/>
                <w:color w:val="FFFFFF"/>
                <w:sz w:val="20"/>
                <w:szCs w:val="20"/>
              </w:rPr>
              <w:t xml:space="preserve">Model</w:t>
            </w:r>
          </w:p>
        </w:tc>
        <w:tc>
          <w:tcPr>
            <w:tcW w:type="dxa" w:w="3200"/>
            <w:shd w:fill="1F4E79" w:color="auto" w:val="clear"/>
            <w:tcMar>
              <w:top w:type="dxa" w:w="80"/>
              <w:left w:type="dxa" w:w="120"/>
              <w:bottom w:type="dxa" w:w="80"/>
              <w:right w:type="dxa" w:w="120"/>
            </w:tcMar>
          </w:tcPr>
          <w:p>
            <w:r>
              <w:rPr>
                <w:b/>
                <w:bCs/>
                <w:color w:val="FFFFFF"/>
                <w:sz w:val="20"/>
                <w:szCs w:val="20"/>
              </w:rPr>
              <w:t xml:space="preserve">Pretraining</w:t>
            </w:r>
          </w:p>
        </w:tc>
        <w:tc>
          <w:tcPr>
            <w:tcW w:type="dxa" w:w="2760"/>
            <w:shd w:fill="1F4E79" w:color="auto" w:val="clear"/>
            <w:tcMar>
              <w:top w:type="dxa" w:w="80"/>
              <w:left w:type="dxa" w:w="120"/>
              <w:bottom w:type="dxa" w:w="80"/>
              <w:right w:type="dxa" w:w="120"/>
            </w:tcMar>
          </w:tcPr>
          <w:p>
            <w:r>
              <w:rPr>
                <w:b/>
                <w:bCs/>
                <w:color w:val="FFFFFF"/>
                <w:sz w:val="20"/>
                <w:szCs w:val="20"/>
              </w:rPr>
              <w:t xml:space="preserve">Balanced accuracy</w:t>
            </w:r>
          </w:p>
        </w:tc>
      </w:tr>
      <w:tr>
        <w:tc>
          <w:tcPr>
            <w:tcW w:type="dxa" w:w="3400"/>
            <w:tcMar>
              <w:top w:type="dxa" w:w="80"/>
              <w:left w:type="dxa" w:w="120"/>
              <w:bottom w:type="dxa" w:w="80"/>
              <w:right w:type="dxa" w:w="120"/>
            </w:tcMar>
          </w:tcPr>
          <w:p>
            <w:r>
              <w:rPr>
                <w:b w:val="false"/>
                <w:bCs w:val="false"/>
                <w:sz w:val="20"/>
                <w:szCs w:val="20"/>
              </w:rPr>
              <w:t xml:space="preserve">EfficientNet-B0</w:t>
            </w:r>
          </w:p>
        </w:tc>
        <w:tc>
          <w:tcPr>
            <w:tcW w:type="dxa" w:w="3200"/>
            <w:tcMar>
              <w:top w:type="dxa" w:w="80"/>
              <w:left w:type="dxa" w:w="120"/>
              <w:bottom w:type="dxa" w:w="80"/>
              <w:right w:type="dxa" w:w="120"/>
            </w:tcMar>
          </w:tcPr>
          <w:p>
            <w:r>
              <w:rPr>
                <w:b w:val="false"/>
                <w:bCs w:val="false"/>
                <w:sz w:val="20"/>
                <w:szCs w:val="20"/>
              </w:rPr>
              <w:t xml:space="preserve">ImageNet</w:t>
            </w:r>
          </w:p>
        </w:tc>
        <w:tc>
          <w:tcPr>
            <w:tcW w:type="dxa" w:w="2760"/>
            <w:tcMar>
              <w:top w:type="dxa" w:w="80"/>
              <w:left w:type="dxa" w:w="120"/>
              <w:bottom w:type="dxa" w:w="80"/>
              <w:right w:type="dxa" w:w="120"/>
            </w:tcMar>
          </w:tcPr>
          <w:p>
            <w:r>
              <w:rPr>
                <w:b w:val="false"/>
                <w:bCs w:val="false"/>
                <w:sz w:val="20"/>
                <w:szCs w:val="20"/>
              </w:rPr>
              <w:t xml:space="preserve">46.6%</w:t>
            </w:r>
          </w:p>
        </w:tc>
      </w:tr>
      <w:tr>
        <w:tc>
          <w:tcPr>
            <w:tcW w:type="dxa" w:w="3400"/>
            <w:shd w:fill="F2F2F2" w:color="auto" w:val="clear"/>
            <w:tcMar>
              <w:top w:type="dxa" w:w="80"/>
              <w:left w:type="dxa" w:w="120"/>
              <w:bottom w:type="dxa" w:w="80"/>
              <w:right w:type="dxa" w:w="120"/>
            </w:tcMar>
          </w:tcPr>
          <w:p>
            <w:r>
              <w:rPr>
                <w:b w:val="false"/>
                <w:bCs w:val="false"/>
                <w:sz w:val="20"/>
                <w:szCs w:val="20"/>
              </w:rPr>
              <w:t xml:space="preserve">ResNet-18 + USCL</w:t>
            </w:r>
          </w:p>
        </w:tc>
        <w:tc>
          <w:tcPr>
            <w:tcW w:type="dxa" w:w="3200"/>
            <w:shd w:fill="F2F2F2" w:color="auto" w:val="clear"/>
            <w:tcMar>
              <w:top w:type="dxa" w:w="80"/>
              <w:left w:type="dxa" w:w="120"/>
              <w:bottom w:type="dxa" w:w="80"/>
              <w:right w:type="dxa" w:w="120"/>
            </w:tcMar>
          </w:tcPr>
          <w:p>
            <w:r>
              <w:rPr>
                <w:b w:val="false"/>
                <w:bCs w:val="false"/>
                <w:sz w:val="20"/>
                <w:szCs w:val="20"/>
              </w:rPr>
              <w:t xml:space="preserve">Ultrasound (SimCLR)</w:t>
            </w:r>
          </w:p>
        </w:tc>
        <w:tc>
          <w:tcPr>
            <w:tcW w:type="dxa" w:w="2760"/>
            <w:shd w:fill="F2F2F2" w:color="auto" w:val="clear"/>
            <w:tcMar>
              <w:top w:type="dxa" w:w="80"/>
              <w:left w:type="dxa" w:w="120"/>
              <w:bottom w:type="dxa" w:w="80"/>
              <w:right w:type="dxa" w:w="120"/>
            </w:tcMar>
          </w:tcPr>
          <w:p>
            <w:r>
              <w:rPr>
                <w:b w:val="false"/>
                <w:bCs w:val="false"/>
                <w:sz w:val="20"/>
                <w:szCs w:val="20"/>
              </w:rPr>
              <w:t xml:space="preserve">29.8%</w:t>
            </w:r>
          </w:p>
        </w:tc>
      </w:tr>
    </w:tbl>
    <w:p>
      <w:pPr>
        <w:spacing w:after="120"/>
      </w:pPr>
      <w:r>
        <w:t xml:space="preserve"/>
      </w:r>
    </w:p>
    <w:p>
      <w:pPr>
        <w:spacing w:after="120"/>
      </w:pPr>
      <w:r>
        <w:t xml:space="preserve">EfficientNet-B0 was adopted. The two candidates differ in both architecture and pretraining, so the outcome does not attribute the difference to either factor individually; the question being answered was which of the two to ship, not which factor is responsible. Transformer backbones were excluded on two grounds: 199 cases is far below their data requirement, and Grad-CAM — an explicit requirement of the agent contract — is native to convolutional networks but needs adapted attention-rollout methods on transformers.</w:t>
      </w:r>
    </w:p>
    <w:p>
      <w:pPr>
        <w:pStyle w:val="Heading2"/>
        <w:spacing w:after="120" w:before="260"/>
      </w:pPr>
      <w:r>
        <w:t xml:space="preserve">3.2 Train on eight classes, report five</w:t>
      </w:r>
    </w:p>
    <w:p>
      <w:pPr>
        <w:spacing w:after="120"/>
      </w:pPr>
      <w:r>
        <w:t xml:space="preserve">The model is trained on the eight fine-grained folder labels and its predictions are then merged into five reported classes. This ordering was chosen on evidence rather than preference, and Section 4 documents the measurement that motivated it: training directly on merged labels scored 57.2%, whereas merging the predictions of a fine-grained model scored 63.0%.</w:t>
      </w:r>
    </w:p>
    <w:p>
      <w:pPr>
        <w:spacing w:after="120"/>
      </w:pPr>
      <w:r>
        <w:t xml:space="preserve">The interpretation is that fine-grained labels carry supervision the merged task discards. Learning to separate cholecystitis from perforation sharpens features from which the merged class also benefits, even though the merged class never needs that distinction at output.</w:t>
      </w:r>
    </w:p>
    <w:p>
      <w:pPr>
        <w:spacing w:after="120"/>
      </w:pPr>
      <w:r>
        <w:t xml:space="preserve">Merging is performed by summing probabilities across each group rather than mapping the fine-grained argmax. Where a case distributes its mass across cholecystitis, gangrenous cholecystitis and perforation without any single one winning, the merged class collects all of it. Taking the argmax first would report the largest single component and discard the rest, understating a confidence the reasoning agent depends on.</w:t>
      </w:r>
    </w:p>
    <w:p>
      <w:pPr>
        <w:pStyle w:val="Heading2"/>
        <w:spacing w:after="120" w:before="260"/>
      </w:pPr>
      <w:r>
        <w:t xml:space="preserve">3.3 Class weighting</w:t>
      </w:r>
    </w:p>
    <w:p>
      <w:pPr>
        <w:spacing w:after="120"/>
      </w:pPr>
      <w:r>
        <w:t xml:space="preserve">Merging the three inflammatory classes tripled the largest class, from 32 to 66 cases, and the resulting imbalance pulled predictions toward it: Cholelithiasis recall fell from 0.47 to 0.31. The loss is therefore weighted inversely to frame frequency, computed per fold from the training portion only — deriving weights from the full dataset would leak test composition into training.</w:t>
      </w:r>
    </w:p>
    <w:p>
      <w:pPr>
        <w:pStyle w:val="Heading2"/>
        <w:spacing w:after="120" w:before="260"/>
      </w:pPr>
      <w:r>
        <w:t xml:space="preserve">3.4 Case-level prediction</w:t>
      </w:r>
    </w:p>
    <w:p>
      <w:pPr>
        <w:spacing w:after="120"/>
      </w:pPr>
      <w:r>
        <w:t xml:space="preserve">Softmax outputs are averaged over each case’s frames so the agent emits one finding per study rather than per frame. This aggregation also has a calibrating effect in its own right: an earlier run fitted a temperature of 1.006, that is, essentially no correction required.</w:t>
      </w:r>
    </w:p>
    <w:p>
      <w:pPr>
        <w:pStyle w:val="Heading1"/>
        <w:spacing w:after="160" w:before="360"/>
      </w:pPr>
      <w:r>
        <w:t xml:space="preserve">4. Experiment log</w:t>
      </w:r>
    </w:p>
    <w:p>
      <w:pPr>
        <w:spacing w:after="120"/>
      </w:pPr>
      <w:r>
        <w:t xml:space="preserve">Three training runs, each change driven by a measurement from the preceding one. All figures are balanced accuracy at case level on the same 199 cases and the same five-class reporting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160"/>
      </w:tblGrid>
      <w:tr>
        <w:trPr>
          <w:tblHeader/>
        </w:trPr>
        <w:tc>
          <w:tcPr>
            <w:tcW w:type="dxa" w:w="900"/>
            <w:shd w:fill="1F4E79" w:color="auto" w:val="clear"/>
            <w:tcMar>
              <w:top w:type="dxa" w:w="80"/>
              <w:left w:type="dxa" w:w="120"/>
              <w:bottom w:type="dxa" w:w="80"/>
              <w:right w:type="dxa" w:w="120"/>
            </w:tcMar>
          </w:tcPr>
          <w:p>
            <w:r>
              <w:rPr>
                <w:b/>
                <w:bCs/>
                <w:color w:val="FFFFFF"/>
                <w:sz w:val="20"/>
                <w:szCs w:val="20"/>
              </w:rPr>
              <w:t xml:space="preserve">Run</w:t>
            </w:r>
          </w:p>
        </w:tc>
        <w:tc>
          <w:tcPr>
            <w:tcW w:type="dxa" w:w="5300"/>
            <w:shd w:fill="1F4E79" w:color="auto" w:val="clear"/>
            <w:tcMar>
              <w:top w:type="dxa" w:w="80"/>
              <w:left w:type="dxa" w:w="120"/>
              <w:bottom w:type="dxa" w:w="80"/>
              <w:right w:type="dxa" w:w="120"/>
            </w:tcMar>
          </w:tcPr>
          <w:p>
            <w:r>
              <w:rPr>
                <w:b/>
                <w:bCs/>
                <w:color w:val="FFFFFF"/>
                <w:sz w:val="20"/>
                <w:szCs w:val="20"/>
              </w:rPr>
              <w:t xml:space="preserve">Configuration</w:t>
            </w:r>
          </w:p>
        </w:tc>
        <w:tc>
          <w:tcPr>
            <w:tcW w:type="dxa" w:w="3160"/>
            <w:shd w:fill="1F4E79" w:color="auto" w:val="clear"/>
            <w:tcMar>
              <w:top w:type="dxa" w:w="80"/>
              <w:left w:type="dxa" w:w="120"/>
              <w:bottom w:type="dxa" w:w="80"/>
              <w:right w:type="dxa" w:w="120"/>
            </w:tcMar>
          </w:tcPr>
          <w:p>
            <w:r>
              <w:rPr>
                <w:b/>
                <w:bCs/>
                <w:color w:val="FFFFFF"/>
                <w:sz w:val="20"/>
                <w:szCs w:val="20"/>
              </w:rPr>
              <w:t xml:space="preserve">Balanced accuracy</w:t>
            </w:r>
          </w:p>
        </w:tc>
      </w:tr>
      <w:tr>
        <w:tc>
          <w:tcPr>
            <w:tcW w:type="dxa" w:w="900"/>
            <w:tcMar>
              <w:top w:type="dxa" w:w="80"/>
              <w:left w:type="dxa" w:w="120"/>
              <w:bottom w:type="dxa" w:w="80"/>
              <w:right w:type="dxa" w:w="120"/>
            </w:tcMar>
          </w:tcPr>
          <w:p>
            <w:r>
              <w:rPr>
                <w:b w:val="false"/>
                <w:bCs w:val="false"/>
                <w:sz w:val="20"/>
                <w:szCs w:val="20"/>
              </w:rPr>
              <w:t xml:space="preserve">1</w:t>
            </w:r>
          </w:p>
        </w:tc>
        <w:tc>
          <w:tcPr>
            <w:tcW w:type="dxa" w:w="5300"/>
            <w:tcMar>
              <w:top w:type="dxa" w:w="80"/>
              <w:left w:type="dxa" w:w="120"/>
              <w:bottom w:type="dxa" w:w="80"/>
              <w:right w:type="dxa" w:w="120"/>
            </w:tcMar>
          </w:tcPr>
          <w:p>
            <w:r>
              <w:rPr>
                <w:b w:val="false"/>
                <w:bCs w:val="false"/>
                <w:sz w:val="20"/>
                <w:szCs w:val="20"/>
              </w:rPr>
              <w:t xml:space="preserve">Nine source folders as given, folder 2 included</w:t>
            </w:r>
          </w:p>
        </w:tc>
        <w:tc>
          <w:tcPr>
            <w:tcW w:type="dxa" w:w="3160"/>
            <w:tcMar>
              <w:top w:type="dxa" w:w="80"/>
              <w:left w:type="dxa" w:w="120"/>
              <w:bottom w:type="dxa" w:w="80"/>
              <w:right w:type="dxa" w:w="120"/>
            </w:tcMar>
          </w:tcPr>
          <w:p>
            <w:r>
              <w:rPr>
                <w:b w:val="false"/>
                <w:bCs w:val="false"/>
                <w:sz w:val="20"/>
                <w:szCs w:val="20"/>
              </w:rPr>
              <w:t xml:space="preserve">37.5% (chance 11.1%)</w:t>
            </w:r>
          </w:p>
        </w:tc>
      </w:tr>
      <w:tr>
        <w:tc>
          <w:tcPr>
            <w:tcW w:type="dxa" w:w="900"/>
            <w:shd w:fill="F2F2F2" w:color="auto" w:val="clear"/>
            <w:tcMar>
              <w:top w:type="dxa" w:w="80"/>
              <w:left w:type="dxa" w:w="120"/>
              <w:bottom w:type="dxa" w:w="80"/>
              <w:right w:type="dxa" w:w="120"/>
            </w:tcMar>
          </w:tcPr>
          <w:p>
            <w:r>
              <w:rPr>
                <w:b w:val="false"/>
                <w:bCs w:val="false"/>
                <w:sz w:val="20"/>
                <w:szCs w:val="20"/>
              </w:rPr>
              <w:t xml:space="preserve">—</w:t>
            </w:r>
          </w:p>
        </w:tc>
        <w:tc>
          <w:tcPr>
            <w:tcW w:type="dxa" w:w="5300"/>
            <w:shd w:fill="F2F2F2" w:color="auto" w:val="clear"/>
            <w:tcMar>
              <w:top w:type="dxa" w:w="80"/>
              <w:left w:type="dxa" w:w="120"/>
              <w:bottom w:type="dxa" w:w="80"/>
              <w:right w:type="dxa" w:w="120"/>
            </w:tcMar>
          </w:tcPr>
          <w:p>
            <w:r>
              <w:rPr>
                <w:b w:val="false"/>
                <w:bCs w:val="false"/>
                <w:sz w:val="20"/>
                <w:szCs w:val="20"/>
              </w:rPr>
              <w:t xml:space="preserve">Predicted by collapsing run 1’s confusion matrix</w:t>
            </w:r>
          </w:p>
        </w:tc>
        <w:tc>
          <w:tcPr>
            <w:tcW w:type="dxa" w:w="3160"/>
            <w:shd w:fill="F2F2F2" w:color="auto" w:val="clear"/>
            <w:tcMar>
              <w:top w:type="dxa" w:w="80"/>
              <w:left w:type="dxa" w:w="120"/>
              <w:bottom w:type="dxa" w:w="80"/>
              <w:right w:type="dxa" w:w="120"/>
            </w:tcMar>
          </w:tcPr>
          <w:p>
            <w:r>
              <w:rPr>
                <w:b w:val="false"/>
                <w:bCs w:val="false"/>
                <w:sz w:val="20"/>
                <w:szCs w:val="20"/>
              </w:rPr>
              <w:t xml:space="preserve">63.0%</w:t>
            </w:r>
          </w:p>
        </w:tc>
      </w:tr>
      <w:tr>
        <w:tc>
          <w:tcPr>
            <w:tcW w:type="dxa" w:w="900"/>
            <w:tcMar>
              <w:top w:type="dxa" w:w="80"/>
              <w:left w:type="dxa" w:w="120"/>
              <w:bottom w:type="dxa" w:w="80"/>
              <w:right w:type="dxa" w:w="120"/>
            </w:tcMar>
          </w:tcPr>
          <w:p>
            <w:r>
              <w:rPr>
                <w:b w:val="false"/>
                <w:bCs w:val="false"/>
                <w:sz w:val="20"/>
                <w:szCs w:val="20"/>
              </w:rPr>
              <w:t xml:space="preserve">2</w:t>
            </w:r>
          </w:p>
        </w:tc>
        <w:tc>
          <w:tcPr>
            <w:tcW w:type="dxa" w:w="5300"/>
            <w:tcMar>
              <w:top w:type="dxa" w:w="80"/>
              <w:left w:type="dxa" w:w="120"/>
              <w:bottom w:type="dxa" w:w="80"/>
              <w:right w:type="dxa" w:w="120"/>
            </w:tcMar>
          </w:tcPr>
          <w:p>
            <w:r>
              <w:rPr>
                <w:b w:val="false"/>
                <w:bCs w:val="false"/>
                <w:sz w:val="20"/>
                <w:szCs w:val="20"/>
              </w:rPr>
              <w:t xml:space="preserve">Trained directly on the five merged classes</w:t>
            </w:r>
          </w:p>
        </w:tc>
        <w:tc>
          <w:tcPr>
            <w:tcW w:type="dxa" w:w="3160"/>
            <w:tcMar>
              <w:top w:type="dxa" w:w="80"/>
              <w:left w:type="dxa" w:w="120"/>
              <w:bottom w:type="dxa" w:w="80"/>
              <w:right w:type="dxa" w:w="120"/>
            </w:tcMar>
          </w:tcPr>
          <w:p>
            <w:r>
              <w:rPr>
                <w:b w:val="false"/>
                <w:bCs w:val="false"/>
                <w:sz w:val="20"/>
                <w:szCs w:val="20"/>
              </w:rPr>
              <w:t xml:space="preserve">57.2%</w:t>
            </w:r>
          </w:p>
        </w:tc>
      </w:tr>
      <w:tr>
        <w:tc>
          <w:tcPr>
            <w:tcW w:type="dxa" w:w="900"/>
            <w:shd w:fill="F2F2F2" w:color="auto" w:val="clear"/>
            <w:tcMar>
              <w:top w:type="dxa" w:w="80"/>
              <w:left w:type="dxa" w:w="120"/>
              <w:bottom w:type="dxa" w:w="80"/>
              <w:right w:type="dxa" w:w="120"/>
            </w:tcMar>
          </w:tcPr>
          <w:p>
            <w:r>
              <w:rPr>
                <w:b w:val="false"/>
                <w:bCs w:val="false"/>
                <w:sz w:val="20"/>
                <w:szCs w:val="20"/>
              </w:rPr>
              <w:t xml:space="preserve">3</w:t>
            </w:r>
          </w:p>
        </w:tc>
        <w:tc>
          <w:tcPr>
            <w:tcW w:type="dxa" w:w="5300"/>
            <w:shd w:fill="F2F2F2" w:color="auto" w:val="clear"/>
            <w:tcMar>
              <w:top w:type="dxa" w:w="80"/>
              <w:left w:type="dxa" w:w="120"/>
              <w:bottom w:type="dxa" w:w="80"/>
              <w:right w:type="dxa" w:w="120"/>
            </w:tcMar>
          </w:tcPr>
          <w:p>
            <w:r>
              <w:rPr>
                <w:b w:val="false"/>
                <w:bCs w:val="false"/>
                <w:sz w:val="20"/>
                <w:szCs w:val="20"/>
              </w:rPr>
              <w:t xml:space="preserve">Eight-class training, merged output, class-weighted</w:t>
            </w:r>
          </w:p>
        </w:tc>
        <w:tc>
          <w:tcPr>
            <w:tcW w:type="dxa" w:w="3160"/>
            <w:shd w:fill="F2F2F2" w:color="auto" w:val="clear"/>
            <w:tcMar>
              <w:top w:type="dxa" w:w="80"/>
              <w:left w:type="dxa" w:w="120"/>
              <w:bottom w:type="dxa" w:w="80"/>
              <w:right w:type="dxa" w:w="120"/>
            </w:tcMar>
          </w:tcPr>
          <w:p>
            <w:r>
              <w:rPr>
                <w:b w:val="false"/>
                <w:bCs w:val="false"/>
                <w:sz w:val="20"/>
                <w:szCs w:val="20"/>
              </w:rPr>
              <w:t xml:space="preserve">63.1%</w:t>
            </w:r>
          </w:p>
        </w:tc>
      </w:tr>
    </w:tbl>
    <w:p>
      <w:pPr>
        <w:spacing w:after="120"/>
      </w:pPr>
      <w:r>
        <w:t xml:space="preserve"/>
      </w:r>
    </w:p>
    <w:p>
      <w:pPr>
        <w:spacing w:after="120"/>
      </w:pPr>
      <w:r>
        <w:t xml:space="preserve">The taxonomy for runs 2 and 3 was not chosen by clinical intuition. Run 1’s confusion matrix was collapsed under several candidate groupings arithmetically, without retraining, and the grouping that scored best was adopted. Each merge corresponds to a confusion the matrix actually exhibited: cholecystitis, gangrenous cholecystitis and perforation confused with one another, as did polyps and adenomyomatosis.</w:t>
      </w:r>
    </w:p>
    <w:p>
      <w:pPr>
        <w:spacing w:after="120"/>
      </w:pPr>
      <w:r>
        <w:t xml:space="preserve">Run 2 under-performed the collapse estimate by six points, which prompted the change of ordering described in Section 3.2. Run 3 reached 63.1% against a prediction of 63.0% — close enough to treat the mechanism as confirmed rather than coincidental.</w:t>
      </w:r>
    </w:p>
    <w:p>
      <w:r>
        <w:br w:type="page"/>
      </w:r>
    </w:p>
    <w:p>
      <w:pPr>
        <w:pStyle w:val="Heading1"/>
        <w:spacing w:after="160" w:before="360"/>
      </w:pPr>
      <w:r>
        <w:t xml:space="preserve">5. Results</w:t>
      </w:r>
    </w:p>
    <w:p>
      <w:pPr>
        <w:pStyle w:val="Heading2"/>
        <w:spacing w:after="120" w:before="260"/>
      </w:pPr>
      <w:r>
        <w:t xml:space="preserve">5.1 Per-class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2100"/>
        <w:gridCol w:w="2060"/>
      </w:tblGrid>
      <w:tr>
        <w:trPr>
          <w:tblHeader/>
        </w:trPr>
        <w:tc>
          <w:tcPr>
            <w:tcW w:type="dxa" w:w="3800"/>
            <w:shd w:fill="1F4E79" w:color="auto" w:val="clear"/>
            <w:tcMar>
              <w:top w:type="dxa" w:w="80"/>
              <w:left w:type="dxa" w:w="120"/>
              <w:bottom w:type="dxa" w:w="80"/>
              <w:right w:type="dxa" w:w="120"/>
            </w:tcMar>
          </w:tcPr>
          <w:p>
            <w:r>
              <w:rPr>
                <w:b/>
                <w:bCs/>
                <w:color w:val="FFFFFF"/>
                <w:sz w:val="20"/>
                <w:szCs w:val="20"/>
              </w:rPr>
              <w:t xml:space="preserve">Class</w:t>
            </w:r>
          </w:p>
        </w:tc>
        <w:tc>
          <w:tcPr>
            <w:tcW w:type="dxa" w:w="1400"/>
            <w:shd w:fill="1F4E79" w:color="auto" w:val="clear"/>
            <w:tcMar>
              <w:top w:type="dxa" w:w="80"/>
              <w:left w:type="dxa" w:w="120"/>
              <w:bottom w:type="dxa" w:w="80"/>
              <w:right w:type="dxa" w:w="120"/>
            </w:tcMar>
          </w:tcPr>
          <w:p>
            <w:r>
              <w:rPr>
                <w:b/>
                <w:bCs/>
                <w:color w:val="FFFFFF"/>
                <w:sz w:val="20"/>
                <w:szCs w:val="20"/>
              </w:rPr>
              <w:t xml:space="preserve">Cases</w:t>
            </w:r>
          </w:p>
        </w:tc>
        <w:tc>
          <w:tcPr>
            <w:tcW w:type="dxa" w:w="2100"/>
            <w:shd w:fill="1F4E79" w:color="auto" w:val="clear"/>
            <w:tcMar>
              <w:top w:type="dxa" w:w="80"/>
              <w:left w:type="dxa" w:w="120"/>
              <w:bottom w:type="dxa" w:w="80"/>
              <w:right w:type="dxa" w:w="120"/>
            </w:tcMar>
          </w:tcPr>
          <w:p>
            <w:r>
              <w:rPr>
                <w:b/>
                <w:bCs/>
                <w:color w:val="FFFFFF"/>
                <w:sz w:val="20"/>
                <w:szCs w:val="20"/>
              </w:rPr>
              <w:t xml:space="preserve">Recall (run 3)</w:t>
            </w:r>
          </w:p>
        </w:tc>
        <w:tc>
          <w:tcPr>
            <w:tcW w:type="dxa" w:w="2060"/>
            <w:shd w:fill="1F4E79" w:color="auto" w:val="clear"/>
            <w:tcMar>
              <w:top w:type="dxa" w:w="80"/>
              <w:left w:type="dxa" w:w="120"/>
              <w:bottom w:type="dxa" w:w="80"/>
              <w:right w:type="dxa" w:w="120"/>
            </w:tcMar>
          </w:tcPr>
          <w:p>
            <w:r>
              <w:rPr>
                <w:b/>
                <w:bCs/>
                <w:color w:val="FFFFFF"/>
                <w:sz w:val="20"/>
                <w:szCs w:val="20"/>
              </w:rPr>
              <w:t xml:space="preserve">Recall (run 2)</w:t>
            </w:r>
          </w:p>
        </w:tc>
      </w:tr>
      <w:tr>
        <w:tc>
          <w:tcPr>
            <w:tcW w:type="dxa" w:w="3800"/>
            <w:tcMar>
              <w:top w:type="dxa" w:w="80"/>
              <w:left w:type="dxa" w:w="120"/>
              <w:bottom w:type="dxa" w:w="80"/>
              <w:right w:type="dxa" w:w="120"/>
            </w:tcMar>
          </w:tcPr>
          <w:p>
            <w:r>
              <w:rPr>
                <w:b w:val="false"/>
                <w:bCs w:val="false"/>
                <w:sz w:val="20"/>
                <w:szCs w:val="20"/>
              </w:rPr>
              <w:t xml:space="preserve">Cholelithiasis</w:t>
            </w:r>
          </w:p>
        </w:tc>
        <w:tc>
          <w:tcPr>
            <w:tcW w:type="dxa" w:w="1400"/>
            <w:tcMar>
              <w:top w:type="dxa" w:w="80"/>
              <w:left w:type="dxa" w:w="120"/>
              <w:bottom w:type="dxa" w:w="80"/>
              <w:right w:type="dxa" w:w="120"/>
            </w:tcMar>
          </w:tcPr>
          <w:p>
            <w:r>
              <w:rPr>
                <w:b w:val="false"/>
                <w:bCs w:val="false"/>
                <w:sz w:val="20"/>
                <w:szCs w:val="20"/>
              </w:rPr>
              <w:t xml:space="preserve">32</w:t>
            </w:r>
          </w:p>
        </w:tc>
        <w:tc>
          <w:tcPr>
            <w:tcW w:type="dxa" w:w="2100"/>
            <w:tcMar>
              <w:top w:type="dxa" w:w="80"/>
              <w:left w:type="dxa" w:w="120"/>
              <w:bottom w:type="dxa" w:w="80"/>
              <w:right w:type="dxa" w:w="120"/>
            </w:tcMar>
          </w:tcPr>
          <w:p>
            <w:r>
              <w:rPr>
                <w:b w:val="false"/>
                <w:bCs w:val="false"/>
                <w:sz w:val="20"/>
                <w:szCs w:val="20"/>
              </w:rPr>
              <w:t xml:space="preserve">0.44</w:t>
            </w:r>
          </w:p>
        </w:tc>
        <w:tc>
          <w:tcPr>
            <w:tcW w:type="dxa" w:w="2060"/>
            <w:tcMar>
              <w:top w:type="dxa" w:w="80"/>
              <w:left w:type="dxa" w:w="120"/>
              <w:bottom w:type="dxa" w:w="80"/>
              <w:right w:type="dxa" w:w="120"/>
            </w:tcMar>
          </w:tcPr>
          <w:p>
            <w:r>
              <w:rPr>
                <w:b w:val="false"/>
                <w:bCs w:val="false"/>
                <w:sz w:val="20"/>
                <w:szCs w:val="20"/>
              </w:rPr>
              <w:t xml:space="preserve">0.31</w:t>
            </w:r>
          </w:p>
        </w:tc>
      </w:tr>
      <w:tr>
        <w:tc>
          <w:tcPr>
            <w:tcW w:type="dxa" w:w="3800"/>
            <w:shd w:fill="F2F2F2" w:color="auto" w:val="clear"/>
            <w:tcMar>
              <w:top w:type="dxa" w:w="80"/>
              <w:left w:type="dxa" w:w="120"/>
              <w:bottom w:type="dxa" w:w="80"/>
              <w:right w:type="dxa" w:w="120"/>
            </w:tcMar>
          </w:tcPr>
          <w:p>
            <w:r>
              <w:rPr>
                <w:b w:val="false"/>
                <w:bCs w:val="false"/>
                <w:sz w:val="20"/>
                <w:szCs w:val="20"/>
              </w:rPr>
              <w:t xml:space="preserve">Acute cholecystitis (any severity)</w:t>
            </w:r>
          </w:p>
        </w:tc>
        <w:tc>
          <w:tcPr>
            <w:tcW w:type="dxa" w:w="1400"/>
            <w:shd w:fill="F2F2F2" w:color="auto" w:val="clear"/>
            <w:tcMar>
              <w:top w:type="dxa" w:w="80"/>
              <w:left w:type="dxa" w:w="120"/>
              <w:bottom w:type="dxa" w:w="80"/>
              <w:right w:type="dxa" w:w="120"/>
            </w:tcMar>
          </w:tcPr>
          <w:p>
            <w:r>
              <w:rPr>
                <w:b w:val="false"/>
                <w:bCs w:val="false"/>
                <w:sz w:val="20"/>
                <w:szCs w:val="20"/>
              </w:rPr>
              <w:t xml:space="preserve">66</w:t>
            </w:r>
          </w:p>
        </w:tc>
        <w:tc>
          <w:tcPr>
            <w:tcW w:type="dxa" w:w="2100"/>
            <w:shd w:fill="F2F2F2" w:color="auto" w:val="clear"/>
            <w:tcMar>
              <w:top w:type="dxa" w:w="80"/>
              <w:left w:type="dxa" w:w="120"/>
              <w:bottom w:type="dxa" w:w="80"/>
              <w:right w:type="dxa" w:w="120"/>
            </w:tcMar>
          </w:tcPr>
          <w:p>
            <w:r>
              <w:rPr>
                <w:b w:val="false"/>
                <w:bCs w:val="false"/>
                <w:sz w:val="20"/>
                <w:szCs w:val="20"/>
              </w:rPr>
              <w:t xml:space="preserve">0.68</w:t>
            </w:r>
          </w:p>
        </w:tc>
        <w:tc>
          <w:tcPr>
            <w:tcW w:type="dxa" w:w="2060"/>
            <w:shd w:fill="F2F2F2" w:color="auto" w:val="clear"/>
            <w:tcMar>
              <w:top w:type="dxa" w:w="80"/>
              <w:left w:type="dxa" w:w="120"/>
              <w:bottom w:type="dxa" w:w="80"/>
              <w:right w:type="dxa" w:w="120"/>
            </w:tcMar>
          </w:tcPr>
          <w:p>
            <w:r>
              <w:rPr>
                <w:b w:val="false"/>
                <w:bCs w:val="false"/>
                <w:sz w:val="20"/>
                <w:szCs w:val="20"/>
              </w:rPr>
              <w:t xml:space="preserve">0.77</w:t>
            </w:r>
          </w:p>
        </w:tc>
      </w:tr>
      <w:tr>
        <w:tc>
          <w:tcPr>
            <w:tcW w:type="dxa" w:w="3800"/>
            <w:tcMar>
              <w:top w:type="dxa" w:w="80"/>
              <w:left w:type="dxa" w:w="120"/>
              <w:bottom w:type="dxa" w:w="80"/>
              <w:right w:type="dxa" w:w="120"/>
            </w:tcMar>
          </w:tcPr>
          <w:p>
            <w:r>
              <w:rPr>
                <w:b w:val="false"/>
                <w:bCs w:val="false"/>
                <w:sz w:val="20"/>
                <w:szCs w:val="20"/>
              </w:rPr>
              <w:t xml:space="preserve">Polyps / adenomyomatosis</w:t>
            </w:r>
          </w:p>
        </w:tc>
        <w:tc>
          <w:tcPr>
            <w:tcW w:type="dxa" w:w="1400"/>
            <w:tcMar>
              <w:top w:type="dxa" w:w="80"/>
              <w:left w:type="dxa" w:w="120"/>
              <w:bottom w:type="dxa" w:w="80"/>
              <w:right w:type="dxa" w:w="120"/>
            </w:tcMar>
          </w:tcPr>
          <w:p>
            <w:r>
              <w:rPr>
                <w:b w:val="false"/>
                <w:bCs w:val="false"/>
                <w:sz w:val="20"/>
                <w:szCs w:val="20"/>
              </w:rPr>
              <w:t xml:space="preserve">49</w:t>
            </w:r>
          </w:p>
        </w:tc>
        <w:tc>
          <w:tcPr>
            <w:tcW w:type="dxa" w:w="2100"/>
            <w:tcMar>
              <w:top w:type="dxa" w:w="80"/>
              <w:left w:type="dxa" w:w="120"/>
              <w:bottom w:type="dxa" w:w="80"/>
              <w:right w:type="dxa" w:w="120"/>
            </w:tcMar>
          </w:tcPr>
          <w:p>
            <w:r>
              <w:rPr>
                <w:b w:val="false"/>
                <w:bCs w:val="false"/>
                <w:sz w:val="20"/>
                <w:szCs w:val="20"/>
              </w:rPr>
              <w:t xml:space="preserve">0.69</w:t>
            </w:r>
          </w:p>
        </w:tc>
        <w:tc>
          <w:tcPr>
            <w:tcW w:type="dxa" w:w="2060"/>
            <w:tcMar>
              <w:top w:type="dxa" w:w="80"/>
              <w:left w:type="dxa" w:w="120"/>
              <w:bottom w:type="dxa" w:w="80"/>
              <w:right w:type="dxa" w:w="120"/>
            </w:tcMar>
          </w:tcPr>
          <w:p>
            <w:r>
              <w:rPr>
                <w:b w:val="false"/>
                <w:bCs w:val="false"/>
                <w:sz w:val="20"/>
                <w:szCs w:val="20"/>
              </w:rPr>
              <w:t xml:space="preserve">0.69</w:t>
            </w:r>
          </w:p>
        </w:tc>
      </w:tr>
      <w:tr>
        <w:tc>
          <w:tcPr>
            <w:tcW w:type="dxa" w:w="3800"/>
            <w:shd w:fill="F2F2F2" w:color="auto" w:val="clear"/>
            <w:tcMar>
              <w:top w:type="dxa" w:w="80"/>
              <w:left w:type="dxa" w:w="120"/>
              <w:bottom w:type="dxa" w:w="80"/>
              <w:right w:type="dxa" w:w="120"/>
            </w:tcMar>
          </w:tcPr>
          <w:p>
            <w:r>
              <w:rPr>
                <w:b w:val="false"/>
                <w:bCs w:val="false"/>
                <w:sz w:val="20"/>
                <w:szCs w:val="20"/>
              </w:rPr>
              <w:t xml:space="preserve">Carcinoma</w:t>
            </w:r>
          </w:p>
        </w:tc>
        <w:tc>
          <w:tcPr>
            <w:tcW w:type="dxa" w:w="1400"/>
            <w:shd w:fill="F2F2F2" w:color="auto" w:val="clear"/>
            <w:tcMar>
              <w:top w:type="dxa" w:w="80"/>
              <w:left w:type="dxa" w:w="120"/>
              <w:bottom w:type="dxa" w:w="80"/>
              <w:right w:type="dxa" w:w="120"/>
            </w:tcMar>
          </w:tcPr>
          <w:p>
            <w:r>
              <w:rPr>
                <w:b w:val="false"/>
                <w:bCs w:val="false"/>
                <w:sz w:val="20"/>
                <w:szCs w:val="20"/>
              </w:rPr>
              <w:t xml:space="preserve">27</w:t>
            </w:r>
          </w:p>
        </w:tc>
        <w:tc>
          <w:tcPr>
            <w:tcW w:type="dxa" w:w="2100"/>
            <w:shd w:fill="F2F2F2" w:color="auto" w:val="clear"/>
            <w:tcMar>
              <w:top w:type="dxa" w:w="80"/>
              <w:left w:type="dxa" w:w="120"/>
              <w:bottom w:type="dxa" w:w="80"/>
              <w:right w:type="dxa" w:w="120"/>
            </w:tcMar>
          </w:tcPr>
          <w:p>
            <w:r>
              <w:rPr>
                <w:b w:val="false"/>
                <w:bCs w:val="false"/>
                <w:sz w:val="20"/>
                <w:szCs w:val="20"/>
              </w:rPr>
              <w:t xml:space="preserve">0.70</w:t>
            </w:r>
          </w:p>
        </w:tc>
        <w:tc>
          <w:tcPr>
            <w:tcW w:type="dxa" w:w="2060"/>
            <w:shd w:fill="F2F2F2" w:color="auto" w:val="clear"/>
            <w:tcMar>
              <w:top w:type="dxa" w:w="80"/>
              <w:left w:type="dxa" w:w="120"/>
              <w:bottom w:type="dxa" w:w="80"/>
              <w:right w:type="dxa" w:w="120"/>
            </w:tcMar>
          </w:tcPr>
          <w:p>
            <w:r>
              <w:rPr>
                <w:b w:val="false"/>
                <w:bCs w:val="false"/>
                <w:sz w:val="20"/>
                <w:szCs w:val="20"/>
              </w:rPr>
              <w:t xml:space="preserve">0.52</w:t>
            </w:r>
          </w:p>
        </w:tc>
      </w:tr>
      <w:tr>
        <w:tc>
          <w:tcPr>
            <w:tcW w:type="dxa" w:w="3800"/>
            <w:tcMar>
              <w:top w:type="dxa" w:w="80"/>
              <w:left w:type="dxa" w:w="120"/>
              <w:bottom w:type="dxa" w:w="80"/>
              <w:right w:type="dxa" w:w="120"/>
            </w:tcMar>
          </w:tcPr>
          <w:p>
            <w:r>
              <w:rPr>
                <w:b w:val="false"/>
                <w:bCs w:val="false"/>
                <w:sz w:val="20"/>
                <w:szCs w:val="20"/>
              </w:rPr>
              <w:t xml:space="preserve">Wall thickening</w:t>
            </w:r>
          </w:p>
        </w:tc>
        <w:tc>
          <w:tcPr>
            <w:tcW w:type="dxa" w:w="1400"/>
            <w:tcMar>
              <w:top w:type="dxa" w:w="80"/>
              <w:left w:type="dxa" w:w="120"/>
              <w:bottom w:type="dxa" w:w="80"/>
              <w:right w:type="dxa" w:w="120"/>
            </w:tcMar>
          </w:tcPr>
          <w:p>
            <w:r>
              <w:rPr>
                <w:b w:val="false"/>
                <w:bCs w:val="false"/>
                <w:sz w:val="20"/>
                <w:szCs w:val="20"/>
              </w:rPr>
              <w:t xml:space="preserve">25</w:t>
            </w:r>
          </w:p>
        </w:tc>
        <w:tc>
          <w:tcPr>
            <w:tcW w:type="dxa" w:w="2100"/>
            <w:tcMar>
              <w:top w:type="dxa" w:w="80"/>
              <w:left w:type="dxa" w:w="120"/>
              <w:bottom w:type="dxa" w:w="80"/>
              <w:right w:type="dxa" w:w="120"/>
            </w:tcMar>
          </w:tcPr>
          <w:p>
            <w:r>
              <w:rPr>
                <w:b w:val="false"/>
                <w:bCs w:val="false"/>
                <w:sz w:val="20"/>
                <w:szCs w:val="20"/>
              </w:rPr>
              <w:t xml:space="preserve">0.64</w:t>
            </w:r>
          </w:p>
        </w:tc>
        <w:tc>
          <w:tcPr>
            <w:tcW w:type="dxa" w:w="2060"/>
            <w:tcMar>
              <w:top w:type="dxa" w:w="80"/>
              <w:left w:type="dxa" w:w="120"/>
              <w:bottom w:type="dxa" w:w="80"/>
              <w:right w:type="dxa" w:w="120"/>
            </w:tcMar>
          </w:tcPr>
          <w:p>
            <w:r>
              <w:rPr>
                <w:b w:val="false"/>
                <w:bCs w:val="false"/>
                <w:sz w:val="20"/>
                <w:szCs w:val="20"/>
              </w:rPr>
              <w:t xml:space="preserve">0.56</w:t>
            </w:r>
          </w:p>
        </w:tc>
      </w:tr>
    </w:tbl>
    <w:p>
      <w:pPr>
        <w:spacing w:after="120"/>
      </w:pPr>
      <w:r>
        <w:t xml:space="preserve"/>
      </w:r>
    </w:p>
    <w:p>
      <w:pPr>
        <w:spacing w:after="120"/>
      </w:pPr>
      <w:r>
        <w:t xml:space="preserve">Class weighting narrowed the spread from 0.31–0.77 to 0.44–0.70. It surrendered nine points of recall on the majority class in exchange for eighteen points on Carcinoma and thirteen on Cholelithiasis. For a clinical instrument this is the correct direction: a uniform standard across findings matters more than an average inflated by one dominant category.</w:t>
      </w:r>
    </w:p>
    <w:p>
      <w:pPr>
        <w:spacing w:after="120"/>
      </w:pPr>
      <w:r>
        <w:t xml:space="preserve">Recall estimates carry wide intervals at this sample size. The smallest class has 25 cases, which bounds its recall to roughly ±10 percentage points at one standard error. Differences of a few points between classes are not interpretable.</w:t>
      </w:r>
    </w:p>
    <w:p>
      <w:pPr>
        <w:pStyle w:val="Heading2"/>
        <w:spacing w:after="120" w:before="260"/>
      </w:pPr>
      <w:r>
        <w:t xml:space="preserve">5.2 Balanced accuracy is the appropriate headline</w:t>
      </w:r>
    </w:p>
    <w:p>
      <w:pPr>
        <w:spacing w:after="120"/>
      </w:pPr>
      <w:r>
        <w:t xml:space="preserve">Plain accuracy (64.3%) is reported but is not the primary measure. Class sizes range from 25 to 66 cases, so an average weighted by frequency rewards performance on the largest category. Balanced accuracy — the mean of per-class recalls — is 63.1% against a chance level of 20.0%. The same reasoning was applied to the Triage and Cardiac modules.</w:t>
      </w:r>
    </w:p>
    <w:p>
      <w:pPr>
        <w:pStyle w:val="Heading2"/>
        <w:spacing w:after="120" w:before="260"/>
      </w:pPr>
      <w:r>
        <w:t xml:space="preserve">5.3 The three-group mapping was tested and dropped</w:t>
      </w:r>
    </w:p>
    <w:p>
      <w:pPr>
        <w:spacing w:after="120"/>
      </w:pPr>
      <w:r>
        <w:t xml:space="preserve">A coarser three-category grouping (cholelithiasis, acute inflammation, wall thickening or mass) was evaluated as a possible reporting layer. Only 17% of fine-grained errors remained within their group, and group-level balanced accuracy (64.0%) barely exceeded the five-class figure (63.1%).</w:t>
      </w:r>
    </w:p>
    <w:p>
      <w:pPr>
        <w:spacing w:after="120"/>
      </w:pPr>
      <w:r>
        <w:t xml:space="preserve">The grouping therefore does not reflect a structure the imaging supports, and is not presented as a result. It is retained in the output contract only as metadata, so the Clinical Reasoning Agent may use it if helpful, without any claim that the model discriminates at that level.</w:t>
      </w:r>
    </w:p>
    <w:p>
      <w:pPr>
        <w:pStyle w:val="Heading2"/>
        <w:spacing w:after="120" w:before="260"/>
      </w:pPr>
      <w:r>
        <w:t xml:space="preserve">5.4 Confidence calibration</w:t>
      </w:r>
    </w:p>
    <w:p>
      <w:pPr>
        <w:spacing w:after="120"/>
      </w:pPr>
      <w:r>
        <w:t xml:space="preserve">Temperature scaling was fitted on the out-of-fold predictions, which are held-out by construction and therefore require no separate calibration split. Expected calibration error fell from 0.058 to 0.042, comfortably below the 0.10 threshold generally regarded as well calibrated.</w:t>
      </w:r>
    </w:p>
    <w:p>
      <w:pPr>
        <w:spacing w:after="120"/>
      </w:pPr>
      <w:r>
        <w:t xml:space="preserve">The fitted temperature was 0.894, below one. The model was under-confident rather than over-confident — predictions at 0.42 confidence proved correct 51% of the time — so scaling sharpened the distribution rather than softening it. This is the opposite of the usual direction for neural classifiers and is attributable to the frame-averaging described in Section 3.4, which smooths the distribution before calibration is applied.</w:t>
      </w:r>
    </w:p>
    <w:p>
      <w:pPr>
        <w:pStyle w:val="Heading1"/>
        <w:spacing w:after="160" w:before="360"/>
      </w:pPr>
      <w:r>
        <w:t xml:space="preserve">6. Explainability</w:t>
      </w:r>
    </w:p>
    <w:p>
      <w:pPr>
        <w:spacing w:after="120"/>
      </w:pPr>
      <w:r>
        <w:t xml:space="preserve">Grad-CAM is computed by forward and backward hooks on an intermediate convolutional block, implemented directly rather than through an external package.</w:t>
      </w:r>
    </w:p>
    <w:p>
      <w:pPr>
        <w:pStyle w:val="Heading2"/>
        <w:spacing w:after="120" w:before="260"/>
      </w:pPr>
      <w:r>
        <w:t xml:space="preserve">6.1 Layer resolution materially affects the conclusion</w:t>
      </w:r>
    </w:p>
    <w:p>
      <w:pPr>
        <w:spacing w:after="120"/>
      </w:pPr>
      <w:r>
        <w:t xml:space="preserve">An initial attempt hooked EfficientNet-B0’s final convolutional block, which is 7×7 at 224-pixel input. Upsampling that to 224×224 stretches each cell across a 32×32 patch, so the resulting map cannot be sharp irrespective of what the network learned. The broad centred blobs it produced were equally consistent with genuine centre-bias and with pure interpolation artifact — two possibilities calling for opposite responses.</w:t>
      </w:r>
    </w:p>
    <w:p>
      <w:pPr>
        <w:spacing w:after="120"/>
      </w:pPr>
      <w:r>
        <w:t xml:space="preserve">The final implementation selects a 14×14 block, halving the upsampling factor to 16×, and prints the layer and resolution it used so the map is interpreted in light of its actual precision.</w:t>
      </w:r>
    </w:p>
    <w:p>
      <w:pPr>
        <w:pStyle w:val="Heading2"/>
        <w:spacing w:after="120" w:before="260"/>
      </w:pPr>
      <w:r>
        <w:t xml:space="preserve">6.2 A measured test for centre bias</w:t>
      </w:r>
    </w:p>
    <w:p>
      <w:pPr>
        <w:spacing w:after="120"/>
      </w:pPr>
      <w:r>
        <w:t xml:space="preserve">Judging attention maps by eye is unreliable, so the centre of mass of each map was computed across 60 frames. If the model attends to anatomy, centroids should scatter as the gallbladder moves between images; if they cluster at the image centre irrespective of content, the map is a positional prior and the explainability claim does not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4E79" w:color="auto" w:val="clear"/>
            <w:tcMar>
              <w:top w:type="dxa" w:w="80"/>
              <w:left w:type="dxa" w:w="120"/>
              <w:bottom w:type="dxa" w:w="80"/>
              <w:right w:type="dxa" w:w="120"/>
            </w:tcMar>
          </w:tcPr>
          <w:p>
            <w:r>
              <w:rPr>
                <w:b/>
                <w:bCs/>
                <w:color w:val="FFFFFF"/>
                <w:sz w:val="20"/>
                <w:szCs w:val="20"/>
              </w:rPr>
              <w:t xml:space="preserve">Behaviour</w:t>
            </w:r>
          </w:p>
        </w:tc>
        <w:tc>
          <w:tcPr>
            <w:tcW w:type="dxa" w:w="3760"/>
            <w:shd w:fill="1F4E79" w:color="auto" w:val="clear"/>
            <w:tcMar>
              <w:top w:type="dxa" w:w="80"/>
              <w:left w:type="dxa" w:w="120"/>
              <w:bottom w:type="dxa" w:w="80"/>
              <w:right w:type="dxa" w:w="120"/>
            </w:tcMar>
          </w:tcPr>
          <w:p>
            <w:r>
              <w:rPr>
                <w:b/>
                <w:bCs/>
                <w:color w:val="FFFFFF"/>
                <w:sz w:val="20"/>
                <w:szCs w:val="20"/>
              </w:rPr>
              <w:t xml:space="preserve">Expected centroid std</w:t>
            </w:r>
          </w:p>
        </w:tc>
      </w:tr>
      <w:tr>
        <w:tc>
          <w:tcPr>
            <w:tcW w:type="dxa" w:w="5600"/>
            <w:tcMar>
              <w:top w:type="dxa" w:w="80"/>
              <w:left w:type="dxa" w:w="120"/>
              <w:bottom w:type="dxa" w:w="80"/>
              <w:right w:type="dxa" w:w="120"/>
            </w:tcMar>
          </w:tcPr>
          <w:p>
            <w:r>
              <w:rPr>
                <w:b w:val="false"/>
                <w:bCs w:val="false"/>
                <w:sz w:val="20"/>
                <w:szCs w:val="20"/>
              </w:rPr>
              <w:t xml:space="preserve">Uniform across the whole image</w:t>
            </w:r>
          </w:p>
        </w:tc>
        <w:tc>
          <w:tcPr>
            <w:tcW w:type="dxa" w:w="3760"/>
            <w:tcMar>
              <w:top w:type="dxa" w:w="80"/>
              <w:left w:type="dxa" w:w="120"/>
              <w:bottom w:type="dxa" w:w="80"/>
              <w:right w:type="dxa" w:w="120"/>
            </w:tcMar>
          </w:tcPr>
          <w:p>
            <w:r>
              <w:rPr>
                <w:b w:val="false"/>
                <w:bCs w:val="false"/>
                <w:sz w:val="20"/>
                <w:szCs w:val="20"/>
              </w:rPr>
              <w:t xml:space="preserve">0.289</w:t>
            </w:r>
          </w:p>
        </w:tc>
      </w:tr>
      <w:tr>
        <w:tc>
          <w:tcPr>
            <w:tcW w:type="dxa" w:w="5600"/>
            <w:shd w:fill="F2F2F2" w:color="auto" w:val="clear"/>
            <w:tcMar>
              <w:top w:type="dxa" w:w="80"/>
              <w:left w:type="dxa" w:w="120"/>
              <w:bottom w:type="dxa" w:w="80"/>
              <w:right w:type="dxa" w:w="120"/>
            </w:tcMar>
          </w:tcPr>
          <w:p>
            <w:r>
              <w:rPr>
                <w:b w:val="false"/>
                <w:bCs w:val="false"/>
                <w:sz w:val="20"/>
                <w:szCs w:val="20"/>
              </w:rPr>
              <w:t xml:space="preserve">Uniform across the central half</w:t>
            </w:r>
          </w:p>
        </w:tc>
        <w:tc>
          <w:tcPr>
            <w:tcW w:type="dxa" w:w="3760"/>
            <w:shd w:fill="F2F2F2" w:color="auto" w:val="clear"/>
            <w:tcMar>
              <w:top w:type="dxa" w:w="80"/>
              <w:left w:type="dxa" w:w="120"/>
              <w:bottom w:type="dxa" w:w="80"/>
              <w:right w:type="dxa" w:w="120"/>
            </w:tcMar>
          </w:tcPr>
          <w:p>
            <w:r>
              <w:rPr>
                <w:b w:val="false"/>
                <w:bCs w:val="false"/>
                <w:sz w:val="20"/>
                <w:szCs w:val="20"/>
              </w:rPr>
              <w:t xml:space="preserve">0.144</w:t>
            </w:r>
          </w:p>
        </w:tc>
      </w:tr>
      <w:tr>
        <w:tc>
          <w:tcPr>
            <w:tcW w:type="dxa" w:w="5600"/>
            <w:tcMar>
              <w:top w:type="dxa" w:w="80"/>
              <w:left w:type="dxa" w:w="120"/>
              <w:bottom w:type="dxa" w:w="80"/>
              <w:right w:type="dxa" w:w="120"/>
            </w:tcMar>
          </w:tcPr>
          <w:p>
            <w:r>
              <w:rPr>
                <w:b w:val="false"/>
                <w:bCs w:val="false"/>
                <w:sz w:val="20"/>
                <w:szCs w:val="20"/>
              </w:rPr>
              <w:t xml:space="preserve">Uniform across the central quarter</w:t>
            </w:r>
          </w:p>
        </w:tc>
        <w:tc>
          <w:tcPr>
            <w:tcW w:type="dxa" w:w="3760"/>
            <w:tcMar>
              <w:top w:type="dxa" w:w="80"/>
              <w:left w:type="dxa" w:w="120"/>
              <w:bottom w:type="dxa" w:w="80"/>
              <w:right w:type="dxa" w:w="120"/>
            </w:tcMar>
          </w:tcPr>
          <w:p>
            <w:r>
              <w:rPr>
                <w:b w:val="false"/>
                <w:bCs w:val="false"/>
                <w:sz w:val="20"/>
                <w:szCs w:val="20"/>
              </w:rPr>
              <w:t xml:space="preserve">0.072</w:t>
            </w:r>
          </w:p>
        </w:tc>
      </w:tr>
      <w:tr>
        <w:tc>
          <w:tcPr>
            <w:tcW w:type="dxa" w:w="5600"/>
            <w:shd w:fill="F2F2F2" w:color="auto" w:val="clear"/>
            <w:tcMar>
              <w:top w:type="dxa" w:w="80"/>
              <w:left w:type="dxa" w:w="120"/>
              <w:bottom w:type="dxa" w:w="80"/>
              <w:right w:type="dxa" w:w="120"/>
            </w:tcMar>
          </w:tcPr>
          <w:p>
            <w:r>
              <w:rPr>
                <w:b w:val="false"/>
                <w:bCs w:val="false"/>
                <w:sz w:val="20"/>
                <w:szCs w:val="20"/>
              </w:rPr>
              <w:t xml:space="preserve">Fixed centre with slight jitter</w:t>
            </w:r>
          </w:p>
        </w:tc>
        <w:tc>
          <w:tcPr>
            <w:tcW w:type="dxa" w:w="3760"/>
            <w:shd w:fill="F2F2F2" w:color="auto" w:val="clear"/>
            <w:tcMar>
              <w:top w:type="dxa" w:w="80"/>
              <w:left w:type="dxa" w:w="120"/>
              <w:bottom w:type="dxa" w:w="80"/>
              <w:right w:type="dxa" w:w="120"/>
            </w:tcMar>
          </w:tcPr>
          <w:p>
            <w:r>
              <w:rPr>
                <w:b w:val="false"/>
                <w:bCs w:val="false"/>
                <w:sz w:val="20"/>
                <w:szCs w:val="20"/>
              </w:rPr>
              <w:t xml:space="preserve">0.020</w:t>
            </w:r>
          </w:p>
        </w:tc>
      </w:tr>
      <w:tr>
        <w:tc>
          <w:tcPr>
            <w:tcW w:type="dxa" w:w="5600"/>
            <w:tcMar>
              <w:top w:type="dxa" w:w="80"/>
              <w:left w:type="dxa" w:w="120"/>
              <w:bottom w:type="dxa" w:w="80"/>
              <w:right w:type="dxa" w:w="120"/>
            </w:tcMar>
          </w:tcPr>
          <w:p>
            <w:r>
              <w:rPr>
                <w:b w:val="false"/>
                <w:bCs w:val="false"/>
                <w:sz w:val="20"/>
                <w:szCs w:val="20"/>
              </w:rPr>
              <w:t xml:space="preserve">Measured (x, y)</w:t>
            </w:r>
          </w:p>
        </w:tc>
        <w:tc>
          <w:tcPr>
            <w:tcW w:type="dxa" w:w="3760"/>
            <w:tcMar>
              <w:top w:type="dxa" w:w="80"/>
              <w:left w:type="dxa" w:w="120"/>
              <w:bottom w:type="dxa" w:w="80"/>
              <w:right w:type="dxa" w:w="120"/>
            </w:tcMar>
          </w:tcPr>
          <w:p>
            <w:r>
              <w:rPr>
                <w:b w:val="false"/>
                <w:bCs w:val="false"/>
                <w:sz w:val="20"/>
                <w:szCs w:val="20"/>
              </w:rPr>
              <w:t xml:space="preserve">0.049, 0.074</w:t>
            </w:r>
          </w:p>
        </w:tc>
      </w:tr>
    </w:tbl>
    <w:p>
      <w:pPr>
        <w:spacing w:after="120"/>
      </w:pPr>
      <w:r>
        <w:t xml:space="preserve"/>
      </w:r>
    </w:p>
    <w:p>
      <w:pPr>
        <w:spacing w:after="120"/>
      </w:pPr>
      <w:r>
        <w:rPr>
          <w:b/>
          <w:bCs/>
        </w:rPr>
        <w:t xml:space="preserve">Interpretation: </w:t>
      </w:r>
      <w:r>
        <w:t xml:space="preserve">attention is partially content-driven, with a pronounced central prior. Centroids move — approximately ±11 pixels horizontally and ±17 pixels vertically on a 224-pixel image — and vertical movement exceeds horizontal by roughly half, which is consistent with gallbladder depth varying more than lateral position. But the centroids occupy only the central quarter of the frame; they do not track anatomy freely across it.</w:t>
      </w:r>
    </w:p>
    <w:p>
      <w:pPr>
        <w:spacing w:after="120"/>
      </w:pPr>
      <w:r>
        <w:t xml:space="preserve">The stronger claim that the network attends to the correct anatomy is not supported by this measurement and is not made. Grad-CAM here is a plausibility check that the prediction is not driven by an image border or an off-organ artifact, not a verified localisation of pathology.</w:t>
      </w:r>
    </w:p>
    <w:p>
      <w:r>
        <w:br w:type="page"/>
      </w:r>
    </w:p>
    <w:p>
      <w:pPr>
        <w:pStyle w:val="Heading1"/>
        <w:spacing w:after="160" w:before="360"/>
      </w:pPr>
      <w:r>
        <w:t xml:space="preserve">7. Agent output contract</w:t>
      </w:r>
    </w:p>
    <w:p>
      <w:pPr>
        <w:spacing w:after="120"/>
      </w:pPr>
      <w:r>
        <w:t xml:space="preserve">The agent reports findings, confidence and explainability. Urgency is absent by design: it is determined by the Clinical Reasoning Agent, which fuses this output with the Triage Agent’s severity assessment and the patient’s clinical and biological data. Emitting an urgency judgement here would duplicate that logic in two places.</w:t>
      </w:r>
    </w:p>
    <w:p>
      <w:pPr>
        <w:spacing w:after="160" w:before="120"/>
      </w:pPr>
      <w:r>
        <w:rPr>
          <w:rFonts w:ascii="Consolas" w:cs="Consolas" w:eastAsia="Consolas" w:hAnsi="Consolas"/>
          <w:sz w:val="18"/>
          <w:szCs w:val="18"/>
        </w:rPr>
        <w:t xml:space="preserve">{ "organ": "gallbladder", "finding": "Acute cholecystitis (any severity)", "fine_grained": "Perforation", "clinical_group": "Acute inflammation", "confidence": 0.71, "quality": { "low_confidence": false }, "reliability": { "confidence_calibrated": true, "has_normal_class": false, "scope": "teaching-atlas stills; annotation markers in 15-50% of frames" }, "explanation": "grad_cam" }</w:t>
      </w:r>
    </w:p>
    <w:p>
      <w:pPr>
        <w:spacing w:after="120"/>
      </w:pPr>
      <w:r>
        <w:t xml:space="preserve">Both the reported class and the fine-grained prediction are emitted. The reasoning agent receives "Perforation" as well as "Acute cholecystitis", gaining the detail without the reported class losing the summed confidence that justifies it.</w:t>
      </w:r>
    </w:p>
    <w:p>
      <w:pPr>
        <w:spacing w:after="120"/>
      </w:pPr>
      <w:r>
        <w:rPr>
          <w:b/>
          <w:bCs/>
        </w:rPr>
        <w:t xml:space="preserve">The has_normal_class flag is the most important field in this payload. </w:t>
      </w:r>
      <w:r>
        <w:t xml:space="preserve">It declares that the training data contained no healthy gallbladders, so no output of this agent can be interpreted as excluding disease. Without it a downstream language model would have no way to know that a confident finding is a choice among pathologies rather than a diagnosis reached against a normal alternative.</w:t>
      </w:r>
    </w:p>
    <w:p>
      <w:pPr>
        <w:pStyle w:val="Heading1"/>
        <w:spacing w:after="160" w:before="360"/>
      </w:pPr>
      <w:r>
        <w:t xml:space="preserve">8. Limitations</w:t>
      </w:r>
    </w:p>
    <w:p>
      <w:pPr>
        <w:pStyle w:val="ListParagraph"/>
        <w:numPr>
          <w:ilvl w:val="0"/>
          <w:numId w:val="2"/>
        </w:numPr>
        <w:spacing w:after="80"/>
      </w:pPr>
      <w:r>
        <w:t xml:space="preserve">199 independent cases. Per-class recall is bounded to roughly ±10 percentage points at one standard error, and differences of a few points are not interpretable.</w:t>
      </w:r>
    </w:p>
    <w:p>
      <w:pPr>
        <w:pStyle w:val="ListParagraph"/>
        <w:numPr>
          <w:ilvl w:val="0"/>
          <w:numId w:val="2"/>
        </w:numPr>
        <w:spacing w:after="80"/>
      </w:pPr>
      <w:r>
        <w:t xml:space="preserve">No healthy-gallbladder class exists in the dataset. The agent cannot report the absence of pathology, only which pathology is most consistent with the image.</w:t>
      </w:r>
    </w:p>
    <w:p>
      <w:pPr>
        <w:pStyle w:val="ListParagraph"/>
        <w:numPr>
          <w:ilvl w:val="0"/>
          <w:numId w:val="2"/>
        </w:numPr>
        <w:spacing w:after="80"/>
      </w:pPr>
      <w:r>
        <w:t xml:space="preserve">Burned-in annotation markers appear in 15–50% of frames, unevenly across classes. This is a confound and a barrier to transfer.</w:t>
      </w:r>
    </w:p>
    <w:p>
      <w:pPr>
        <w:pStyle w:val="ListParagraph"/>
        <w:numPr>
          <w:ilvl w:val="0"/>
          <w:numId w:val="2"/>
        </w:numPr>
        <w:spacing w:after="80"/>
      </w:pPr>
      <w:r>
        <w:t xml:space="preserve">Teaching-atlas stills, curated and of good quality. Bedside point-of-care imaging is noisier, less standardised and operator-dependent; nothing here has been evaluated under those conditions.</w:t>
      </w:r>
    </w:p>
    <w:p>
      <w:pPr>
        <w:pStyle w:val="ListParagraph"/>
        <w:numPr>
          <w:ilvl w:val="0"/>
          <w:numId w:val="2"/>
        </w:numPr>
        <w:spacing w:after="80"/>
      </w:pPr>
      <w:r>
        <w:t xml:space="preserve">Grad-CAM shows a pronounced central prior. It is a plausibility check, not verified localisation of pathology.</w:t>
      </w:r>
    </w:p>
    <w:p>
      <w:pPr>
        <w:pStyle w:val="ListParagraph"/>
        <w:numPr>
          <w:ilvl w:val="0"/>
          <w:numId w:val="2"/>
        </w:numPr>
        <w:spacing w:after="80"/>
      </w:pPr>
      <w:r>
        <w:t xml:space="preserve">Model selection compared two candidates differing in both architecture and pretraining, so the outcome does not attribute the difference to either factor alone.</w:t>
      </w:r>
    </w:p>
    <w:p>
      <w:pPr>
        <w:pStyle w:val="ListParagraph"/>
        <w:numPr>
          <w:ilvl w:val="0"/>
          <w:numId w:val="2"/>
        </w:numPr>
        <w:spacing w:after="80"/>
      </w:pPr>
      <w:r>
        <w:t xml:space="preserve">The three-category clinical grouping was measured and found unsupported by the imaging; it is carried as metadata only.</w:t>
      </w:r>
    </w:p>
    <w:p>
      <w:pPr>
        <w:pStyle w:val="Heading1"/>
        <w:spacing w:after="160" w:before="360"/>
      </w:pPr>
      <w:r>
        <w:t xml:space="preserve">9. Conclusion</w:t>
      </w:r>
    </w:p>
    <w:p>
      <w:pPr>
        <w:spacing w:after="120"/>
      </w:pPr>
      <w:r>
        <w:t xml:space="preserve">The module reaches 63.1% balanced accuracy across five clinically meaningful classes against a chance level of 20.0%, with per-class recall between 0.44 and 0.70 and calibrated confidence at an expected calibration error of 0.042.</w:t>
      </w:r>
    </w:p>
    <w:p>
      <w:pPr>
        <w:spacing w:after="120"/>
      </w:pPr>
      <w:r>
        <w:t xml:space="preserve">The methodological contribution lies in the diagnostic sequence rather than the final figure. A first run at 37.5% was not accepted or abandoned but examined: its confusion matrix identified a mislabelled folder and a set of distinctions the data could not support. Candidate taxonomies were then evaluated arithmetically on that matrix before any GPU time was spent, and the chosen taxonomy’s predicted score of 63.0% was subsequently confirmed at 63.1%. Two intermediate hypotheses — that merged-label training would suffice, and that the coarse clinical grouping would be supported — were tested and rejected on measurement.</w:t>
      </w:r>
    </w:p>
    <w:p>
      <w:pPr>
        <w:spacing w:after="120"/>
      </w:pPr>
      <w:r>
        <w:t xml:space="preserve">Performance is now bounded by the number of independent cases rather than by the model, and the module is frozen in this configuration. Its structured output, with the confidence and scope declarations attached, forms the abdominal input to the Clinical Reasoning Agent.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2026-08-03T17:13:55.224Z</dcterms:created>
  <dcterms:modified xsi:type="dcterms:W3CDTF">2026-08-03T17:13:55.232Z</dcterms:modified>
</cp:coreProperties>
</file>

<file path=docProps/custom.xml><?xml version="1.0" encoding="utf-8"?>
<Properties xmlns="http://schemas.openxmlformats.org/officeDocument/2006/custom-properties" xmlns:vt="http://schemas.openxmlformats.org/officeDocument/2006/docPropsVTypes"/>
</file>