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4"/>
          <w:szCs w:val="44"/>
        </w:rPr>
        <w:t xml:space="preserve">Lung Ultrasound Agent</w:t>
      </w:r>
    </w:p>
    <w:p>
      <w:pPr>
        <w:spacing w:after="120"/>
        <w:jc w:val="center"/>
      </w:pPr>
      <w:r>
        <w:rPr>
          <w:color w:val="595959"/>
          <w:sz w:val="30"/>
          <w:szCs w:val="30"/>
        </w:rPr>
        <w:t xml:space="preserve">Development Report</w:t>
      </w:r>
    </w:p>
    <w:p>
      <w:pPr>
        <w:spacing w:after="40"/>
        <w:jc w:val="center"/>
      </w:pPr>
      <w:r>
        <w:rPr>
          <w:i/>
          <w:iCs/>
          <w:color w:val="595959"/>
          <w:sz w:val="20"/>
          <w:szCs w:val="20"/>
        </w:rPr>
        <w:t xml:space="preserve">POCUS-Emergency: Intelligent Multimodal Assistant for Clinical Ultrasound</w:t>
      </w:r>
    </w:p>
    <w:p>
      <w:pPr>
        <w:pBdr>
          <w:bottom w:val="single" w:color="1F4E79" w:sz="6" w:space="8"/>
        </w:pBdr>
        <w:spacing w:after="300"/>
        <w:jc w:val="center"/>
      </w:pPr>
      <w:r>
        <w:rPr>
          <w:color w:val="595959"/>
          <w:sz w:val="20"/>
          <w:szCs w:val="20"/>
        </w:rPr>
        <w:t xml:space="preserve">August 2026</w:t>
      </w:r>
    </w:p>
    <w:p>
      <w:pPr>
        <w:pStyle w:val="Heading1"/>
        <w:spacing w:after="160" w:before="360"/>
      </w:pPr>
      <w:r>
        <w:t xml:space="preserve">1. Executive summary</w:t>
      </w:r>
    </w:p>
    <w:p>
      <w:pPr>
        <w:spacing w:after="120"/>
      </w:pPr>
      <w:r>
        <w:t xml:space="preserve">This module detects clinically relevant findings in B-mode lung ultrasound clips and reports a calibrated confidence for each. It does not produce a diagnosis: a radiologist records "multiple B-lines, small consolidation, no pleural effusion", and the inference to pneumonia or pulmonary oedema belongs to the Clinical Reasoning Agent, which also holds the vitals, laboratory results and history that this module never sees.</w:t>
      </w:r>
    </w:p>
    <w:p>
      <w:pPr>
        <w:spacing w:after="120"/>
      </w:pPr>
      <w:r>
        <w:t xml:space="preserve">Lung is the only organ module that is genuinely multi-label — B-lines and a pleural effusion can be present in the same clip — so the output is a list of findings with independent confidences rather than a single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60"/>
        <w:gridCol w:w="1360"/>
        <w:gridCol w:w="1560"/>
        <w:gridCol w:w="1560"/>
        <w:gridCol w:w="1000"/>
        <w:gridCol w:w="1320"/>
      </w:tblGrid>
      <w:tr>
        <w:trPr>
          <w:tblHeader/>
        </w:trPr>
        <w:tc>
          <w:tcPr>
            <w:tcW w:type="dxa" w:w="2400"/>
            <w:shd w:fill="1F4E79" w:color="auto" w:val="clear"/>
            <w:tcMar>
              <w:top w:type="dxa" w:w="80"/>
              <w:left w:type="dxa" w:w="110"/>
              <w:bottom w:type="dxa" w:w="80"/>
              <w:right w:type="dxa" w:w="110"/>
            </w:tcMar>
          </w:tcPr>
          <w:p>
            <w:r>
              <w:rPr>
                <w:b/>
                <w:bCs/>
                <w:color w:val="FFFFFF"/>
                <w:sz w:val="19"/>
                <w:szCs w:val="19"/>
              </w:rPr>
              <w:t xml:space="preserve">Finding</w:t>
            </w:r>
          </w:p>
        </w:tc>
        <w:tc>
          <w:tcPr>
            <w:tcW w:type="dxa" w:w="1160"/>
            <w:shd w:fill="1F4E79" w:color="auto" w:val="clear"/>
            <w:tcMar>
              <w:top w:type="dxa" w:w="80"/>
              <w:left w:type="dxa" w:w="110"/>
              <w:bottom w:type="dxa" w:w="80"/>
              <w:right w:type="dxa" w:w="110"/>
            </w:tcMar>
          </w:tcPr>
          <w:p>
            <w:r>
              <w:rPr>
                <w:b/>
                <w:bCs/>
                <w:color w:val="FFFFFF"/>
                <w:sz w:val="19"/>
                <w:szCs w:val="19"/>
              </w:rPr>
              <w:t xml:space="preserve">AUROC</w:t>
            </w:r>
          </w:p>
        </w:tc>
        <w:tc>
          <w:tcPr>
            <w:tcW w:type="dxa" w:w="1360"/>
            <w:shd w:fill="1F4E79" w:color="auto" w:val="clear"/>
            <w:tcMar>
              <w:top w:type="dxa" w:w="80"/>
              <w:left w:type="dxa" w:w="110"/>
              <w:bottom w:type="dxa" w:w="80"/>
              <w:right w:type="dxa" w:w="110"/>
            </w:tcMar>
          </w:tcPr>
          <w:p>
            <w:r>
              <w:rPr>
                <w:b/>
                <w:bCs/>
                <w:color w:val="FFFFFF"/>
                <w:sz w:val="19"/>
                <w:szCs w:val="19"/>
              </w:rPr>
              <w:t xml:space="preserve">Avg prec.</w:t>
            </w:r>
          </w:p>
        </w:tc>
        <w:tc>
          <w:tcPr>
            <w:tcW w:type="dxa" w:w="1560"/>
            <w:shd w:fill="1F4E79" w:color="auto" w:val="clear"/>
            <w:tcMar>
              <w:top w:type="dxa" w:w="80"/>
              <w:left w:type="dxa" w:w="110"/>
              <w:bottom w:type="dxa" w:w="80"/>
              <w:right w:type="dxa" w:w="110"/>
            </w:tcMar>
          </w:tcPr>
          <w:p>
            <w:r>
              <w:rPr>
                <w:b/>
                <w:bCs/>
                <w:color w:val="FFFFFF"/>
                <w:sz w:val="19"/>
                <w:szCs w:val="19"/>
              </w:rPr>
              <w:t xml:space="preserve">Sensitivity</w:t>
            </w:r>
          </w:p>
        </w:tc>
        <w:tc>
          <w:tcPr>
            <w:tcW w:type="dxa" w:w="1560"/>
            <w:shd w:fill="1F4E79" w:color="auto" w:val="clear"/>
            <w:tcMar>
              <w:top w:type="dxa" w:w="80"/>
              <w:left w:type="dxa" w:w="110"/>
              <w:bottom w:type="dxa" w:w="80"/>
              <w:right w:type="dxa" w:w="110"/>
            </w:tcMar>
          </w:tcPr>
          <w:p>
            <w:r>
              <w:rPr>
                <w:b/>
                <w:bCs/>
                <w:color w:val="FFFFFF"/>
                <w:sz w:val="19"/>
                <w:szCs w:val="19"/>
              </w:rPr>
              <w:t xml:space="preserve">Specificity</w:t>
            </w:r>
          </w:p>
        </w:tc>
        <w:tc>
          <w:tcPr>
            <w:tcW w:type="dxa" w:w="1000"/>
            <w:shd w:fill="1F4E79" w:color="auto" w:val="clear"/>
            <w:tcMar>
              <w:top w:type="dxa" w:w="80"/>
              <w:left w:type="dxa" w:w="110"/>
              <w:bottom w:type="dxa" w:w="80"/>
              <w:right w:type="dxa" w:w="110"/>
            </w:tcMar>
          </w:tcPr>
          <w:p>
            <w:r>
              <w:rPr>
                <w:b/>
                <w:bCs/>
                <w:color w:val="FFFFFF"/>
                <w:sz w:val="19"/>
                <w:szCs w:val="19"/>
              </w:rPr>
              <w:t xml:space="preserve">ECE</w:t>
            </w:r>
          </w:p>
        </w:tc>
        <w:tc>
          <w:tcPr>
            <w:tcW w:type="dxa" w:w="1320"/>
            <w:shd w:fill="1F4E79" w:color="auto" w:val="clear"/>
            <w:tcMar>
              <w:top w:type="dxa" w:w="80"/>
              <w:left w:type="dxa" w:w="110"/>
              <w:bottom w:type="dxa" w:w="80"/>
              <w:right w:type="dxa" w:w="110"/>
            </w:tcMar>
          </w:tcPr>
          <w:p>
            <w:r>
              <w:rPr>
                <w:b/>
                <w:bCs/>
                <w:color w:val="FFFFFF"/>
                <w:sz w:val="19"/>
                <w:szCs w:val="19"/>
              </w:rPr>
              <w:t xml:space="preserve">Positives</w:t>
            </w:r>
          </w:p>
        </w:tc>
      </w:tr>
      <w:tr>
        <w:tc>
          <w:tcPr>
            <w:tcW w:type="dxa" w:w="2400"/>
            <w:tcMar>
              <w:top w:type="dxa" w:w="80"/>
              <w:left w:type="dxa" w:w="110"/>
              <w:bottom w:type="dxa" w:w="80"/>
              <w:right w:type="dxa" w:w="110"/>
            </w:tcMar>
          </w:tcPr>
          <w:p>
            <w:r>
              <w:rPr>
                <w:b w:val="false"/>
                <w:bCs w:val="false"/>
                <w:sz w:val="19"/>
                <w:szCs w:val="19"/>
              </w:rPr>
              <w:t xml:space="preserve">B-lines</w:t>
            </w:r>
          </w:p>
        </w:tc>
        <w:tc>
          <w:tcPr>
            <w:tcW w:type="dxa" w:w="1160"/>
            <w:tcMar>
              <w:top w:type="dxa" w:w="80"/>
              <w:left w:type="dxa" w:w="110"/>
              <w:bottom w:type="dxa" w:w="80"/>
              <w:right w:type="dxa" w:w="110"/>
            </w:tcMar>
          </w:tcPr>
          <w:p>
            <w:r>
              <w:rPr>
                <w:b w:val="false"/>
                <w:bCs w:val="false"/>
                <w:sz w:val="19"/>
                <w:szCs w:val="19"/>
              </w:rPr>
              <w:t xml:space="preserve">0.830</w:t>
            </w:r>
          </w:p>
        </w:tc>
        <w:tc>
          <w:tcPr>
            <w:tcW w:type="dxa" w:w="1360"/>
            <w:tcMar>
              <w:top w:type="dxa" w:w="80"/>
              <w:left w:type="dxa" w:w="110"/>
              <w:bottom w:type="dxa" w:w="80"/>
              <w:right w:type="dxa" w:w="110"/>
            </w:tcMar>
          </w:tcPr>
          <w:p>
            <w:r>
              <w:rPr>
                <w:b w:val="false"/>
                <w:bCs w:val="false"/>
                <w:sz w:val="19"/>
                <w:szCs w:val="19"/>
              </w:rPr>
              <w:t xml:space="preserve">0.695</w:t>
            </w:r>
          </w:p>
        </w:tc>
        <w:tc>
          <w:tcPr>
            <w:tcW w:type="dxa" w:w="1560"/>
            <w:tcMar>
              <w:top w:type="dxa" w:w="80"/>
              <w:left w:type="dxa" w:w="110"/>
              <w:bottom w:type="dxa" w:w="80"/>
              <w:right w:type="dxa" w:w="110"/>
            </w:tcMar>
          </w:tcPr>
          <w:p>
            <w:r>
              <w:rPr>
                <w:b w:val="false"/>
                <w:bCs w:val="false"/>
                <w:sz w:val="19"/>
                <w:szCs w:val="19"/>
              </w:rPr>
              <w:t xml:space="preserve">0.841</w:t>
            </w:r>
          </w:p>
        </w:tc>
        <w:tc>
          <w:tcPr>
            <w:tcW w:type="dxa" w:w="1560"/>
            <w:tcMar>
              <w:top w:type="dxa" w:w="80"/>
              <w:left w:type="dxa" w:w="110"/>
              <w:bottom w:type="dxa" w:w="80"/>
              <w:right w:type="dxa" w:w="110"/>
            </w:tcMar>
          </w:tcPr>
          <w:p>
            <w:r>
              <w:rPr>
                <w:b w:val="false"/>
                <w:bCs w:val="false"/>
                <w:sz w:val="19"/>
                <w:szCs w:val="19"/>
              </w:rPr>
              <w:t xml:space="preserve">0.710</w:t>
            </w:r>
          </w:p>
        </w:tc>
        <w:tc>
          <w:tcPr>
            <w:tcW w:type="dxa" w:w="1000"/>
            <w:tcMar>
              <w:top w:type="dxa" w:w="80"/>
              <w:left w:type="dxa" w:w="110"/>
              <w:bottom w:type="dxa" w:w="80"/>
              <w:right w:type="dxa" w:w="110"/>
            </w:tcMar>
          </w:tcPr>
          <w:p>
            <w:r>
              <w:rPr>
                <w:b w:val="false"/>
                <w:bCs w:val="false"/>
                <w:sz w:val="19"/>
                <w:szCs w:val="19"/>
              </w:rPr>
              <w:t xml:space="preserve">0.102</w:t>
            </w:r>
          </w:p>
        </w:tc>
        <w:tc>
          <w:tcPr>
            <w:tcW w:type="dxa" w:w="1320"/>
            <w:tcMar>
              <w:top w:type="dxa" w:w="80"/>
              <w:left w:type="dxa" w:w="110"/>
              <w:bottom w:type="dxa" w:w="80"/>
              <w:right w:type="dxa" w:w="110"/>
            </w:tcMar>
          </w:tcPr>
          <w:p>
            <w:r>
              <w:rPr>
                <w:b w:val="false"/>
                <w:bCs w:val="false"/>
                <w:sz w:val="19"/>
                <w:szCs w:val="19"/>
              </w:rPr>
              <w:t xml:space="preserve">63</w:t>
            </w:r>
          </w:p>
        </w:tc>
      </w:tr>
      <w:tr>
        <w:tc>
          <w:tcPr>
            <w:tcW w:type="dxa" w:w="2400"/>
            <w:shd w:fill="F2F2F2" w:color="auto" w:val="clear"/>
            <w:tcMar>
              <w:top w:type="dxa" w:w="80"/>
              <w:left w:type="dxa" w:w="110"/>
              <w:bottom w:type="dxa" w:w="80"/>
              <w:right w:type="dxa" w:w="110"/>
            </w:tcMar>
          </w:tcPr>
          <w:p>
            <w:r>
              <w:rPr>
                <w:b w:val="false"/>
                <w:bCs w:val="false"/>
                <w:sz w:val="19"/>
                <w:szCs w:val="19"/>
              </w:rPr>
              <w:t xml:space="preserve">Consolidation</w:t>
            </w:r>
          </w:p>
        </w:tc>
        <w:tc>
          <w:tcPr>
            <w:tcW w:type="dxa" w:w="1160"/>
            <w:shd w:fill="F2F2F2" w:color="auto" w:val="clear"/>
            <w:tcMar>
              <w:top w:type="dxa" w:w="80"/>
              <w:left w:type="dxa" w:w="110"/>
              <w:bottom w:type="dxa" w:w="80"/>
              <w:right w:type="dxa" w:w="110"/>
            </w:tcMar>
          </w:tcPr>
          <w:p>
            <w:r>
              <w:rPr>
                <w:b w:val="false"/>
                <w:bCs w:val="false"/>
                <w:sz w:val="19"/>
                <w:szCs w:val="19"/>
              </w:rPr>
              <w:t xml:space="preserve">0.832</w:t>
            </w:r>
          </w:p>
        </w:tc>
        <w:tc>
          <w:tcPr>
            <w:tcW w:type="dxa" w:w="1360"/>
            <w:shd w:fill="F2F2F2" w:color="auto" w:val="clear"/>
            <w:tcMar>
              <w:top w:type="dxa" w:w="80"/>
              <w:left w:type="dxa" w:w="110"/>
              <w:bottom w:type="dxa" w:w="80"/>
              <w:right w:type="dxa" w:w="110"/>
            </w:tcMar>
          </w:tcPr>
          <w:p>
            <w:r>
              <w:rPr>
                <w:b w:val="false"/>
                <w:bCs w:val="false"/>
                <w:sz w:val="19"/>
                <w:szCs w:val="19"/>
              </w:rPr>
              <w:t xml:space="preserve">0.726</w:t>
            </w:r>
          </w:p>
        </w:tc>
        <w:tc>
          <w:tcPr>
            <w:tcW w:type="dxa" w:w="1560"/>
            <w:shd w:fill="F2F2F2" w:color="auto" w:val="clear"/>
            <w:tcMar>
              <w:top w:type="dxa" w:w="80"/>
              <w:left w:type="dxa" w:w="110"/>
              <w:bottom w:type="dxa" w:w="80"/>
              <w:right w:type="dxa" w:w="110"/>
            </w:tcMar>
          </w:tcPr>
          <w:p>
            <w:r>
              <w:rPr>
                <w:b w:val="false"/>
                <w:bCs w:val="false"/>
                <w:sz w:val="19"/>
                <w:szCs w:val="19"/>
              </w:rPr>
              <w:t xml:space="preserve">0.600</w:t>
            </w:r>
          </w:p>
        </w:tc>
        <w:tc>
          <w:tcPr>
            <w:tcW w:type="dxa" w:w="1560"/>
            <w:shd w:fill="F2F2F2" w:color="auto" w:val="clear"/>
            <w:tcMar>
              <w:top w:type="dxa" w:w="80"/>
              <w:left w:type="dxa" w:w="110"/>
              <w:bottom w:type="dxa" w:w="80"/>
              <w:right w:type="dxa" w:w="110"/>
            </w:tcMar>
          </w:tcPr>
          <w:p>
            <w:r>
              <w:rPr>
                <w:b w:val="false"/>
                <w:bCs w:val="false"/>
                <w:sz w:val="19"/>
                <w:szCs w:val="19"/>
              </w:rPr>
              <w:t xml:space="preserve">0.780</w:t>
            </w:r>
          </w:p>
        </w:tc>
        <w:tc>
          <w:tcPr>
            <w:tcW w:type="dxa" w:w="1000"/>
            <w:shd w:fill="F2F2F2" w:color="auto" w:val="clear"/>
            <w:tcMar>
              <w:top w:type="dxa" w:w="80"/>
              <w:left w:type="dxa" w:w="110"/>
              <w:bottom w:type="dxa" w:w="80"/>
              <w:right w:type="dxa" w:w="110"/>
            </w:tcMar>
          </w:tcPr>
          <w:p>
            <w:r>
              <w:rPr>
                <w:b w:val="false"/>
                <w:bCs w:val="false"/>
                <w:sz w:val="19"/>
                <w:szCs w:val="19"/>
              </w:rPr>
              <w:t xml:space="preserve">0.030</w:t>
            </w:r>
          </w:p>
        </w:tc>
        <w:tc>
          <w:tcPr>
            <w:tcW w:type="dxa" w:w="1320"/>
            <w:shd w:fill="F2F2F2" w:color="auto" w:val="clear"/>
            <w:tcMar>
              <w:top w:type="dxa" w:w="80"/>
              <w:left w:type="dxa" w:w="110"/>
              <w:bottom w:type="dxa" w:w="80"/>
              <w:right w:type="dxa" w:w="110"/>
            </w:tcMar>
          </w:tcPr>
          <w:p>
            <w:r>
              <w:rPr>
                <w:b w:val="false"/>
                <w:bCs w:val="false"/>
                <w:sz w:val="19"/>
                <w:szCs w:val="19"/>
              </w:rPr>
              <w:t xml:space="preserve">60</w:t>
            </w:r>
          </w:p>
        </w:tc>
      </w:tr>
      <w:tr>
        <w:tc>
          <w:tcPr>
            <w:tcW w:type="dxa" w:w="2400"/>
            <w:tcMar>
              <w:top w:type="dxa" w:w="80"/>
              <w:left w:type="dxa" w:w="110"/>
              <w:bottom w:type="dxa" w:w="80"/>
              <w:right w:type="dxa" w:w="110"/>
            </w:tcMar>
          </w:tcPr>
          <w:p>
            <w:r>
              <w:rPr>
                <w:b w:val="false"/>
                <w:bCs w:val="false"/>
                <w:sz w:val="19"/>
                <w:szCs w:val="19"/>
              </w:rPr>
              <w:t xml:space="preserve">Pleural thickening</w:t>
            </w:r>
          </w:p>
        </w:tc>
        <w:tc>
          <w:tcPr>
            <w:tcW w:type="dxa" w:w="1160"/>
            <w:tcMar>
              <w:top w:type="dxa" w:w="80"/>
              <w:left w:type="dxa" w:w="110"/>
              <w:bottom w:type="dxa" w:w="80"/>
              <w:right w:type="dxa" w:w="110"/>
            </w:tcMar>
          </w:tcPr>
          <w:p>
            <w:r>
              <w:rPr>
                <w:b w:val="false"/>
                <w:bCs w:val="false"/>
                <w:sz w:val="19"/>
                <w:szCs w:val="19"/>
              </w:rPr>
              <w:t xml:space="preserve">0.773</w:t>
            </w:r>
          </w:p>
        </w:tc>
        <w:tc>
          <w:tcPr>
            <w:tcW w:type="dxa" w:w="1360"/>
            <w:tcMar>
              <w:top w:type="dxa" w:w="80"/>
              <w:left w:type="dxa" w:w="110"/>
              <w:bottom w:type="dxa" w:w="80"/>
              <w:right w:type="dxa" w:w="110"/>
            </w:tcMar>
          </w:tcPr>
          <w:p>
            <w:r>
              <w:rPr>
                <w:b w:val="false"/>
                <w:bCs w:val="false"/>
                <w:sz w:val="19"/>
                <w:szCs w:val="19"/>
              </w:rPr>
              <w:t xml:space="preserve">0.453</w:t>
            </w:r>
          </w:p>
        </w:tc>
        <w:tc>
          <w:tcPr>
            <w:tcW w:type="dxa" w:w="1560"/>
            <w:tcMar>
              <w:top w:type="dxa" w:w="80"/>
              <w:left w:type="dxa" w:w="110"/>
              <w:bottom w:type="dxa" w:w="80"/>
              <w:right w:type="dxa" w:w="110"/>
            </w:tcMar>
          </w:tcPr>
          <w:p>
            <w:r>
              <w:rPr>
                <w:b w:val="false"/>
                <w:bCs w:val="false"/>
                <w:sz w:val="19"/>
                <w:szCs w:val="19"/>
              </w:rPr>
              <w:t xml:space="preserve">0.652</w:t>
            </w:r>
          </w:p>
        </w:tc>
        <w:tc>
          <w:tcPr>
            <w:tcW w:type="dxa" w:w="1560"/>
            <w:tcMar>
              <w:top w:type="dxa" w:w="80"/>
              <w:left w:type="dxa" w:w="110"/>
              <w:bottom w:type="dxa" w:w="80"/>
              <w:right w:type="dxa" w:w="110"/>
            </w:tcMar>
          </w:tcPr>
          <w:p>
            <w:r>
              <w:rPr>
                <w:b w:val="false"/>
                <w:bCs w:val="false"/>
                <w:sz w:val="19"/>
                <w:szCs w:val="19"/>
              </w:rPr>
              <w:t xml:space="preserve">0.709</w:t>
            </w:r>
          </w:p>
        </w:tc>
        <w:tc>
          <w:tcPr>
            <w:tcW w:type="dxa" w:w="1000"/>
            <w:tcMar>
              <w:top w:type="dxa" w:w="80"/>
              <w:left w:type="dxa" w:w="110"/>
              <w:bottom w:type="dxa" w:w="80"/>
              <w:right w:type="dxa" w:w="110"/>
            </w:tcMar>
          </w:tcPr>
          <w:p>
            <w:r>
              <w:rPr>
                <w:b w:val="false"/>
                <w:bCs w:val="false"/>
                <w:sz w:val="19"/>
                <w:szCs w:val="19"/>
              </w:rPr>
              <w:t xml:space="preserve">0.045</w:t>
            </w:r>
          </w:p>
        </w:tc>
        <w:tc>
          <w:tcPr>
            <w:tcW w:type="dxa" w:w="1320"/>
            <w:tcMar>
              <w:top w:type="dxa" w:w="80"/>
              <w:left w:type="dxa" w:w="110"/>
              <w:bottom w:type="dxa" w:w="80"/>
              <w:right w:type="dxa" w:w="110"/>
            </w:tcMar>
          </w:tcPr>
          <w:p>
            <w:r>
              <w:rPr>
                <w:b w:val="false"/>
                <w:bCs w:val="false"/>
                <w:sz w:val="19"/>
                <w:szCs w:val="19"/>
              </w:rPr>
              <w:t xml:space="preserve">46</w:t>
            </w:r>
          </w:p>
        </w:tc>
      </w:tr>
      <w:tr>
        <w:tc>
          <w:tcPr>
            <w:tcW w:type="dxa" w:w="2400"/>
            <w:shd w:fill="F2F2F2" w:color="auto" w:val="clear"/>
            <w:tcMar>
              <w:top w:type="dxa" w:w="80"/>
              <w:left w:type="dxa" w:w="110"/>
              <w:bottom w:type="dxa" w:w="80"/>
              <w:right w:type="dxa" w:w="110"/>
            </w:tcMar>
          </w:tcPr>
          <w:p>
            <w:r>
              <w:rPr>
                <w:b w:val="false"/>
                <w:bCs w:val="false"/>
                <w:sz w:val="19"/>
                <w:szCs w:val="19"/>
              </w:rPr>
              <w:t xml:space="preserve">Pleural effusion</w:t>
            </w:r>
          </w:p>
        </w:tc>
        <w:tc>
          <w:tcPr>
            <w:tcW w:type="dxa" w:w="1160"/>
            <w:shd w:fill="F2F2F2" w:color="auto" w:val="clear"/>
            <w:tcMar>
              <w:top w:type="dxa" w:w="80"/>
              <w:left w:type="dxa" w:w="110"/>
              <w:bottom w:type="dxa" w:w="80"/>
              <w:right w:type="dxa" w:w="110"/>
            </w:tcMar>
          </w:tcPr>
          <w:p>
            <w:r>
              <w:rPr>
                <w:b w:val="false"/>
                <w:bCs w:val="false"/>
                <w:sz w:val="19"/>
                <w:szCs w:val="19"/>
              </w:rPr>
              <w:t xml:space="preserve">0.718</w:t>
            </w:r>
          </w:p>
        </w:tc>
        <w:tc>
          <w:tcPr>
            <w:tcW w:type="dxa" w:w="1360"/>
            <w:shd w:fill="F2F2F2" w:color="auto" w:val="clear"/>
            <w:tcMar>
              <w:top w:type="dxa" w:w="80"/>
              <w:left w:type="dxa" w:w="110"/>
              <w:bottom w:type="dxa" w:w="80"/>
              <w:right w:type="dxa" w:w="110"/>
            </w:tcMar>
          </w:tcPr>
          <w:p>
            <w:r>
              <w:rPr>
                <w:b w:val="false"/>
                <w:bCs w:val="false"/>
                <w:sz w:val="19"/>
                <w:szCs w:val="19"/>
              </w:rPr>
              <w:t xml:space="preserve">0.212</w:t>
            </w:r>
          </w:p>
        </w:tc>
        <w:tc>
          <w:tcPr>
            <w:tcW w:type="dxa" w:w="1560"/>
            <w:shd w:fill="F2F2F2" w:color="auto" w:val="clear"/>
            <w:tcMar>
              <w:top w:type="dxa" w:w="80"/>
              <w:left w:type="dxa" w:w="110"/>
              <w:bottom w:type="dxa" w:w="80"/>
              <w:right w:type="dxa" w:w="110"/>
            </w:tcMar>
          </w:tcPr>
          <w:p>
            <w:r>
              <w:rPr>
                <w:b w:val="false"/>
                <w:bCs w:val="false"/>
                <w:sz w:val="19"/>
                <w:szCs w:val="19"/>
              </w:rPr>
              <w:t xml:space="preserve">0.750</w:t>
            </w:r>
          </w:p>
        </w:tc>
        <w:tc>
          <w:tcPr>
            <w:tcW w:type="dxa" w:w="1560"/>
            <w:shd w:fill="F2F2F2" w:color="auto" w:val="clear"/>
            <w:tcMar>
              <w:top w:type="dxa" w:w="80"/>
              <w:left w:type="dxa" w:w="110"/>
              <w:bottom w:type="dxa" w:w="80"/>
              <w:right w:type="dxa" w:w="110"/>
            </w:tcMar>
          </w:tcPr>
          <w:p>
            <w:r>
              <w:rPr>
                <w:b w:val="false"/>
                <w:bCs w:val="false"/>
                <w:sz w:val="19"/>
                <w:szCs w:val="19"/>
              </w:rPr>
              <w:t xml:space="preserve">0.706</w:t>
            </w:r>
          </w:p>
        </w:tc>
        <w:tc>
          <w:tcPr>
            <w:tcW w:type="dxa" w:w="1000"/>
            <w:shd w:fill="F2F2F2" w:color="auto" w:val="clear"/>
            <w:tcMar>
              <w:top w:type="dxa" w:w="80"/>
              <w:left w:type="dxa" w:w="110"/>
              <w:bottom w:type="dxa" w:w="80"/>
              <w:right w:type="dxa" w:w="110"/>
            </w:tcMar>
          </w:tcPr>
          <w:p>
            <w:r>
              <w:rPr>
                <w:b w:val="false"/>
                <w:bCs w:val="false"/>
                <w:sz w:val="19"/>
                <w:szCs w:val="19"/>
              </w:rPr>
              <w:t xml:space="preserve">0.009</w:t>
            </w:r>
          </w:p>
        </w:tc>
        <w:tc>
          <w:tcPr>
            <w:tcW w:type="dxa" w:w="1320"/>
            <w:shd w:fill="F2F2F2" w:color="auto" w:val="clear"/>
            <w:tcMar>
              <w:top w:type="dxa" w:w="80"/>
              <w:left w:type="dxa" w:w="110"/>
              <w:bottom w:type="dxa" w:w="80"/>
              <w:right w:type="dxa" w:w="110"/>
            </w:tcMar>
          </w:tcPr>
          <w:p>
            <w:r>
              <w:rPr>
                <w:b w:val="false"/>
                <w:bCs w:val="false"/>
                <w:sz w:val="19"/>
                <w:szCs w:val="19"/>
              </w:rPr>
              <w:t xml:space="preserve">24</w:t>
            </w:r>
          </w:p>
        </w:tc>
      </w:tr>
    </w:tbl>
    <w:p>
      <w:pPr>
        <w:spacing w:after="120"/>
      </w:pPr>
      <w:r>
        <w:t xml:space="preserve"/>
      </w:r>
    </w:p>
    <w:p>
      <w:pPr>
        <w:spacing w:after="120"/>
      </w:pPr>
      <w:r>
        <w:rPr>
          <w:b/>
          <w:bCs/>
        </w:rPr>
        <w:t xml:space="preserve">Macro AUROC 0.788, from 187 clips across 165 independent cases, evaluated by three-fold GroupKFold grouped by case with operating thresholds tuned out of fold.</w:t>
      </w:r>
    </w:p>
    <w:p>
      <w:pPr>
        <w:pStyle w:val="Heading1"/>
        <w:spacing w:after="160" w:before="360"/>
      </w:pPr>
      <w:r>
        <w:t xml:space="preserve">2. The result that matters most</w:t>
      </w:r>
    </w:p>
    <w:p>
      <w:pPr>
        <w:spacing w:after="120"/>
      </w:pPr>
      <w:r>
        <w:t xml:space="preserve">An earlier version of this module reported per-finding AUROC between 0.745 and 0.808 — a macro average of 0.788. Two methodological defects were subsequently identified and corrected, and a third, unrelated constraint was removed at the same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shd w:fill="1F4E79" w:color="auto" w:val="clear"/>
            <w:tcMar>
              <w:top w:type="dxa" w:w="80"/>
              <w:left w:type="dxa" w:w="110"/>
              <w:bottom w:type="dxa" w:w="80"/>
              <w:right w:type="dxa" w:w="110"/>
            </w:tcMar>
          </w:tcPr>
          <w:p>
            <w:r>
              <w:rPr>
                <w:b/>
                <w:bCs/>
                <w:color w:val="FFFFFF"/>
                <w:sz w:val="19"/>
                <w:szCs w:val="19"/>
              </w:rPr>
              <w:t xml:space="preserve"/>
            </w:r>
          </w:p>
        </w:tc>
        <w:tc>
          <w:tcPr>
            <w:tcW w:type="dxa" w:w="3200"/>
            <w:shd w:fill="1F4E79" w:color="auto" w:val="clear"/>
            <w:tcMar>
              <w:top w:type="dxa" w:w="80"/>
              <w:left w:type="dxa" w:w="110"/>
              <w:bottom w:type="dxa" w:w="80"/>
              <w:right w:type="dxa" w:w="110"/>
            </w:tcMar>
          </w:tcPr>
          <w:p>
            <w:r>
              <w:rPr>
                <w:b/>
                <w:bCs/>
                <w:color w:val="FFFFFF"/>
                <w:sz w:val="19"/>
                <w:szCs w:val="19"/>
              </w:rPr>
              <w:t xml:space="preserve">Earlier run</w:t>
            </w:r>
          </w:p>
        </w:tc>
        <w:tc>
          <w:tcPr>
            <w:tcW w:type="dxa" w:w="3160"/>
            <w:shd w:fill="1F4E79" w:color="auto" w:val="clear"/>
            <w:tcMar>
              <w:top w:type="dxa" w:w="80"/>
              <w:left w:type="dxa" w:w="110"/>
              <w:bottom w:type="dxa" w:w="80"/>
              <w:right w:type="dxa" w:w="110"/>
            </w:tcMar>
          </w:tcPr>
          <w:p>
            <w:r>
              <w:rPr>
                <w:b/>
                <w:bCs/>
                <w:color w:val="FFFFFF"/>
                <w:sz w:val="19"/>
                <w:szCs w:val="19"/>
              </w:rPr>
              <w:t xml:space="preserve">Current run</w:t>
            </w:r>
          </w:p>
        </w:tc>
      </w:tr>
      <w:tr>
        <w:tc>
          <w:tcPr>
            <w:tcW w:type="dxa" w:w="3000"/>
            <w:tcMar>
              <w:top w:type="dxa" w:w="80"/>
              <w:left w:type="dxa" w:w="110"/>
              <w:bottom w:type="dxa" w:w="80"/>
              <w:right w:type="dxa" w:w="110"/>
            </w:tcMar>
          </w:tcPr>
          <w:p>
            <w:r>
              <w:rPr>
                <w:b w:val="false"/>
                <w:bCs w:val="false"/>
                <w:sz w:val="19"/>
                <w:szCs w:val="19"/>
              </w:rPr>
              <w:t xml:space="preserve">Split</w:t>
            </w:r>
          </w:p>
        </w:tc>
        <w:tc>
          <w:tcPr>
            <w:tcW w:type="dxa" w:w="3200"/>
            <w:tcMar>
              <w:top w:type="dxa" w:w="80"/>
              <w:left w:type="dxa" w:w="110"/>
              <w:bottom w:type="dxa" w:w="80"/>
              <w:right w:type="dxa" w:w="110"/>
            </w:tcMar>
          </w:tcPr>
          <w:p>
            <w:r>
              <w:rPr>
                <w:b w:val="false"/>
                <w:bCs w:val="false"/>
                <w:sz w:val="19"/>
                <w:szCs w:val="19"/>
              </w:rPr>
              <w:t xml:space="preserve">by clip</w:t>
            </w:r>
          </w:p>
        </w:tc>
        <w:tc>
          <w:tcPr>
            <w:tcW w:type="dxa" w:w="3160"/>
            <w:tcMar>
              <w:top w:type="dxa" w:w="80"/>
              <w:left w:type="dxa" w:w="110"/>
              <w:bottom w:type="dxa" w:w="80"/>
              <w:right w:type="dxa" w:w="110"/>
            </w:tcMar>
          </w:tcPr>
          <w:p>
            <w:r>
              <w:rPr>
                <w:b w:val="false"/>
                <w:bCs w:val="false"/>
                <w:sz w:val="19"/>
                <w:szCs w:val="19"/>
              </w:rPr>
              <w:t xml:space="preserve">by case (patient-level)</w:t>
            </w:r>
          </w:p>
        </w:tc>
      </w:tr>
      <w:tr>
        <w:tc>
          <w:tcPr>
            <w:tcW w:type="dxa" w:w="3000"/>
            <w:shd w:fill="F2F2F2" w:color="auto" w:val="clear"/>
            <w:tcMar>
              <w:top w:type="dxa" w:w="80"/>
              <w:left w:type="dxa" w:w="110"/>
              <w:bottom w:type="dxa" w:w="80"/>
              <w:right w:type="dxa" w:w="110"/>
            </w:tcMar>
          </w:tcPr>
          <w:p>
            <w:r>
              <w:rPr>
                <w:b w:val="false"/>
                <w:bCs w:val="false"/>
                <w:sz w:val="19"/>
                <w:szCs w:val="19"/>
              </w:rPr>
              <w:t xml:space="preserve">Operating thresholds</w:t>
            </w:r>
          </w:p>
        </w:tc>
        <w:tc>
          <w:tcPr>
            <w:tcW w:type="dxa" w:w="3200"/>
            <w:shd w:fill="F2F2F2" w:color="auto" w:val="clear"/>
            <w:tcMar>
              <w:top w:type="dxa" w:w="80"/>
              <w:left w:type="dxa" w:w="110"/>
              <w:bottom w:type="dxa" w:w="80"/>
              <w:right w:type="dxa" w:w="110"/>
            </w:tcMar>
          </w:tcPr>
          <w:p>
            <w:r>
              <w:rPr>
                <w:b w:val="false"/>
                <w:bCs w:val="false"/>
                <w:sz w:val="19"/>
                <w:szCs w:val="19"/>
              </w:rPr>
              <w:t xml:space="preserve">tuned on the fold being scored</w:t>
            </w:r>
          </w:p>
        </w:tc>
        <w:tc>
          <w:tcPr>
            <w:tcW w:type="dxa" w:w="3160"/>
            <w:shd w:fill="F2F2F2" w:color="auto" w:val="clear"/>
            <w:tcMar>
              <w:top w:type="dxa" w:w="80"/>
              <w:left w:type="dxa" w:w="110"/>
              <w:bottom w:type="dxa" w:w="80"/>
              <w:right w:type="dxa" w:w="110"/>
            </w:tcMar>
          </w:tcPr>
          <w:p>
            <w:r>
              <w:rPr>
                <w:b w:val="false"/>
                <w:bCs w:val="false"/>
                <w:sz w:val="19"/>
                <w:szCs w:val="19"/>
              </w:rPr>
              <w:t xml:space="preserve">tuned on the other folds</w:t>
            </w:r>
          </w:p>
        </w:tc>
      </w:tr>
      <w:tr>
        <w:tc>
          <w:tcPr>
            <w:tcW w:type="dxa" w:w="3000"/>
            <w:tcMar>
              <w:top w:type="dxa" w:w="80"/>
              <w:left w:type="dxa" w:w="110"/>
              <w:bottom w:type="dxa" w:w="80"/>
              <w:right w:type="dxa" w:w="110"/>
            </w:tcMar>
          </w:tcPr>
          <w:p>
            <w:r>
              <w:rPr>
                <w:b w:val="false"/>
                <w:bCs w:val="false"/>
                <w:sz w:val="19"/>
                <w:szCs w:val="19"/>
              </w:rPr>
              <w:t xml:space="preserve">Backbone</w:t>
            </w:r>
          </w:p>
        </w:tc>
        <w:tc>
          <w:tcPr>
            <w:tcW w:type="dxa" w:w="3200"/>
            <w:tcMar>
              <w:top w:type="dxa" w:w="80"/>
              <w:left w:type="dxa" w:w="110"/>
              <w:bottom w:type="dxa" w:w="80"/>
              <w:right w:type="dxa" w:w="110"/>
            </w:tcMar>
          </w:tcPr>
          <w:p>
            <w:r>
              <w:rPr>
                <w:b w:val="false"/>
                <w:bCs w:val="false"/>
                <w:sz w:val="19"/>
                <w:szCs w:val="19"/>
              </w:rPr>
              <w:t xml:space="preserve">frozen (5,124 trainable parameters)</w:t>
            </w:r>
          </w:p>
        </w:tc>
        <w:tc>
          <w:tcPr>
            <w:tcW w:type="dxa" w:w="3160"/>
            <w:tcMar>
              <w:top w:type="dxa" w:w="80"/>
              <w:left w:type="dxa" w:w="110"/>
              <w:bottom w:type="dxa" w:w="80"/>
              <w:right w:type="dxa" w:w="110"/>
            </w:tcMar>
          </w:tcPr>
          <w:p>
            <w:r>
              <w:rPr>
                <w:b w:val="false"/>
                <w:bCs w:val="false"/>
                <w:sz w:val="19"/>
                <w:szCs w:val="19"/>
              </w:rPr>
              <w:t xml:space="preserve">last three blocks fine-tuned (82%)</w:t>
            </w:r>
          </w:p>
        </w:tc>
      </w:tr>
      <w:tr>
        <w:tc>
          <w:tcPr>
            <w:tcW w:type="dxa" w:w="3000"/>
            <w:shd w:fill="F2F2F2" w:color="auto" w:val="clear"/>
            <w:tcMar>
              <w:top w:type="dxa" w:w="80"/>
              <w:left w:type="dxa" w:w="110"/>
              <w:bottom w:type="dxa" w:w="80"/>
              <w:right w:type="dxa" w:w="110"/>
            </w:tcMar>
          </w:tcPr>
          <w:p>
            <w:r>
              <w:rPr>
                <w:b w:val="false"/>
                <w:bCs w:val="false"/>
                <w:sz w:val="19"/>
                <w:szCs w:val="19"/>
              </w:rPr>
              <w:t xml:space="preserve">Macro AUROC</w:t>
            </w:r>
          </w:p>
        </w:tc>
        <w:tc>
          <w:tcPr>
            <w:tcW w:type="dxa" w:w="3200"/>
            <w:shd w:fill="F2F2F2" w:color="auto" w:val="clear"/>
            <w:tcMar>
              <w:top w:type="dxa" w:w="80"/>
              <w:left w:type="dxa" w:w="110"/>
              <w:bottom w:type="dxa" w:w="80"/>
              <w:right w:type="dxa" w:w="110"/>
            </w:tcMar>
          </w:tcPr>
          <w:p>
            <w:r>
              <w:rPr>
                <w:b w:val="false"/>
                <w:bCs w:val="false"/>
                <w:sz w:val="19"/>
                <w:szCs w:val="19"/>
              </w:rPr>
              <w:t xml:space="preserve">0.788</w:t>
            </w:r>
          </w:p>
        </w:tc>
        <w:tc>
          <w:tcPr>
            <w:tcW w:type="dxa" w:w="3160"/>
            <w:shd w:fill="F2F2F2" w:color="auto" w:val="clear"/>
            <w:tcMar>
              <w:top w:type="dxa" w:w="80"/>
              <w:left w:type="dxa" w:w="110"/>
              <w:bottom w:type="dxa" w:w="80"/>
              <w:right w:type="dxa" w:w="110"/>
            </w:tcMar>
          </w:tcPr>
          <w:p>
            <w:r>
              <w:rPr>
                <w:b w:val="false"/>
                <w:bCs w:val="false"/>
                <w:sz w:val="19"/>
                <w:szCs w:val="19"/>
              </w:rPr>
              <w:t xml:space="preserve">0.788</w:t>
            </w:r>
          </w:p>
        </w:tc>
      </w:tr>
    </w:tbl>
    <w:p>
      <w:pPr>
        <w:spacing w:after="120"/>
      </w:pPr>
      <w:r>
        <w:t xml:space="preserve"/>
      </w:r>
    </w:p>
    <w:p>
      <w:pPr>
        <w:spacing w:after="120"/>
      </w:pPr>
      <w:r>
        <w:rPr>
          <w:b/>
          <w:bCs/>
        </w:rPr>
        <w:t xml:space="preserve">The headline figure is unchanged, and that is the finding. </w:t>
      </w:r>
      <w:r>
        <w:t xml:space="preserve">Two sources of optimism were removed — patient leakage across the split, and thresholds fitted on the data they were then scored against — while the model itself improved enough to absorb the loss exactly. The earlier 0.788 was inflated; this one is not.</w:t>
      </w:r>
    </w:p>
    <w:p>
      <w:pPr>
        <w:pStyle w:val="Heading1"/>
        <w:spacing w:after="160" w:before="360"/>
      </w:pPr>
      <w:r>
        <w:t xml:space="preserve">3. Data and the leakage that had to be closed</w:t>
      </w:r>
    </w:p>
    <w:p>
      <w:pPr>
        <w:spacing w:after="120"/>
      </w:pPr>
      <w:r>
        <w:t xml:space="preserve">187 clips remain after removing entries flagged as do-not-use or off-target organ. The manifest carries no patient identifier, but the filenames do.</w:t>
      </w:r>
    </w:p>
    <w:p>
      <w:pPr>
        <w:pStyle w:val="Heading2"/>
        <w:spacing w:after="120" w:before="260"/>
      </w:pPr>
      <w:r>
        <w:t xml:space="preserve">3.1 Clips are not independent</w:t>
      </w:r>
    </w:p>
    <w:p>
      <w:pPr>
        <w:spacing w:after="120"/>
      </w:pPr>
      <w:r>
        <w:t xml:space="preserve">Cov-Atlas-Day+1 through Day+4 are one patient over four days. Pneu_liftl_pneu_case3_clip3 and Reg_liftl_case3_clip2 are the same case 3 appearing under both the pneumonia and the healthy prefix. Cov_new_pregnant_vid2–8 sits alongside Reg_new_pregnant_vid1.</w:t>
      </w:r>
    </w:p>
    <w:p>
      <w:pPr>
        <w:spacing w:after="120"/>
      </w:pPr>
      <w:r>
        <w:rPr>
          <w:b/>
          <w:bCs/>
        </w:rPr>
        <w:t xml:space="preserve">Two of these groups span disease classes. </w:t>
      </w:r>
      <w:r>
        <w:t xml:space="preserve">Under a clip-level split, one patient’s healthy clip could sit in training while their diseased clip sat in validation, allowing the model to score by recognising the patient rather than the pathology.</w:t>
      </w:r>
    </w:p>
    <w:p>
      <w:pPr>
        <w:spacing w:after="120"/>
      </w:pPr>
      <w:r>
        <w:t xml:space="preserve">Grouping on explicit within-series markers only — caseN, Day+N, and distinctively named _vidN series — reduces 187 clips to 165 independent cases, with 28 clips absorbed into six multi-clip groups. Source tokens such as avi, clarius, grep and youtube are deliberately not grouped on: they name a provider, not a patient, and a looser earlier rule collapsed 21 unrelated clips into a single fictitious case. Every fold is asserted to share no case between training and validation.</w:t>
      </w:r>
    </w:p>
    <w:p>
      <w:pPr>
        <w:pStyle w:val="Heading2"/>
        <w:spacing w:after="120" w:before="260"/>
      </w:pPr>
      <w:r>
        <w:t xml:space="preserve">3.2 Labels and their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shd w:fill="1F4E79" w:color="auto" w:val="clear"/>
            <w:tcMar>
              <w:top w:type="dxa" w:w="80"/>
              <w:left w:type="dxa" w:w="110"/>
              <w:bottom w:type="dxa" w:w="80"/>
              <w:right w:type="dxa" w:w="110"/>
            </w:tcMar>
          </w:tcPr>
          <w:p>
            <w:r>
              <w:rPr>
                <w:b/>
                <w:bCs/>
                <w:color w:val="FFFFFF"/>
                <w:sz w:val="19"/>
                <w:szCs w:val="19"/>
              </w:rPr>
              <w:t xml:space="preserve">Finding</w:t>
            </w:r>
          </w:p>
        </w:tc>
        <w:tc>
          <w:tcPr>
            <w:tcW w:type="dxa" w:w="3760"/>
            <w:shd w:fill="1F4E79" w:color="auto" w:val="clear"/>
            <w:tcMar>
              <w:top w:type="dxa" w:w="80"/>
              <w:left w:type="dxa" w:w="110"/>
              <w:bottom w:type="dxa" w:w="80"/>
              <w:right w:type="dxa" w:w="110"/>
            </w:tcMar>
          </w:tcPr>
          <w:p>
            <w:r>
              <w:rPr>
                <w:b/>
                <w:bCs/>
                <w:color w:val="FFFFFF"/>
                <w:sz w:val="19"/>
                <w:szCs w:val="19"/>
              </w:rPr>
              <w:t xml:space="preserve">Positive clips (of 187)</w:t>
            </w:r>
          </w:p>
        </w:tc>
      </w:tr>
      <w:tr>
        <w:tc>
          <w:tcPr>
            <w:tcW w:type="dxa" w:w="5600"/>
            <w:tcMar>
              <w:top w:type="dxa" w:w="80"/>
              <w:left w:type="dxa" w:w="110"/>
              <w:bottom w:type="dxa" w:w="80"/>
              <w:right w:type="dxa" w:w="110"/>
            </w:tcMar>
          </w:tcPr>
          <w:p>
            <w:r>
              <w:rPr>
                <w:b w:val="false"/>
                <w:bCs w:val="false"/>
                <w:sz w:val="19"/>
                <w:szCs w:val="19"/>
              </w:rPr>
              <w:t xml:space="preserve">B-lines</w:t>
            </w:r>
          </w:p>
        </w:tc>
        <w:tc>
          <w:tcPr>
            <w:tcW w:type="dxa" w:w="3760"/>
            <w:tcMar>
              <w:top w:type="dxa" w:w="80"/>
              <w:left w:type="dxa" w:w="110"/>
              <w:bottom w:type="dxa" w:w="80"/>
              <w:right w:type="dxa" w:w="110"/>
            </w:tcMar>
          </w:tcPr>
          <w:p>
            <w:r>
              <w:rPr>
                <w:b w:val="false"/>
                <w:bCs w:val="false"/>
                <w:sz w:val="19"/>
                <w:szCs w:val="19"/>
              </w:rPr>
              <w:t xml:space="preserve">63</w:t>
            </w:r>
          </w:p>
        </w:tc>
      </w:tr>
      <w:tr>
        <w:tc>
          <w:tcPr>
            <w:tcW w:type="dxa" w:w="5600"/>
            <w:shd w:fill="F2F2F2" w:color="auto" w:val="clear"/>
            <w:tcMar>
              <w:top w:type="dxa" w:w="80"/>
              <w:left w:type="dxa" w:w="110"/>
              <w:bottom w:type="dxa" w:w="80"/>
              <w:right w:type="dxa" w:w="110"/>
            </w:tcMar>
          </w:tcPr>
          <w:p>
            <w:r>
              <w:rPr>
                <w:b w:val="false"/>
                <w:bCs w:val="false"/>
                <w:sz w:val="19"/>
                <w:szCs w:val="19"/>
              </w:rPr>
              <w:t xml:space="preserve">Consolidation</w:t>
            </w:r>
          </w:p>
        </w:tc>
        <w:tc>
          <w:tcPr>
            <w:tcW w:type="dxa" w:w="3760"/>
            <w:shd w:fill="F2F2F2" w:color="auto" w:val="clear"/>
            <w:tcMar>
              <w:top w:type="dxa" w:w="80"/>
              <w:left w:type="dxa" w:w="110"/>
              <w:bottom w:type="dxa" w:w="80"/>
              <w:right w:type="dxa" w:w="110"/>
            </w:tcMar>
          </w:tcPr>
          <w:p>
            <w:r>
              <w:rPr>
                <w:b w:val="false"/>
                <w:bCs w:val="false"/>
                <w:sz w:val="19"/>
                <w:szCs w:val="19"/>
              </w:rPr>
              <w:t xml:space="preserve">60</w:t>
            </w:r>
          </w:p>
        </w:tc>
      </w:tr>
      <w:tr>
        <w:tc>
          <w:tcPr>
            <w:tcW w:type="dxa" w:w="5600"/>
            <w:tcMar>
              <w:top w:type="dxa" w:w="80"/>
              <w:left w:type="dxa" w:w="110"/>
              <w:bottom w:type="dxa" w:w="80"/>
              <w:right w:type="dxa" w:w="110"/>
            </w:tcMar>
          </w:tcPr>
          <w:p>
            <w:r>
              <w:rPr>
                <w:b w:val="false"/>
                <w:bCs w:val="false"/>
                <w:sz w:val="19"/>
                <w:szCs w:val="19"/>
              </w:rPr>
              <w:t xml:space="preserve">Pleural thickening</w:t>
            </w:r>
          </w:p>
        </w:tc>
        <w:tc>
          <w:tcPr>
            <w:tcW w:type="dxa" w:w="3760"/>
            <w:tcMar>
              <w:top w:type="dxa" w:w="80"/>
              <w:left w:type="dxa" w:w="110"/>
              <w:bottom w:type="dxa" w:w="80"/>
              <w:right w:type="dxa" w:w="110"/>
            </w:tcMar>
          </w:tcPr>
          <w:p>
            <w:r>
              <w:rPr>
                <w:b w:val="false"/>
                <w:bCs w:val="false"/>
                <w:sz w:val="19"/>
                <w:szCs w:val="19"/>
              </w:rPr>
              <w:t xml:space="preserve">46</w:t>
            </w:r>
          </w:p>
        </w:tc>
      </w:tr>
      <w:tr>
        <w:tc>
          <w:tcPr>
            <w:tcW w:type="dxa" w:w="5600"/>
            <w:shd w:fill="F2F2F2" w:color="auto" w:val="clear"/>
            <w:tcMar>
              <w:top w:type="dxa" w:w="80"/>
              <w:left w:type="dxa" w:w="110"/>
              <w:bottom w:type="dxa" w:w="80"/>
              <w:right w:type="dxa" w:w="110"/>
            </w:tcMar>
          </w:tcPr>
          <w:p>
            <w:r>
              <w:rPr>
                <w:b w:val="false"/>
                <w:bCs w:val="false"/>
                <w:sz w:val="19"/>
                <w:szCs w:val="19"/>
              </w:rPr>
              <w:t xml:space="preserve">Pleural effusion</w:t>
            </w:r>
          </w:p>
        </w:tc>
        <w:tc>
          <w:tcPr>
            <w:tcW w:type="dxa" w:w="3760"/>
            <w:shd w:fill="F2F2F2" w:color="auto" w:val="clear"/>
            <w:tcMar>
              <w:top w:type="dxa" w:w="80"/>
              <w:left w:type="dxa" w:w="110"/>
              <w:bottom w:type="dxa" w:w="80"/>
              <w:right w:type="dxa" w:w="110"/>
            </w:tcMar>
          </w:tcPr>
          <w:p>
            <w:r>
              <w:rPr>
                <w:b w:val="false"/>
                <w:bCs w:val="false"/>
                <w:sz w:val="19"/>
                <w:szCs w:val="19"/>
              </w:rPr>
              <w:t xml:space="preserve">24</w:t>
            </w:r>
          </w:p>
        </w:tc>
      </w:tr>
      <w:tr>
        <w:tc>
          <w:tcPr>
            <w:tcW w:type="dxa" w:w="5600"/>
            <w:tcMar>
              <w:top w:type="dxa" w:w="80"/>
              <w:left w:type="dxa" w:w="110"/>
              <w:bottom w:type="dxa" w:w="80"/>
              <w:right w:type="dxa" w:w="110"/>
            </w:tcMar>
          </w:tcPr>
          <w:p>
            <w:r>
              <w:rPr>
                <w:b w:val="false"/>
                <w:bCs w:val="false"/>
                <w:sz w:val="19"/>
                <w:szCs w:val="19"/>
              </w:rPr>
              <w:t xml:space="preserve">Pneumothorax</w:t>
            </w:r>
          </w:p>
        </w:tc>
        <w:tc>
          <w:tcPr>
            <w:tcW w:type="dxa" w:w="3760"/>
            <w:tcMar>
              <w:top w:type="dxa" w:w="80"/>
              <w:left w:type="dxa" w:w="110"/>
              <w:bottom w:type="dxa" w:w="80"/>
              <w:right w:type="dxa" w:w="110"/>
            </w:tcMar>
          </w:tcPr>
          <w:p>
            <w:r>
              <w:rPr>
                <w:b w:val="false"/>
                <w:bCs w:val="false"/>
                <w:sz w:val="19"/>
                <w:szCs w:val="19"/>
              </w:rPr>
              <w:t xml:space="preserve">0 — not modelled</w:t>
            </w:r>
          </w:p>
        </w:tc>
      </w:tr>
    </w:tbl>
    <w:p>
      <w:pPr>
        <w:spacing w:after="120"/>
      </w:pPr>
      <w:r>
        <w:t xml:space="preserve"/>
      </w:r>
    </w:p>
    <w:p>
      <w:pPr>
        <w:spacing w:after="120"/>
      </w:pPr>
      <w:r>
        <w:t xml:space="preserve">Pneumothorax has no positive examples anywhere in the dataset. An autoencoder-based anomaly-score section that attempted to address it was removed: with zero positives no result from it could ever have been validated. 331 supplementary images from LUS-BALD are added to every training fold with a masked loss, contributing supervision for B-lines only and never entering validation.</w:t>
      </w:r>
    </w:p>
    <w:p>
      <w:r>
        <w:br w:type="page"/>
      </w:r>
    </w:p>
    <w:p>
      <w:pPr>
        <w:pStyle w:val="Heading1"/>
        <w:spacing w:after="160" w:before="360"/>
      </w:pPr>
      <w:r>
        <w:t xml:space="preserve">4. Method</w:t>
      </w:r>
    </w:p>
    <w:p>
      <w:pPr>
        <w:pStyle w:val="Heading2"/>
        <w:spacing w:after="120" w:before="260"/>
      </w:pPr>
      <w:r>
        <w:t xml:space="preserve">4.1 The frozen backbone was the binding constraint</w:t>
      </w:r>
    </w:p>
    <w:p>
      <w:pPr>
        <w:spacing w:after="120"/>
      </w:pPr>
      <w:r>
        <w:t xml:space="preserve">The earlier configuration froze the entire pretrained backbone and trained only a linear head — 5,124 parameters reading fixed ImageNet features. Ultrasound speckle resembles natural images very little, and the training curves showed the consequence directly: training loss fell to 0.47 while validation loss climbed from 0.90 to 1.10.</w:t>
      </w:r>
    </w:p>
    <w:p>
      <w:pPr>
        <w:spacing w:after="120"/>
      </w:pPr>
      <w:r>
        <w:t xml:space="preserve">Fine-tuning the last three blocks (3.81M of 4.67M parameters, 82%) changed the picture sharply. On a common fold, B-lines moved from 0.512 — indistinguishable from chance — to 0.899, and consolidation from 0.720 to 0.874. Earlier blocks remain frozen: generic edge and texture filters are worth preserving when only 165 cases are available.</w:t>
      </w:r>
    </w:p>
    <w:p>
      <w:pPr>
        <w:pStyle w:val="Heading2"/>
        <w:spacing w:after="120" w:before="260"/>
      </w:pPr>
      <w:r>
        <w:t xml:space="preserve">4.2 Augmentation matched to the modality</w:t>
      </w:r>
    </w:p>
    <w:p>
      <w:pPr>
        <w:spacing w:after="120"/>
      </w:pPr>
      <w:r>
        <w:t xml:space="preserve">Rotation was reduced from 15 degrees to 5. A probe is held in a consistent orientation, so a large rotation invents images the scanner cannot produce. Added in its place are multiplicative speckle noise, which is the physically correct ultrasound noise model because noise scales with signal, and gamma jitter, which reshapes mid-tones nonlinearly in a way that affine brightness and contrast adjustment cannot and which reproduces genuine differences in time-gain compensation and dynamic range between machines.</w:t>
      </w:r>
    </w:p>
    <w:p>
      <w:pPr>
        <w:pStyle w:val="Heading2"/>
        <w:spacing w:after="120" w:before="260"/>
      </w:pPr>
      <w:r>
        <w:t xml:space="preserve">4.3 Clip-level prediction by median</w:t>
      </w:r>
    </w:p>
    <w:p>
      <w:pPr>
        <w:spacing w:after="120"/>
      </w:pPr>
      <w:r>
        <w:t xml:space="preserve">Frame probabilities are reduced to one score per clip using the median rather than the mean. With eight frames per clip, a single off-plane or mis-framed frame can pull a mean noticeably; the median ignores it. The agent emits one finding set per study, matching how a clinician reads a sweep.</w:t>
      </w:r>
    </w:p>
    <w:p>
      <w:pPr>
        <w:pStyle w:val="Heading2"/>
        <w:spacing w:after="120" w:before="260"/>
      </w:pPr>
      <w:r>
        <w:t xml:space="preserve">4.4 Thresholds tuned out of fold</w:t>
      </w:r>
    </w:p>
    <w:p>
      <w:pPr>
        <w:spacing w:after="120"/>
      </w:pPr>
      <w:r>
        <w:t xml:space="preserve">Operating points were previously chosen on the same fold they were scored on, which inflates F1. Each fold’s threshold is now selected on the other folds’ held-out predictions. AUROC and average precision are reported alongside, being threshold-free and therefore unaffected by this choice.</w:t>
      </w:r>
    </w:p>
    <w:p>
      <w:pPr>
        <w:pStyle w:val="Heading1"/>
        <w:spacing w:after="160" w:before="360"/>
      </w:pPr>
      <w:r>
        <w:t xml:space="preserve">5. Calibration</w:t>
      </w:r>
    </w:p>
    <w:p>
      <w:pPr>
        <w:spacing w:after="120"/>
      </w:pPr>
      <w:r>
        <w:t xml:space="preserve">The reasoning agent consumes confidence, so a raw sigmoid output is not sufficient. Each finding is calibrated independently by logistic regression on the pooled out-of-fold scores, and expected calibration error is reported per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shd w:fill="1F4E79" w:color="auto" w:val="clear"/>
            <w:tcMar>
              <w:top w:type="dxa" w:w="80"/>
              <w:left w:type="dxa" w:w="110"/>
              <w:bottom w:type="dxa" w:w="80"/>
              <w:right w:type="dxa" w:w="110"/>
            </w:tcMar>
          </w:tcPr>
          <w:p>
            <w:r>
              <w:rPr>
                <w:b/>
                <w:bCs/>
                <w:color w:val="FFFFFF"/>
                <w:sz w:val="19"/>
                <w:szCs w:val="19"/>
              </w:rPr>
              <w:t xml:space="preserve">Finding</w:t>
            </w:r>
          </w:p>
        </w:tc>
        <w:tc>
          <w:tcPr>
            <w:tcW w:type="dxa" w:w="2680"/>
            <w:shd w:fill="1F4E79" w:color="auto" w:val="clear"/>
            <w:tcMar>
              <w:top w:type="dxa" w:w="80"/>
              <w:left w:type="dxa" w:w="110"/>
              <w:bottom w:type="dxa" w:w="80"/>
              <w:right w:type="dxa" w:w="110"/>
            </w:tcMar>
          </w:tcPr>
          <w:p>
            <w:r>
              <w:rPr>
                <w:b/>
                <w:bCs/>
                <w:color w:val="FFFFFF"/>
                <w:sz w:val="19"/>
                <w:szCs w:val="19"/>
              </w:rPr>
              <w:t xml:space="preserve">ECE before</w:t>
            </w:r>
          </w:p>
        </w:tc>
        <w:tc>
          <w:tcPr>
            <w:tcW w:type="dxa" w:w="2680"/>
            <w:shd w:fill="1F4E79" w:color="auto" w:val="clear"/>
            <w:tcMar>
              <w:top w:type="dxa" w:w="80"/>
              <w:left w:type="dxa" w:w="110"/>
              <w:bottom w:type="dxa" w:w="80"/>
              <w:right w:type="dxa" w:w="110"/>
            </w:tcMar>
          </w:tcPr>
          <w:p>
            <w:r>
              <w:rPr>
                <w:b/>
                <w:bCs/>
                <w:color w:val="FFFFFF"/>
                <w:sz w:val="19"/>
                <w:szCs w:val="19"/>
              </w:rPr>
              <w:t xml:space="preserve">ECE after</w:t>
            </w:r>
          </w:p>
        </w:tc>
      </w:tr>
      <w:tr>
        <w:tc>
          <w:tcPr>
            <w:tcW w:type="dxa" w:w="4000"/>
            <w:tcMar>
              <w:top w:type="dxa" w:w="80"/>
              <w:left w:type="dxa" w:w="110"/>
              <w:bottom w:type="dxa" w:w="80"/>
              <w:right w:type="dxa" w:w="110"/>
            </w:tcMar>
          </w:tcPr>
          <w:p>
            <w:r>
              <w:rPr>
                <w:b w:val="false"/>
                <w:bCs w:val="false"/>
                <w:sz w:val="19"/>
                <w:szCs w:val="19"/>
              </w:rPr>
              <w:t xml:space="preserve">B-lines</w:t>
            </w:r>
          </w:p>
        </w:tc>
        <w:tc>
          <w:tcPr>
            <w:tcW w:type="dxa" w:w="2680"/>
            <w:tcMar>
              <w:top w:type="dxa" w:w="80"/>
              <w:left w:type="dxa" w:w="110"/>
              <w:bottom w:type="dxa" w:w="80"/>
              <w:right w:type="dxa" w:w="110"/>
            </w:tcMar>
          </w:tcPr>
          <w:p>
            <w:r>
              <w:rPr>
                <w:b w:val="false"/>
                <w:bCs w:val="false"/>
                <w:sz w:val="19"/>
                <w:szCs w:val="19"/>
              </w:rPr>
              <w:t xml:space="preserve">0.169</w:t>
            </w:r>
          </w:p>
        </w:tc>
        <w:tc>
          <w:tcPr>
            <w:tcW w:type="dxa" w:w="2680"/>
            <w:tcMar>
              <w:top w:type="dxa" w:w="80"/>
              <w:left w:type="dxa" w:w="110"/>
              <w:bottom w:type="dxa" w:w="80"/>
              <w:right w:type="dxa" w:w="110"/>
            </w:tcMar>
          </w:tcPr>
          <w:p>
            <w:r>
              <w:rPr>
                <w:b w:val="false"/>
                <w:bCs w:val="false"/>
                <w:sz w:val="19"/>
                <w:szCs w:val="19"/>
              </w:rPr>
              <w:t xml:space="preserve">0.102</w:t>
            </w:r>
          </w:p>
        </w:tc>
      </w:tr>
      <w:tr>
        <w:tc>
          <w:tcPr>
            <w:tcW w:type="dxa" w:w="4000"/>
            <w:shd w:fill="F2F2F2" w:color="auto" w:val="clear"/>
            <w:tcMar>
              <w:top w:type="dxa" w:w="80"/>
              <w:left w:type="dxa" w:w="110"/>
              <w:bottom w:type="dxa" w:w="80"/>
              <w:right w:type="dxa" w:w="110"/>
            </w:tcMar>
          </w:tcPr>
          <w:p>
            <w:r>
              <w:rPr>
                <w:b w:val="false"/>
                <w:bCs w:val="false"/>
                <w:sz w:val="19"/>
                <w:szCs w:val="19"/>
              </w:rPr>
              <w:t xml:space="preserve">Consolidation</w:t>
            </w:r>
          </w:p>
        </w:tc>
        <w:tc>
          <w:tcPr>
            <w:tcW w:type="dxa" w:w="2680"/>
            <w:shd w:fill="F2F2F2" w:color="auto" w:val="clear"/>
            <w:tcMar>
              <w:top w:type="dxa" w:w="80"/>
              <w:left w:type="dxa" w:w="110"/>
              <w:bottom w:type="dxa" w:w="80"/>
              <w:right w:type="dxa" w:w="110"/>
            </w:tcMar>
          </w:tcPr>
          <w:p>
            <w:r>
              <w:rPr>
                <w:b w:val="false"/>
                <w:bCs w:val="false"/>
                <w:sz w:val="19"/>
                <w:szCs w:val="19"/>
              </w:rPr>
              <w:t xml:space="preserve">0.146</w:t>
            </w:r>
          </w:p>
        </w:tc>
        <w:tc>
          <w:tcPr>
            <w:tcW w:type="dxa" w:w="2680"/>
            <w:shd w:fill="F2F2F2" w:color="auto" w:val="clear"/>
            <w:tcMar>
              <w:top w:type="dxa" w:w="80"/>
              <w:left w:type="dxa" w:w="110"/>
              <w:bottom w:type="dxa" w:w="80"/>
              <w:right w:type="dxa" w:w="110"/>
            </w:tcMar>
          </w:tcPr>
          <w:p>
            <w:r>
              <w:rPr>
                <w:b w:val="false"/>
                <w:bCs w:val="false"/>
                <w:sz w:val="19"/>
                <w:szCs w:val="19"/>
              </w:rPr>
              <w:t xml:space="preserve">0.030</w:t>
            </w:r>
          </w:p>
        </w:tc>
      </w:tr>
      <w:tr>
        <w:tc>
          <w:tcPr>
            <w:tcW w:type="dxa" w:w="4000"/>
            <w:tcMar>
              <w:top w:type="dxa" w:w="80"/>
              <w:left w:type="dxa" w:w="110"/>
              <w:bottom w:type="dxa" w:w="80"/>
              <w:right w:type="dxa" w:w="110"/>
            </w:tcMar>
          </w:tcPr>
          <w:p>
            <w:r>
              <w:rPr>
                <w:b w:val="false"/>
                <w:bCs w:val="false"/>
                <w:sz w:val="19"/>
                <w:szCs w:val="19"/>
              </w:rPr>
              <w:t xml:space="preserve">Pleural thickening</w:t>
            </w:r>
          </w:p>
        </w:tc>
        <w:tc>
          <w:tcPr>
            <w:tcW w:type="dxa" w:w="2680"/>
            <w:tcMar>
              <w:top w:type="dxa" w:w="80"/>
              <w:left w:type="dxa" w:w="110"/>
              <w:bottom w:type="dxa" w:w="80"/>
              <w:right w:type="dxa" w:w="110"/>
            </w:tcMar>
          </w:tcPr>
          <w:p>
            <w:r>
              <w:rPr>
                <w:b w:val="false"/>
                <w:bCs w:val="false"/>
                <w:sz w:val="19"/>
                <w:szCs w:val="19"/>
              </w:rPr>
              <w:t xml:space="preserve">0.195</w:t>
            </w:r>
          </w:p>
        </w:tc>
        <w:tc>
          <w:tcPr>
            <w:tcW w:type="dxa" w:w="2680"/>
            <w:tcMar>
              <w:top w:type="dxa" w:w="80"/>
              <w:left w:type="dxa" w:w="110"/>
              <w:bottom w:type="dxa" w:w="80"/>
              <w:right w:type="dxa" w:w="110"/>
            </w:tcMar>
          </w:tcPr>
          <w:p>
            <w:r>
              <w:rPr>
                <w:b w:val="false"/>
                <w:bCs w:val="false"/>
                <w:sz w:val="19"/>
                <w:szCs w:val="19"/>
              </w:rPr>
              <w:t xml:space="preserve">0.045</w:t>
            </w:r>
          </w:p>
        </w:tc>
      </w:tr>
      <w:tr>
        <w:tc>
          <w:tcPr>
            <w:tcW w:type="dxa" w:w="4000"/>
            <w:shd w:fill="F2F2F2" w:color="auto" w:val="clear"/>
            <w:tcMar>
              <w:top w:type="dxa" w:w="80"/>
              <w:left w:type="dxa" w:w="110"/>
              <w:bottom w:type="dxa" w:w="80"/>
              <w:right w:type="dxa" w:w="110"/>
            </w:tcMar>
          </w:tcPr>
          <w:p>
            <w:r>
              <w:rPr>
                <w:b w:val="false"/>
                <w:bCs w:val="false"/>
                <w:sz w:val="19"/>
                <w:szCs w:val="19"/>
              </w:rPr>
              <w:t xml:space="preserve">Pleural effusion</w:t>
            </w:r>
          </w:p>
        </w:tc>
        <w:tc>
          <w:tcPr>
            <w:tcW w:type="dxa" w:w="2680"/>
            <w:shd w:fill="F2F2F2" w:color="auto" w:val="clear"/>
            <w:tcMar>
              <w:top w:type="dxa" w:w="80"/>
              <w:left w:type="dxa" w:w="110"/>
              <w:bottom w:type="dxa" w:w="80"/>
              <w:right w:type="dxa" w:w="110"/>
            </w:tcMar>
          </w:tcPr>
          <w:p>
            <w:r>
              <w:rPr>
                <w:b w:val="false"/>
                <w:bCs w:val="false"/>
                <w:sz w:val="19"/>
                <w:szCs w:val="19"/>
              </w:rPr>
              <w:t xml:space="preserve">0.158</w:t>
            </w:r>
          </w:p>
        </w:tc>
        <w:tc>
          <w:tcPr>
            <w:tcW w:type="dxa" w:w="2680"/>
            <w:shd w:fill="F2F2F2" w:color="auto" w:val="clear"/>
            <w:tcMar>
              <w:top w:type="dxa" w:w="80"/>
              <w:left w:type="dxa" w:w="110"/>
              <w:bottom w:type="dxa" w:w="80"/>
              <w:right w:type="dxa" w:w="110"/>
            </w:tcMar>
          </w:tcPr>
          <w:p>
            <w:r>
              <w:rPr>
                <w:b w:val="false"/>
                <w:bCs w:val="false"/>
                <w:sz w:val="19"/>
                <w:szCs w:val="19"/>
              </w:rPr>
              <w:t xml:space="preserve">0.009</w:t>
            </w:r>
          </w:p>
        </w:tc>
      </w:tr>
    </w:tbl>
    <w:p>
      <w:pPr>
        <w:spacing w:after="120"/>
      </w:pPr>
      <w:r>
        <w:t xml:space="preserve"/>
      </w:r>
    </w:p>
    <w:p>
      <w:pPr>
        <w:spacing w:after="120"/>
      </w:pPr>
      <w:r>
        <w:t xml:space="preserve">Three of the four fall below 0.05. B-lines at 0.102 sits on the conventional 0.10 boundary and is the weakest of the set. The calibrator is fitted and evaluated on the same out-of-fold scores, so these figures are optimistic: they establish that calibration is achievable and roughly how much it helps, not a held-out guarantee.</w:t>
      </w:r>
    </w:p>
    <w:p>
      <w:pPr>
        <w:pStyle w:val="Heading1"/>
        <w:spacing w:after="160" w:before="360"/>
      </w:pPr>
      <w:r>
        <w:t xml:space="preserve">6. Explainability</w:t>
      </w:r>
    </w:p>
    <w:p>
      <w:pPr>
        <w:spacing w:after="120"/>
      </w:pPr>
      <w:r>
        <w:t xml:space="preserve">Grad-CAM is computed from a 14×14 feature block rather than the final 7×7 one. At 224-pixel input the final block upsamples 32-fold, so each cell spans a 32×32 patch and the map cannot be sharp irrespective of what the network learned; the earlier block halves that. The layer and its resolution are printed alongside the maps.</w:t>
      </w:r>
    </w:p>
    <w:p>
      <w:pPr>
        <w:spacing w:after="120"/>
      </w:pPr>
      <w:r>
        <w:t xml:space="preserve">Attention is assessed by measurement rather than visual impression. The centre of mass of each map is computed across 60 clips and compared against reference values for known behaviours.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shd w:fill="1F4E79" w:color="auto" w:val="clear"/>
            <w:tcMar>
              <w:top w:type="dxa" w:w="80"/>
              <w:left w:type="dxa" w:w="110"/>
              <w:bottom w:type="dxa" w:w="80"/>
              <w:right w:type="dxa" w:w="110"/>
            </w:tcMar>
          </w:tcPr>
          <w:p>
            <w:r>
              <w:rPr>
                <w:b/>
                <w:bCs/>
                <w:color w:val="FFFFFF"/>
                <w:sz w:val="19"/>
                <w:szCs w:val="19"/>
              </w:rPr>
              <w:t xml:space="preserve">Behaviour</w:t>
            </w:r>
          </w:p>
        </w:tc>
        <w:tc>
          <w:tcPr>
            <w:tcW w:type="dxa" w:w="3760"/>
            <w:shd w:fill="1F4E79" w:color="auto" w:val="clear"/>
            <w:tcMar>
              <w:top w:type="dxa" w:w="80"/>
              <w:left w:type="dxa" w:w="110"/>
              <w:bottom w:type="dxa" w:w="80"/>
              <w:right w:type="dxa" w:w="110"/>
            </w:tcMar>
          </w:tcPr>
          <w:p>
            <w:r>
              <w:rPr>
                <w:b/>
                <w:bCs/>
                <w:color w:val="FFFFFF"/>
                <w:sz w:val="19"/>
                <w:szCs w:val="19"/>
              </w:rPr>
              <w:t xml:space="preserve">Centroid std</w:t>
            </w:r>
          </w:p>
        </w:tc>
      </w:tr>
      <w:tr>
        <w:tc>
          <w:tcPr>
            <w:tcW w:type="dxa" w:w="5600"/>
            <w:tcMar>
              <w:top w:type="dxa" w:w="80"/>
              <w:left w:type="dxa" w:w="110"/>
              <w:bottom w:type="dxa" w:w="80"/>
              <w:right w:type="dxa" w:w="110"/>
            </w:tcMar>
          </w:tcPr>
          <w:p>
            <w:r>
              <w:rPr>
                <w:b w:val="false"/>
                <w:bCs w:val="false"/>
                <w:sz w:val="19"/>
                <w:szCs w:val="19"/>
              </w:rPr>
              <w:t xml:space="preserve">Uniform across the whole image</w:t>
            </w:r>
          </w:p>
        </w:tc>
        <w:tc>
          <w:tcPr>
            <w:tcW w:type="dxa" w:w="3760"/>
            <w:tcMar>
              <w:top w:type="dxa" w:w="80"/>
              <w:left w:type="dxa" w:w="110"/>
              <w:bottom w:type="dxa" w:w="80"/>
              <w:right w:type="dxa" w:w="110"/>
            </w:tcMar>
          </w:tcPr>
          <w:p>
            <w:r>
              <w:rPr>
                <w:b w:val="false"/>
                <w:bCs w:val="false"/>
                <w:sz w:val="19"/>
                <w:szCs w:val="19"/>
              </w:rPr>
              <w:t xml:space="preserve">0.289</w:t>
            </w:r>
          </w:p>
        </w:tc>
      </w:tr>
      <w:tr>
        <w:tc>
          <w:tcPr>
            <w:tcW w:type="dxa" w:w="5600"/>
            <w:shd w:fill="F2F2F2" w:color="auto" w:val="clear"/>
            <w:tcMar>
              <w:top w:type="dxa" w:w="80"/>
              <w:left w:type="dxa" w:w="110"/>
              <w:bottom w:type="dxa" w:w="80"/>
              <w:right w:type="dxa" w:w="110"/>
            </w:tcMar>
          </w:tcPr>
          <w:p>
            <w:r>
              <w:rPr>
                <w:b w:val="false"/>
                <w:bCs w:val="false"/>
                <w:sz w:val="19"/>
                <w:szCs w:val="19"/>
              </w:rPr>
              <w:t xml:space="preserve">Uniform across the central half</w:t>
            </w:r>
          </w:p>
        </w:tc>
        <w:tc>
          <w:tcPr>
            <w:tcW w:type="dxa" w:w="3760"/>
            <w:shd w:fill="F2F2F2" w:color="auto" w:val="clear"/>
            <w:tcMar>
              <w:top w:type="dxa" w:w="80"/>
              <w:left w:type="dxa" w:w="110"/>
              <w:bottom w:type="dxa" w:w="80"/>
              <w:right w:type="dxa" w:w="110"/>
            </w:tcMar>
          </w:tcPr>
          <w:p>
            <w:r>
              <w:rPr>
                <w:b w:val="false"/>
                <w:bCs w:val="false"/>
                <w:sz w:val="19"/>
                <w:szCs w:val="19"/>
              </w:rPr>
              <w:t xml:space="preserve">0.144</w:t>
            </w:r>
          </w:p>
        </w:tc>
      </w:tr>
      <w:tr>
        <w:tc>
          <w:tcPr>
            <w:tcW w:type="dxa" w:w="5600"/>
            <w:tcMar>
              <w:top w:type="dxa" w:w="80"/>
              <w:left w:type="dxa" w:w="110"/>
              <w:bottom w:type="dxa" w:w="80"/>
              <w:right w:type="dxa" w:w="110"/>
            </w:tcMar>
          </w:tcPr>
          <w:p>
            <w:r>
              <w:rPr>
                <w:b w:val="false"/>
                <w:bCs w:val="false"/>
                <w:sz w:val="19"/>
                <w:szCs w:val="19"/>
              </w:rPr>
              <w:t xml:space="preserve">Uniform across the central quarter</w:t>
            </w:r>
          </w:p>
        </w:tc>
        <w:tc>
          <w:tcPr>
            <w:tcW w:type="dxa" w:w="3760"/>
            <w:tcMar>
              <w:top w:type="dxa" w:w="80"/>
              <w:left w:type="dxa" w:w="110"/>
              <w:bottom w:type="dxa" w:w="80"/>
              <w:right w:type="dxa" w:w="110"/>
            </w:tcMar>
          </w:tcPr>
          <w:p>
            <w:r>
              <w:rPr>
                <w:b w:val="false"/>
                <w:bCs w:val="false"/>
                <w:sz w:val="19"/>
                <w:szCs w:val="19"/>
              </w:rPr>
              <w:t xml:space="preserve">0.072</w:t>
            </w:r>
          </w:p>
        </w:tc>
      </w:tr>
      <w:tr>
        <w:tc>
          <w:tcPr>
            <w:tcW w:type="dxa" w:w="5600"/>
            <w:shd w:fill="F2F2F2" w:color="auto" w:val="clear"/>
            <w:tcMar>
              <w:top w:type="dxa" w:w="80"/>
              <w:left w:type="dxa" w:w="110"/>
              <w:bottom w:type="dxa" w:w="80"/>
              <w:right w:type="dxa" w:w="110"/>
            </w:tcMar>
          </w:tcPr>
          <w:p>
            <w:r>
              <w:rPr>
                <w:b w:val="false"/>
                <w:bCs w:val="false"/>
                <w:sz w:val="19"/>
                <w:szCs w:val="19"/>
              </w:rPr>
              <w:t xml:space="preserve">Fixed centre with slight jitter</w:t>
            </w:r>
          </w:p>
        </w:tc>
        <w:tc>
          <w:tcPr>
            <w:tcW w:type="dxa" w:w="3760"/>
            <w:shd w:fill="F2F2F2" w:color="auto" w:val="clear"/>
            <w:tcMar>
              <w:top w:type="dxa" w:w="80"/>
              <w:left w:type="dxa" w:w="110"/>
              <w:bottom w:type="dxa" w:w="80"/>
              <w:right w:type="dxa" w:w="110"/>
            </w:tcMar>
          </w:tcPr>
          <w:p>
            <w:r>
              <w:rPr>
                <w:b w:val="false"/>
                <w:bCs w:val="false"/>
                <w:sz w:val="19"/>
                <w:szCs w:val="19"/>
              </w:rPr>
              <w:t xml:space="preserve">0.020</w:t>
            </w:r>
          </w:p>
        </w:tc>
      </w:tr>
      <w:tr>
        <w:tc>
          <w:tcPr>
            <w:tcW w:type="dxa" w:w="5600"/>
            <w:tcMar>
              <w:top w:type="dxa" w:w="80"/>
              <w:left w:type="dxa" w:w="110"/>
              <w:bottom w:type="dxa" w:w="80"/>
              <w:right w:type="dxa" w:w="110"/>
            </w:tcMar>
          </w:tcPr>
          <w:p>
            <w:r>
              <w:rPr>
                <w:b w:val="false"/>
                <w:bCs w:val="false"/>
                <w:sz w:val="19"/>
                <w:szCs w:val="19"/>
              </w:rPr>
              <w:t xml:space="preserve">Measured (x, y)</w:t>
            </w:r>
          </w:p>
        </w:tc>
        <w:tc>
          <w:tcPr>
            <w:tcW w:type="dxa" w:w="3760"/>
            <w:tcMar>
              <w:top w:type="dxa" w:w="80"/>
              <w:left w:type="dxa" w:w="110"/>
              <w:bottom w:type="dxa" w:w="80"/>
              <w:right w:type="dxa" w:w="110"/>
            </w:tcMar>
          </w:tcPr>
          <w:p>
            <w:r>
              <w:rPr>
                <w:b w:val="false"/>
                <w:bCs w:val="false"/>
                <w:sz w:val="19"/>
                <w:szCs w:val="19"/>
              </w:rPr>
              <w:t xml:space="preserve">0.047, 0.111</w:t>
            </w:r>
          </w:p>
        </w:tc>
      </w:tr>
    </w:tbl>
    <w:p>
      <w:pPr>
        <w:spacing w:after="120"/>
      </w:pPr>
      <w:r>
        <w:t xml:space="preserve"/>
      </w:r>
    </w:p>
    <w:p>
      <w:pPr>
        <w:spacing w:after="120"/>
      </w:pPr>
      <w:r>
        <w:rPr>
          <w:b/>
          <w:bCs/>
        </w:rPr>
        <w:t xml:space="preserve">Vertical spread of 0.111 falls between the central-quarter and central-half references: attention moves genuinely with image content. </w:t>
      </w:r>
      <w:r>
        <w:t xml:space="preserve">It varies roughly 2.4 times more in depth than laterally, which corresponds to how lung findings are actually distributed — B-lines descend from the pleural line, while consolidation and effusion occur at characteristic depths. The model attends along the axis on which the pathology varies. For comparison, the same measurement on the gallbladder module gave 0.074, indicating a markedly stronger central prior there.</w:t>
      </w:r>
    </w:p>
    <w:p>
      <w:pPr>
        <w:spacing w:after="120"/>
      </w:pPr>
      <w:r>
        <w:t xml:space="preserve">One qualification: the maps are computed for the B-lines output channel, so this measurement describes attention for that finding rather than for all four.</w:t>
      </w:r>
    </w:p>
    <w:p>
      <w:r>
        <w:br w:type="page"/>
      </w:r>
    </w:p>
    <w:p>
      <w:pPr>
        <w:pStyle w:val="Heading1"/>
        <w:spacing w:after="160" w:before="360"/>
      </w:pPr>
      <w:r>
        <w:t xml:space="preserve">7. Agent output contract</w:t>
      </w:r>
    </w:p>
    <w:p>
      <w:pPr>
        <w:spacing w:after="120"/>
      </w:pPr>
      <w:r>
        <w:t xml:space="preserve">Findings, confidence and explainability. No urgency, no diagnosis, no treatment — those follow from fusing this output with the Triage Agent’s severity assessment and the patient’s clinical data, which is the Clinical Reasoning Agent’s responsibility.</w:t>
      </w:r>
    </w:p>
    <w:p>
      <w:pPr>
        <w:spacing w:after="140" w:before="100"/>
      </w:pPr>
      <w:r>
        <w:rPr>
          <w:rFonts w:ascii="Consolas" w:cs="Consolas" w:eastAsia="Consolas" w:hAnsi="Consolas"/>
          <w:sz w:val="17"/>
          <w:szCs w:val="17"/>
        </w:rPr>
        <w:t xml:space="preserve">{ "organ": "lung", "status": "ok",</w:t>
      </w:r>
    </w:p>
    <w:p>
      <w:pPr>
        <w:spacing w:after="140" w:before="100"/>
      </w:pPr>
      <w:r>
        <w:rPr>
          <w:rFonts w:ascii="Consolas" w:cs="Consolas" w:eastAsia="Consolas" w:hAnsi="Consolas"/>
          <w:sz w:val="17"/>
          <w:szCs w:val="17"/>
        </w:rPr>
        <w:t xml:space="preserve">  "findings": [ { "label": "consolidation", "confidence": 0.70 },</w:t>
      </w:r>
    </w:p>
    <w:p>
      <w:pPr>
        <w:spacing w:after="140" w:before="100"/>
      </w:pPr>
      <w:r>
        <w:rPr>
          <w:rFonts w:ascii="Consolas" w:cs="Consolas" w:eastAsia="Consolas" w:hAnsi="Consolas"/>
          <w:sz w:val="17"/>
          <w:szCs w:val="17"/>
        </w:rPr>
        <w:t xml:space="preserve">                { "label": "b lines",       "confidence": 0.52 } ],</w:t>
      </w:r>
    </w:p>
    <w:p>
      <w:pPr>
        <w:spacing w:after="140" w:before="100"/>
      </w:pPr>
      <w:r>
        <w:rPr>
          <w:rFonts w:ascii="Consolas" w:cs="Consolas" w:eastAsia="Consolas" w:hAnsi="Consolas"/>
          <w:sz w:val="17"/>
          <w:szCs w:val="17"/>
        </w:rPr>
        <w:t xml:space="preserve">  "not_detected": [ { "label": "pleural thickening", "confidence": 0.17 } ],</w:t>
      </w:r>
    </w:p>
    <w:p>
      <w:pPr>
        <w:spacing w:after="140" w:before="100"/>
      </w:pPr>
      <w:r>
        <w:rPr>
          <w:rFonts w:ascii="Consolas" w:cs="Consolas" w:eastAsia="Consolas" w:hAnsi="Consolas"/>
          <w:sz w:val="17"/>
          <w:szCs w:val="17"/>
        </w:rPr>
        <w:t xml:space="preserve">  "reliability": { "confidence_calibrated": true, "has_normal_class": false,</w:t>
      </w:r>
    </w:p>
    <w:p>
      <w:pPr>
        <w:spacing w:after="140" w:before="100"/>
      </w:pPr>
      <w:r>
        <w:rPr>
          <w:rFonts w:ascii="Consolas" w:cs="Consolas" w:eastAsia="Consolas" w:hAnsi="Consolas"/>
          <w:sz w:val="17"/>
          <w:szCs w:val="17"/>
        </w:rPr>
        <w:t xml:space="preserve">                   "unreliable_findings": ["pleural_effusion"],</w:t>
      </w:r>
    </w:p>
    <w:p>
      <w:pPr>
        <w:spacing w:after="140" w:before="100"/>
      </w:pPr>
      <w:r>
        <w:rPr>
          <w:rFonts w:ascii="Consolas" w:cs="Consolas" w:eastAsia="Consolas" w:hAnsi="Consolas"/>
          <w:sz w:val="17"/>
          <w:szCs w:val="17"/>
        </w:rPr>
        <w:t xml:space="preserve">                   "modelled_findings": ["b_lines", "consolidation",</w:t>
      </w:r>
    </w:p>
    <w:p>
      <w:pPr>
        <w:spacing w:after="140" w:before="100"/>
      </w:pPr>
      <w:r>
        <w:rPr>
          <w:rFonts w:ascii="Consolas" w:cs="Consolas" w:eastAsia="Consolas" w:hAnsi="Consolas"/>
          <w:sz w:val="17"/>
          <w:szCs w:val="17"/>
        </w:rPr>
        <w:t xml:space="preserve">                                        "pleural_effusion", "pleural_thickening"] },</w:t>
      </w:r>
    </w:p>
    <w:p>
      <w:pPr>
        <w:spacing w:after="140" w:before="100"/>
      </w:pPr>
      <w:r>
        <w:rPr>
          <w:rFonts w:ascii="Consolas" w:cs="Consolas" w:eastAsia="Consolas" w:hAnsi="Consolas"/>
          <w:sz w:val="17"/>
          <w:szCs w:val="17"/>
        </w:rPr>
        <w:t xml:space="preserve">  "explanation": { "type": "grad_cam" } }</w:t>
      </w:r>
    </w:p>
    <w:p>
      <w:pPr>
        <w:spacing w:after="120"/>
      </w:pPr>
      <w:r>
        <w:t xml:space="preserve">Detected and not-detected findings are both returned, each with its confidence, so the reasoning agent can distinguish a finding that was actively excluded from one that was never assessed.</w:t>
      </w:r>
    </w:p>
    <w:p>
      <w:pPr>
        <w:spacing w:after="120"/>
      </w:pPr>
      <w:r>
        <w:rPr>
          <w:b/>
          <w:bCs/>
        </w:rPr>
        <w:t xml:space="preserve">Two fields carry constraints that would otherwise be invisible downstream. </w:t>
      </w:r>
      <w:r>
        <w:t xml:space="preserve">has_normal_class is false and modelled_findings lists only four: an empty findings list means no modelled finding cleared its threshold, not that the lung is clear — pneumothorax in particular is not detected at all. unreliable_findings names any finding whose evidence base is too thin to weigh equally, computed automatically from positive count and AUROC rather than asserted.</w:t>
      </w:r>
    </w:p>
    <w:p>
      <w:pPr>
        <w:pStyle w:val="Heading1"/>
        <w:spacing w:after="160" w:before="360"/>
      </w:pPr>
      <w:r>
        <w:t xml:space="preserve">8. Limitations</w:t>
      </w:r>
    </w:p>
    <w:p>
      <w:pPr>
        <w:pStyle w:val="ListParagraph"/>
        <w:numPr>
          <w:ilvl w:val="0"/>
          <w:numId w:val="2"/>
        </w:numPr>
        <w:spacing w:after="80"/>
      </w:pPr>
      <w:r>
        <w:t xml:space="preserve">165 independent cases. This is the binding constraint on every figure in this report, and the source of the wide intervals around each estimate.</w:t>
      </w:r>
    </w:p>
    <w:p>
      <w:pPr>
        <w:pStyle w:val="ListParagraph"/>
        <w:numPr>
          <w:ilvl w:val="0"/>
          <w:numId w:val="2"/>
        </w:numPr>
        <w:spacing w:after="80"/>
      </w:pPr>
      <w:r>
        <w:t xml:space="preserve">Pleural effusion has only 24 positive clips. Its average precision of 0.212 and low operating threshold mean it fires readily and carries little evidential weight; the notebook flags it automatically as unreliable.</w:t>
      </w:r>
    </w:p>
    <w:p>
      <w:pPr>
        <w:pStyle w:val="ListParagraph"/>
        <w:numPr>
          <w:ilvl w:val="0"/>
          <w:numId w:val="2"/>
        </w:numPr>
        <w:spacing w:after="80"/>
      </w:pPr>
      <w:r>
        <w:t xml:space="preserve">Pneumothorax is not modelled — zero positives exist in this dataset. An empty finding list must never be read as a clear lung.</w:t>
      </w:r>
    </w:p>
    <w:p>
      <w:pPr>
        <w:pStyle w:val="ListParagraph"/>
        <w:numPr>
          <w:ilvl w:val="0"/>
          <w:numId w:val="2"/>
        </w:numPr>
        <w:spacing w:after="80"/>
      </w:pPr>
      <w:r>
        <w:t xml:space="preserve">Multi-label with four correlated findings: co-occurrence is common, so per-finding figures are not independent of one another.</w:t>
      </w:r>
    </w:p>
    <w:p>
      <w:pPr>
        <w:pStyle w:val="ListParagraph"/>
        <w:numPr>
          <w:ilvl w:val="0"/>
          <w:numId w:val="2"/>
        </w:numPr>
        <w:spacing w:after="80"/>
      </w:pPr>
      <w:r>
        <w:t xml:space="preserve">Calibration is fitted and scored on the same out-of-fold predictions, so the reported ECE is optimistic.</w:t>
      </w:r>
    </w:p>
    <w:p>
      <w:pPr>
        <w:pStyle w:val="ListParagraph"/>
        <w:numPr>
          <w:ilvl w:val="0"/>
          <w:numId w:val="2"/>
        </w:numPr>
        <w:spacing w:after="80"/>
      </w:pPr>
      <w:r>
        <w:t xml:space="preserve">Curated public clips of good quality, not bedside point-of-care acquisitions, which are noisier and operator-dependent.</w:t>
      </w:r>
    </w:p>
    <w:p>
      <w:pPr>
        <w:pStyle w:val="ListParagraph"/>
        <w:numPr>
          <w:ilvl w:val="0"/>
          <w:numId w:val="2"/>
        </w:numPr>
        <w:spacing w:after="80"/>
      </w:pPr>
      <w:r>
        <w:t xml:space="preserve">Grad-CAM is measured for the B-lines channel only, and remains a plausibility check rather than verified localisation.</w:t>
      </w:r>
    </w:p>
    <w:p>
      <w:pPr>
        <w:spacing w:after="120"/>
      </w:pPr>
      <w:r>
        <w:rPr>
          <w:b/>
          <w:bCs/>
        </w:rPr>
        <w:t xml:space="preserve">On the direction of further work: </w:t>
      </w:r>
      <w:r>
        <w:t xml:space="preserve">the frozen-backbone correction was worth roughly 0.39 AUROC on B-lines, and no subsequent architectural change is likely to yield anything comparable. The remaining gap is a function of 165 cases and 24 effusion positives. Additional annotated data would move these figures; a different convolutional architecture would not.</w:t>
      </w:r>
    </w:p>
    <w:p>
      <w:pPr>
        <w:pStyle w:val="Heading1"/>
        <w:spacing w:after="160" w:before="360"/>
      </w:pPr>
      <w:r>
        <w:t xml:space="preserve">9. Conclusion</w:t>
      </w:r>
    </w:p>
    <w:p>
      <w:pPr>
        <w:spacing w:after="120"/>
      </w:pPr>
      <w:r>
        <w:t xml:space="preserve">The module reports four lung findings with a macro AUROC of 0.788 and calibrated per-finding confidence, evaluated under patient-level grouping with out-of-fold thresholds.</w:t>
      </w:r>
    </w:p>
    <w:p>
      <w:pPr>
        <w:spacing w:after="120"/>
      </w:pPr>
      <w:r>
        <w:t xml:space="preserve">The methodological contribution is that the headline figure did not move while two sources of optimism were removed from beneath it. Patient leakage was identified from filename structure in the absence of any patient column, in-fold threshold tuning was replaced with out-of-fold selection, and a frozen backbone — visible only in a line of diagnostic output reporting 5,124 trainable parameters — was identified as the binding constraint and released. Each change is separately justified by a measurement recorded in the notebook.</w:t>
      </w:r>
    </w:p>
    <w:p>
      <w:pPr>
        <w:spacing w:after="120"/>
      </w:pPr>
      <w:r>
        <w:t xml:space="preserve">The model is frozen in this configuration. Its structured output, with confidence and scope declarations attached, forms the pulmonary input to the Clinical Reasoning Agent.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1F4E79"/>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2026-08-06T19:52:17.616Z</dcterms:created>
  <dcterms:modified xsi:type="dcterms:W3CDTF">2026-08-06T19:52:17.628Z</dcterms:modified>
</cp:coreProperties>
</file>

<file path=docProps/custom.xml><?xml version="1.0" encoding="utf-8"?>
<Properties xmlns="http://schemas.openxmlformats.org/officeDocument/2006/custom-properties" xmlns:vt="http://schemas.openxmlformats.org/officeDocument/2006/docPropsVTypes"/>
</file>