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Request — POCUS-Emergency AI Project</w:t>
      </w:r>
    </w:p>
    <w:p>
      <w:r>
        <w:rPr>
          <w:i/>
          <w:iCs/>
          <w:color w:val="555555"/>
          <w:sz w:val="20"/>
          <w:szCs w:val="20"/>
        </w:rPr>
        <w:t xml:space="preserve">For the clinical/supervising team — what real patient data would most help right now</w:t>
      </w:r>
    </w:p>
    <w:p>
      <w:pPr>
        <w:spacing w:after="200"/>
      </w:pPr>
      <w:r>
        <w:rPr>
          <w:color w:val="777777"/>
          <w:sz w:val="18"/>
          <w:szCs w:val="18"/>
        </w:rPr>
        <w:t xml:space="preserve">Prepared by Maryem Brik, AI Research Intern — 11 July 2026</w:t>
      </w:r>
    </w:p>
    <w:p>
      <w:pPr>
        <w:spacing w:after="220"/>
      </w:pPr>
      <w:r>
        <w:t xml:space="preserve">This project builds an AI assistant that reads point-of-care ultrasound alongside clinical/biological data to support emergency diagnosis. Public research datasets have covered most of the ground so far — but a few real gaps remain that only real, de-identified hospital cases can fill. The table below lists exactly what would help, ranked by how much it's currently missing.</w:t>
      </w:r>
    </w:p>
    <w:p>
      <w:pPr>
        <w:pStyle w:val="Heading2"/>
      </w:pPr>
      <w:r>
        <w:t xml:space="preserve">What is still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2800"/>
        <w:gridCol w:w="1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we need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volume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Pneumothorax ultrasound clips (lung sliding absent / lung point), with confirmed diagnosis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usable public dataset exists anywhere for this pathology — it is the single biggest gap in the whole project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 many confirmed cases as available; even 20–30 clips would help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Pleural effusion ultrasound clips, with confirmed diagnosis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situation as pneumothorax — public data is essentially nonexistent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 many confirmed cases as available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FAST / E-FAST trauma ultrasound clips (free fluid, hemoperitoneum, hemothorax)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public dataset exists for trauma free-fluid detection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confirmed trauma-ultrasound cases on file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Vascular ultrasound: confirmed DVT cases, and IVC assessment clips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public dataset exists for either; DVT and IVC are both explicitly in the original project scope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confirmed cases available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Cardiac ultrasound from real ED patients (pericardial effusion, RV strain / obstructive shock signs)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cardiac data we found (CAMUS) is structural segmentation only, not the functional/emergency signs this project targets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Any confirmed cases available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De-identified vitals + labs (lactate, troponin, D-dimer, blood gas, CBC) linked to the same ultrasound cases above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Lets the Clinical Reasoning Agent fuse imaging + labs the way it would in real use, instead of only on unrelated public data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Whatever is feasible to extract/de-identify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Already covered — no need to source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Already covered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Lung ultrasound (COVID, pneumonia, healthy, interstitial syndrome)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datasets in hand (261 recordings + related sources)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Cardiac structure/segmentation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dataset in hand (CAMUS, 500 patients) — useful for the model backbone, not a substitute for real functional/emergency cases above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Gallbladder disease (abdominal, general)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dataset in hand (1,782 patients, 9 classes)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Triage vitals/demographics (general ED, not specific to this hospital)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datasets in hand (MIMIC-IV-ED Demo, NHAMCS)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Practical notes</w:t>
      </w:r>
    </w:p>
    <w:p>
      <w:pPr>
        <w:pStyle w:val="ListParagraph"/>
        <w:numPr>
          <w:ilvl w:val="0"/>
          <w:numId w:val="2"/>
        </w:numPr>
      </w:pPr>
      <w:r>
        <w:t xml:space="preserve">Video clips are more useful than single still images where possible (both probe types — convex and linear — are fine).</w:t>
      </w:r>
    </w:p>
    <w:p>
      <w:pPr>
        <w:pStyle w:val="ListParagraph"/>
        <w:numPr>
          <w:ilvl w:val="0"/>
          <w:numId w:val="2"/>
        </w:numPr>
      </w:pPr>
      <w:r>
        <w:t xml:space="preserve">Each case should carry the confirmed diagnosis/label — that's what turns a clip into training data.</w:t>
      </w:r>
    </w:p>
    <w:p>
      <w:pPr>
        <w:pStyle w:val="ListParagraph"/>
        <w:numPr>
          <w:ilvl w:val="0"/>
          <w:numId w:val="2"/>
        </w:numPr>
      </w:pPr>
      <w:r>
        <w:t xml:space="preserve">Standard de-identification (no patient name/ID/date-of-birth in file names or metadata) is all that's required.</w:t>
      </w:r>
    </w:p>
    <w:p>
      <w:pPr>
        <w:pStyle w:val="ListParagraph"/>
        <w:numPr>
          <w:ilvl w:val="0"/>
          <w:numId w:val="2"/>
        </w:numPr>
      </w:pPr>
      <w:r>
        <w:t xml:space="preserve">Any volume helps — even a handful of confirmed pneumothorax or pleural effusion cases would meaningfully improve the project, since public data for these two is essentially nonexistent.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4E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2026-07-11T11:47:55.917Z</dcterms:created>
  <dcterms:modified xsi:type="dcterms:W3CDTF">2026-07-11T11:47:55.917Z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