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Triage Agent</w:t>
      </w:r>
    </w:p>
    <w:p>
      <w:pPr>
        <w:spacing w:after="60"/>
      </w:pPr>
      <w:r>
        <w:rPr>
          <w:color w:val="444444"/>
          <w:sz w:val="32"/>
          <w:szCs w:val="32"/>
        </w:rPr>
        <w:t xml:space="preserve">Development Report</w:t>
      </w:r>
    </w:p>
    <w:p>
      <w:pPr>
        <w:spacing w:after="400"/>
      </w:pPr>
      <w:r>
        <w:rPr>
          <w:i/>
          <w:iCs/>
          <w:color w:val="666666"/>
        </w:rPr>
        <w:t xml:space="preserve">POCUS-Emergency: Intelligent Multimodal Assistant for Clinical Ultrasound and Decision Support in Emergencies</w:t>
      </w:r>
    </w:p>
    <w:p>
      <w:pPr>
        <w:spacing w:after="120"/>
      </w:pPr>
      <w:r>
        <w:t xml:space="preserve">Scope: design, training, honest evaluation, and production-readiness of the Triage Agent — the component that reads patient vitals, demographics, and reason-for-visit (not the ultrasound image) and outputs an urgency level for the Clinical Reasoning Agent to fuse with the Ultrasound Agent's findings.</w:t>
      </w:r>
    </w:p>
    <w:p>
      <w:pPr>
        <w:pStyle w:val="Heading1"/>
        <w:spacing w:after="150" w:before="300"/>
      </w:pPr>
      <w:r>
        <w:t xml:space="preserve">1. Objective and Architecture Role</w:t>
      </w:r>
    </w:p>
    <w:p>
      <w:pPr>
        <w:spacing w:after="120"/>
      </w:pPr>
      <w:r>
        <w:t xml:space="preserve">Per the system specification, the Triage Agent:</w:t>
      </w:r>
    </w:p>
    <w:p>
      <w:pPr>
        <w:pStyle w:val="ListParagraph"/>
        <w:numPr>
          <w:ilvl w:val="0"/>
          <w:numId w:val="1"/>
        </w:numPr>
        <w:spacing w:after="60"/>
      </w:pPr>
      <w:r>
        <w:t xml:space="preserve">Reads the patient, not the image — input is chief complaint, vitals (HR, BP, SpO2, RR), age, and red-flag symptoms.</w:t>
      </w:r>
    </w:p>
    <w:p>
      <w:pPr>
        <w:pStyle w:val="ListParagraph"/>
        <w:numPr>
          <w:ilvl w:val="0"/>
          <w:numId w:val="1"/>
        </w:numPr>
        <w:spacing w:after="60"/>
      </w:pPr>
      <w:r>
        <w:t xml:space="preserve">Outputs an urgency/severity level, not a diagnosis.</w:t>
      </w:r>
    </w:p>
    <w:p>
      <w:pPr>
        <w:pStyle w:val="ListParagraph"/>
        <w:numPr>
          <w:ilvl w:val="0"/>
          <w:numId w:val="1"/>
        </w:numPr>
        <w:spacing w:after="60"/>
      </w:pPr>
      <w:r>
        <w:t xml:space="preserve">Runs in parallel with the Ultrasound Agent — neither depends on the other's output.</w:t>
      </w:r>
    </w:p>
    <w:p>
      <w:pPr>
        <w:pStyle w:val="ListParagraph"/>
        <w:numPr>
          <w:ilvl w:val="0"/>
          <w:numId w:val="1"/>
        </w:numPr>
        <w:spacing w:after="60"/>
      </w:pPr>
      <w:r>
        <w:t xml:space="preserve">Does not need deep learning for the MVP — a calibrated classifier is sufficient.</w:t>
      </w:r>
    </w:p>
    <w:p>
      <w:pPr>
        <w:pStyle w:val="ListParagraph"/>
        <w:numPr>
          <w:ilvl w:val="0"/>
          <w:numId w:val="1"/>
        </w:numPr>
        <w:spacing w:after="60"/>
      </w:pPr>
      <w:r>
        <w:t xml:space="preserve">Feeds the Clinical Reasoning Agent (LLM + RAG), which fuses Triage's urgency signal with the Ultrasound Agent's findings and other clinical data (age, sex, symptoms, history, labs) to produce a differential diagnosis and an escalation decision — escalating to simulation when confidence is low or the two signals disagree.</w:t>
      </w:r>
    </w:p>
    <w:p>
      <w:pPr>
        <w:spacing w:after="120"/>
      </w:pPr>
      <w:r>
        <w:t xml:space="preserve">Model choice: gradient-boosted trees (XGBoost), not a neural network. This is a tabular problem, where GBMs reliably outperform deep learning at this data volume — confirmed empirically in this work (Section 5.3), not assumed.</w:t>
      </w:r>
    </w:p>
    <w:p>
      <w:pPr>
        <w:pStyle w:val="Heading1"/>
        <w:spacing w:after="150" w:before="300"/>
      </w:pPr>
      <w:r>
        <w:t xml:space="preserve">2. Guiding Principle: Honest Reporting Over Inflated Numbers</w:t>
      </w:r>
    </w:p>
    <w:p>
      <w:pPr>
        <w:spacing w:after="120"/>
      </w:pPr>
      <w:r>
        <w:t xml:space="preserve">This is a medical decision-support tool, so every number in this report is the real, measured result — including the ones that look unremarkable, the changes that made results worse and were reverted, and one case where a promising-looking 75% accuracy turned out to be caused by a data leak and was corrected rather than reported. Two supplementary, literature-grounded facts anchor what “good” realistically means for this task:</w:t>
      </w:r>
    </w:p>
    <w:p>
      <w:pPr>
        <w:pStyle w:val="ListParagraph"/>
        <w:numPr>
          <w:ilvl w:val="0"/>
          <w:numId w:val="1"/>
        </w:numPr>
        <w:spacing w:after="60"/>
      </w:pPr>
      <w:r>
        <w:t xml:space="preserve">Real triage nurses agree with each other only 59–67% of the time on the same kind of acuity scale (published inter-rater reliability studies on the Emergency Severity Index; kappa ranging 0.44–0.82 depending on training and context).</w:t>
      </w:r>
    </w:p>
    <w:p>
      <w:pPr>
        <w:pStyle w:val="ListParagraph"/>
        <w:numPr>
          <w:ilvl w:val="0"/>
          <w:numId w:val="1"/>
        </w:numPr>
        <w:spacing w:after="60"/>
      </w:pPr>
      <w:r>
        <w:t xml:space="preserve">A model trained on a narrower slice of what a nurse sees (vitals and a coded complaint, not visual gestalt or mental-status assessment) cannot be expected to exceed what two trained humans wouldn't agree on either.</w:t>
      </w:r>
    </w:p>
    <w:p>
      <w:pPr>
        <w:pStyle w:val="Heading1"/>
        <w:spacing w:after="150" w:before="300"/>
      </w:pPr>
      <w:r>
        <w:t xml:space="preserve">3. Structure of the Work</w:t>
      </w:r>
    </w:p>
    <w:p>
      <w:pPr>
        <w:spacing w:after="120"/>
      </w:pPr>
      <w:r>
        <w:t xml:space="preserve">The work has two parts, reflecting how the task actually evolved: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D9D9D9" w:val="clear"/>
            <w:tcMar>
              <w:top w:type="dxa" w:w="80"/>
              <w:left w:type="dxa" w:w="100"/>
              <w:bottom w:type="dxa" w:w="80"/>
              <w:right w:type="dxa" w:w="100"/>
            </w:tcMar>
          </w:tcPr>
          <w:p>
            <w:r>
              <w:rPr>
                <w:b/>
                <w:bCs/>
              </w:rPr>
              <w:t xml:space="preserve"/>
            </w:r>
          </w:p>
        </w:tc>
        <w:tc>
          <w:tcPr>
            <w:tcW w:type="dxa" w:w="3600"/>
            <w:shd w:fill="D9D9D9" w:val="clear"/>
            <w:tcMar>
              <w:top w:type="dxa" w:w="80"/>
              <w:left w:type="dxa" w:w="100"/>
              <w:bottom w:type="dxa" w:w="80"/>
              <w:right w:type="dxa" w:w="100"/>
            </w:tcMar>
          </w:tcPr>
          <w:p>
            <w:r>
              <w:rPr>
                <w:b/>
                <w:bCs/>
              </w:rPr>
              <w:t xml:space="preserve">Part A — Baseline</w:t>
            </w:r>
          </w:p>
        </w:tc>
        <w:tc>
          <w:tcPr>
            <w:tcW w:type="dxa" w:w="3600"/>
            <w:shd w:fill="D9D9D9" w:val="clear"/>
            <w:tcMar>
              <w:top w:type="dxa" w:w="80"/>
              <w:left w:type="dxa" w:w="100"/>
              <w:bottom w:type="dxa" w:w="80"/>
              <w:right w:type="dxa" w:w="100"/>
            </w:tcMar>
          </w:tcPr>
          <w:p>
            <w:r>
              <w:rPr>
                <w:b/>
                <w:bCs/>
              </w:rPr>
              <w:t xml:space="preserve">Part B — Final production model</w:t>
            </w:r>
          </w:p>
        </w:tc>
      </w:tr>
      <w:tr>
        <w:tc>
          <w:tcPr>
            <w:tcW w:type="dxa" w:w="2400"/>
            <w:tcMar>
              <w:top w:type="dxa" w:w="80"/>
              <w:left w:type="dxa" w:w="100"/>
              <w:bottom w:type="dxa" w:w="80"/>
              <w:right w:type="dxa" w:w="100"/>
            </w:tcMar>
          </w:tcPr>
          <w:p>
            <w:r>
              <w:rPr>
                <w:b w:val="false"/>
                <w:bCs w:val="false"/>
              </w:rPr>
              <w:t xml:space="preserve">Data</w:t>
            </w:r>
          </w:p>
        </w:tc>
        <w:tc>
          <w:tcPr>
            <w:tcW w:type="dxa" w:w="3600"/>
            <w:tcMar>
              <w:top w:type="dxa" w:w="80"/>
              <w:left w:type="dxa" w:w="100"/>
              <w:bottom w:type="dxa" w:w="80"/>
              <w:right w:type="dxa" w:w="100"/>
            </w:tcMar>
          </w:tcPr>
          <w:p>
            <w:r>
              <w:rPr>
                <w:b w:val="false"/>
                <w:bCs w:val="false"/>
              </w:rPr>
              <w:t xml:space="preserve">NHAMCS only (~20,700 US ED visits)</w:t>
            </w:r>
          </w:p>
        </w:tc>
        <w:tc>
          <w:tcPr>
            <w:tcW w:type="dxa" w:w="3600"/>
            <w:tcMar>
              <w:top w:type="dxa" w:w="80"/>
              <w:left w:type="dxa" w:w="100"/>
              <w:bottom w:type="dxa" w:w="80"/>
              <w:right w:type="dxa" w:w="100"/>
            </w:tcMar>
          </w:tcPr>
          <w:p>
            <w:r>
              <w:rPr>
                <w:b w:val="false"/>
                <w:bCs w:val="false"/>
              </w:rPr>
              <w:t xml:space="preserve">NHAMCS + Iran ED + MC-MED + MIMIC-IV-ED demo, pooled (~164,700 visits)</w:t>
            </w:r>
          </w:p>
        </w:tc>
      </w:tr>
      <w:tr>
        <w:tc>
          <w:tcPr>
            <w:tcW w:type="dxa" w:w="2400"/>
            <w:tcMar>
              <w:top w:type="dxa" w:w="80"/>
              <w:left w:type="dxa" w:w="100"/>
              <w:bottom w:type="dxa" w:w="80"/>
              <w:right w:type="dxa" w:w="100"/>
            </w:tcMar>
          </w:tcPr>
          <w:p>
            <w:r>
              <w:rPr>
                <w:b w:val="false"/>
                <w:bCs w:val="false"/>
              </w:rPr>
              <w:t xml:space="preserve">Target</w:t>
            </w:r>
          </w:p>
        </w:tc>
        <w:tc>
          <w:tcPr>
            <w:tcW w:type="dxa" w:w="3600"/>
            <w:tcMar>
              <w:top w:type="dxa" w:w="80"/>
              <w:left w:type="dxa" w:w="100"/>
              <w:bottom w:type="dxa" w:w="80"/>
              <w:right w:type="dxa" w:w="100"/>
            </w:tcMar>
          </w:tcPr>
          <w:p>
            <w:r>
              <w:rPr>
                <w:b w:val="false"/>
                <w:bCs w:val="false"/>
              </w:rPr>
              <w:t xml:space="preserve">5-level scale (nonurgent → immediate)</w:t>
            </w:r>
          </w:p>
        </w:tc>
        <w:tc>
          <w:tcPr>
            <w:tcW w:type="dxa" w:w="3600"/>
            <w:tcMar>
              <w:top w:type="dxa" w:w="80"/>
              <w:left w:type="dxa" w:w="100"/>
              <w:bottom w:type="dxa" w:w="80"/>
              <w:right w:type="dxa" w:w="100"/>
            </w:tcMar>
          </w:tcPr>
          <w:p>
            <w:r>
              <w:rPr>
                <w:b w:val="false"/>
                <w:bCs w:val="false"/>
              </w:rPr>
              <w:t xml:space="preserve">3-tier scale (low / medium / high)</w:t>
            </w:r>
          </w:p>
        </w:tc>
      </w:tr>
      <w:tr>
        <w:tc>
          <w:tcPr>
            <w:tcW w:type="dxa" w:w="2400"/>
            <w:tcMar>
              <w:top w:type="dxa" w:w="80"/>
              <w:left w:type="dxa" w:w="100"/>
              <w:bottom w:type="dxa" w:w="80"/>
              <w:right w:type="dxa" w:w="100"/>
            </w:tcMar>
          </w:tcPr>
          <w:p>
            <w:r>
              <w:rPr>
                <w:b w:val="false"/>
                <w:bCs w:val="false"/>
              </w:rPr>
              <w:t xml:space="preserve">Purpose</w:t>
            </w:r>
          </w:p>
        </w:tc>
        <w:tc>
          <w:tcPr>
            <w:tcW w:type="dxa" w:w="3600"/>
            <w:tcMar>
              <w:top w:type="dxa" w:w="80"/>
              <w:left w:type="dxa" w:w="100"/>
              <w:bottom w:type="dxa" w:w="80"/>
              <w:right w:type="dxa" w:w="100"/>
            </w:tcMar>
          </w:tcPr>
          <w:p>
            <w:r>
              <w:rPr>
                <w:b w:val="false"/>
                <w:bCs w:val="false"/>
              </w:rPr>
              <w:t xml:space="preserve">Establish an honest ceiling; validate feature/weighting choices</w:t>
            </w:r>
          </w:p>
        </w:tc>
        <w:tc>
          <w:tcPr>
            <w:tcW w:type="dxa" w:w="3600"/>
            <w:tcMar>
              <w:top w:type="dxa" w:w="80"/>
              <w:left w:type="dxa" w:w="100"/>
              <w:bottom w:type="dxa" w:w="80"/>
              <w:right w:type="dxa" w:w="100"/>
            </w:tcMar>
          </w:tcPr>
          <w:p>
            <w:r>
              <w:rPr>
                <w:b w:val="false"/>
                <w:bCs w:val="false"/>
              </w:rPr>
              <w:t xml:space="preserve">What the Clinical Reasoning Agent actually consumes</w:t>
            </w:r>
          </w:p>
        </w:tc>
      </w:tr>
      <w:tr>
        <w:tc>
          <w:tcPr>
            <w:tcW w:type="dxa" w:w="2400"/>
            <w:tcMar>
              <w:top w:type="dxa" w:w="80"/>
              <w:left w:type="dxa" w:w="100"/>
              <w:bottom w:type="dxa" w:w="80"/>
              <w:right w:type="dxa" w:w="100"/>
            </w:tcMar>
          </w:tcPr>
          <w:p>
            <w:r>
              <w:rPr>
                <w:b w:val="false"/>
                <w:bCs w:val="false"/>
              </w:rPr>
              <w:t xml:space="preserve">Result (best comparable slice)</w:t>
            </w:r>
          </w:p>
        </w:tc>
        <w:tc>
          <w:tcPr>
            <w:tcW w:type="dxa" w:w="3600"/>
            <w:tcMar>
              <w:top w:type="dxa" w:w="80"/>
              <w:left w:type="dxa" w:w="100"/>
              <w:bottom w:type="dxa" w:w="80"/>
              <w:right w:type="dxa" w:w="100"/>
            </w:tcMar>
          </w:tcPr>
          <w:p>
            <w:r>
              <w:rPr>
                <w:b w:val="false"/>
                <w:bCs w:val="false"/>
              </w:rPr>
              <w:t xml:space="preserve">54.7% accuracy vs. 52.3% majority baseline</w:t>
            </w:r>
          </w:p>
        </w:tc>
        <w:tc>
          <w:tcPr>
            <w:tcW w:type="dxa" w:w="3600"/>
            <w:tcMar>
              <w:top w:type="dxa" w:w="80"/>
              <w:left w:type="dxa" w:w="100"/>
              <w:bottom w:type="dxa" w:w="80"/>
              <w:right w:type="dxa" w:w="100"/>
            </w:tcMar>
          </w:tcPr>
          <w:p>
            <w:r>
              <w:rPr>
                <w:b w:val="false"/>
                <w:bCs w:val="false"/>
              </w:rPr>
              <w:t xml:space="preserve">~62% accuracy vs. 52.3% majority baseline (NHAMCS test slice)</w:t>
            </w:r>
          </w:p>
        </w:tc>
      </w:tr>
    </w:tbl>
    <w:p>
      <w:pPr>
        <w:spacing w:after="120"/>
      </w:pPr>
      <w:r>
        <w:t xml:space="preserve"/>
      </w:r>
    </w:p>
    <w:p>
      <w:pPr>
        <w:spacing w:after="120"/>
      </w:pPr>
      <w:r>
        <w:t xml:space="preserve">Part A is kept in full, not discarded, because every design decision Part B reuses (composite vitals, safety-weighted classes, year-based splitting, the honest-ceiling argument) was validated there first. Part B is the deliverable that ships.</w:t>
      </w:r>
    </w:p>
    <w:p>
      <w:pPr>
        <w:pStyle w:val="Heading1"/>
        <w:spacing w:after="150" w:before="300"/>
      </w:pPr>
      <w:r>
        <w:t xml:space="preserve">4. Data Sources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000"/>
      </w:tblGrid>
      <w:tr>
        <w:trPr>
          <w:tblHeader/>
        </w:trPr>
        <w:tc>
          <w:tcPr>
            <w:tcW w:type="dxa" w:w="3000"/>
            <w:shd w:fill="D9D9D9" w:val="clear"/>
            <w:tcMar>
              <w:top w:type="dxa" w:w="80"/>
              <w:left w:type="dxa" w:w="100"/>
              <w:bottom w:type="dxa" w:w="80"/>
              <w:right w:type="dxa" w:w="100"/>
            </w:tcMar>
          </w:tcPr>
          <w:p>
            <w:r>
              <w:rPr>
                <w:b/>
                <w:bCs/>
              </w:rPr>
              <w:t xml:space="preserve">Dataset</w:t>
            </w:r>
          </w:p>
        </w:tc>
        <w:tc>
          <w:tcPr>
            <w:tcW w:type="dxa" w:w="1600"/>
            <w:shd w:fill="D9D9D9" w:val="clear"/>
            <w:tcMar>
              <w:top w:type="dxa" w:w="80"/>
              <w:left w:type="dxa" w:w="100"/>
              <w:bottom w:type="dxa" w:w="80"/>
              <w:right w:type="dxa" w:w="100"/>
            </w:tcMar>
          </w:tcPr>
          <w:p>
            <w:r>
              <w:rPr>
                <w:b/>
                <w:bCs/>
              </w:rPr>
              <w:t xml:space="preserve">Rows used</w:t>
            </w:r>
          </w:p>
        </w:tc>
        <w:tc>
          <w:tcPr>
            <w:tcW w:type="dxa" w:w="4000"/>
            <w:shd w:fill="D9D9D9" w:val="clear"/>
            <w:tcMar>
              <w:top w:type="dxa" w:w="80"/>
              <w:left w:type="dxa" w:w="100"/>
              <w:bottom w:type="dxa" w:w="80"/>
              <w:right w:type="dxa" w:w="100"/>
            </w:tcMar>
          </w:tcPr>
          <w:p>
            <w:r>
              <w:rPr>
                <w:b/>
                <w:bCs/>
              </w:rPr>
              <w:t xml:space="preserve">Role</w:t>
            </w:r>
          </w:p>
        </w:tc>
      </w:tr>
      <w:tr>
        <w:tc>
          <w:tcPr>
            <w:tcW w:type="dxa" w:w="3000"/>
            <w:tcMar>
              <w:top w:type="dxa" w:w="80"/>
              <w:left w:type="dxa" w:w="100"/>
              <w:bottom w:type="dxa" w:w="80"/>
              <w:right w:type="dxa" w:w="100"/>
            </w:tcMar>
          </w:tcPr>
          <w:p>
            <w:r>
              <w:rPr>
                <w:b w:val="false"/>
                <w:bCs w:val="false"/>
              </w:rPr>
              <w:t xml:space="preserve">NHAMCS (2021–2022)</w:t>
            </w:r>
          </w:p>
        </w:tc>
        <w:tc>
          <w:tcPr>
            <w:tcW w:type="dxa" w:w="1600"/>
            <w:tcMar>
              <w:top w:type="dxa" w:w="80"/>
              <w:left w:type="dxa" w:w="100"/>
              <w:bottom w:type="dxa" w:w="80"/>
              <w:right w:type="dxa" w:w="100"/>
            </w:tcMar>
          </w:tcPr>
          <w:p>
            <w:r>
              <w:rPr>
                <w:b w:val="false"/>
                <w:bCs w:val="false"/>
              </w:rPr>
              <w:t xml:space="preserve">20,702</w:t>
            </w:r>
          </w:p>
        </w:tc>
        <w:tc>
          <w:tcPr>
            <w:tcW w:type="dxa" w:w="4000"/>
            <w:tcMar>
              <w:top w:type="dxa" w:w="80"/>
              <w:left w:type="dxa" w:w="100"/>
              <w:bottom w:type="dxa" w:w="80"/>
              <w:right w:type="dxa" w:w="100"/>
            </w:tcMar>
          </w:tcPr>
          <w:p>
            <w:r>
              <w:rPr>
                <w:b w:val="false"/>
                <w:bCs w:val="false"/>
              </w:rPr>
              <w:t xml:space="preserve">Primary source — full vitals, coded reason-for-visit, real calendar years for a proper train/test split.</w:t>
            </w:r>
          </w:p>
        </w:tc>
      </w:tr>
      <w:tr>
        <w:tc>
          <w:tcPr>
            <w:tcW w:type="dxa" w:w="3000"/>
            <w:tcMar>
              <w:top w:type="dxa" w:w="80"/>
              <w:left w:type="dxa" w:w="100"/>
              <w:bottom w:type="dxa" w:w="80"/>
              <w:right w:type="dxa" w:w="100"/>
            </w:tcMar>
          </w:tcPr>
          <w:p>
            <w:r>
              <w:rPr>
                <w:b w:val="false"/>
                <w:bCs w:val="false"/>
              </w:rPr>
              <w:t xml:space="preserve">Iran ED (Isfahan teaching hospital, 2017–2022)</w:t>
            </w:r>
          </w:p>
        </w:tc>
        <w:tc>
          <w:tcPr>
            <w:tcW w:type="dxa" w:w="1600"/>
            <w:tcMar>
              <w:top w:type="dxa" w:w="80"/>
              <w:left w:type="dxa" w:w="100"/>
              <w:bottom w:type="dxa" w:w="80"/>
              <w:right w:type="dxa" w:w="100"/>
            </w:tcMar>
          </w:tcPr>
          <w:p>
            <w:r>
              <w:rPr>
                <w:b w:val="false"/>
                <w:bCs w:val="false"/>
              </w:rPr>
              <w:t xml:space="preserve">143,408</w:t>
            </w:r>
          </w:p>
        </w:tc>
        <w:tc>
          <w:tcPr>
            <w:tcW w:type="dxa" w:w="4000"/>
            <w:tcMar>
              <w:top w:type="dxa" w:w="80"/>
              <w:left w:type="dxa" w:w="100"/>
              <w:bottom w:type="dxa" w:w="80"/>
              <w:right w:type="dxa" w:w="100"/>
            </w:tcMar>
          </w:tcPr>
          <w:p>
            <w:r>
              <w:rPr>
                <w:b w:val="false"/>
                <w:bCs w:val="false"/>
              </w:rPr>
              <w:t xml:space="preserve">Large volume, but only age/sex/arrival-mode survive after a data-leakage fix (Section 6.1).</w:t>
            </w:r>
          </w:p>
        </w:tc>
      </w:tr>
      <w:tr>
        <w:tc>
          <w:tcPr>
            <w:tcW w:type="dxa" w:w="3000"/>
            <w:tcMar>
              <w:top w:type="dxa" w:w="80"/>
              <w:left w:type="dxa" w:w="100"/>
              <w:bottom w:type="dxa" w:w="80"/>
              <w:right w:type="dxa" w:w="100"/>
            </w:tcMar>
          </w:tcPr>
          <w:p>
            <w:r>
              <w:rPr>
                <w:b w:val="false"/>
                <w:bCs w:val="false"/>
              </w:rPr>
              <w:t xml:space="preserve">MC-MED (public sample)</w:t>
            </w:r>
          </w:p>
        </w:tc>
        <w:tc>
          <w:tcPr>
            <w:tcW w:type="dxa" w:w="1600"/>
            <w:tcMar>
              <w:top w:type="dxa" w:w="80"/>
              <w:left w:type="dxa" w:w="100"/>
              <w:bottom w:type="dxa" w:w="80"/>
              <w:right w:type="dxa" w:w="100"/>
            </w:tcMar>
          </w:tcPr>
          <w:p>
            <w:r>
              <w:rPr>
                <w:b w:val="false"/>
                <w:bCs w:val="false"/>
              </w:rPr>
              <w:t xml:space="preserve">383</w:t>
            </w:r>
          </w:p>
        </w:tc>
        <w:tc>
          <w:tcPr>
            <w:tcW w:type="dxa" w:w="4000"/>
            <w:tcMar>
              <w:top w:type="dxa" w:w="80"/>
              <w:left w:type="dxa" w:w="100"/>
              <w:bottom w:type="dxa" w:w="80"/>
              <w:right w:type="dxa" w:w="100"/>
            </w:tcMar>
          </w:tcPr>
          <w:p>
            <w:r>
              <w:rPr>
                <w:b w:val="false"/>
                <w:bCs w:val="false"/>
              </w:rPr>
              <w:t xml:space="preserve">Small demo subset, but has real free-text chief complaints and standard ESI labels.</w:t>
            </w:r>
          </w:p>
        </w:tc>
      </w:tr>
      <w:tr>
        <w:tc>
          <w:tcPr>
            <w:tcW w:type="dxa" w:w="3000"/>
            <w:tcMar>
              <w:top w:type="dxa" w:w="80"/>
              <w:left w:type="dxa" w:w="100"/>
              <w:bottom w:type="dxa" w:w="80"/>
              <w:right w:type="dxa" w:w="100"/>
            </w:tcMar>
          </w:tcPr>
          <w:p>
            <w:r>
              <w:rPr>
                <w:b w:val="false"/>
                <w:bCs w:val="false"/>
              </w:rPr>
              <w:t xml:space="preserve">MIMIC-IV-ED (public demo)</w:t>
            </w:r>
          </w:p>
        </w:tc>
        <w:tc>
          <w:tcPr>
            <w:tcW w:type="dxa" w:w="1600"/>
            <w:tcMar>
              <w:top w:type="dxa" w:w="80"/>
              <w:left w:type="dxa" w:w="100"/>
              <w:bottom w:type="dxa" w:w="80"/>
              <w:right w:type="dxa" w:w="100"/>
            </w:tcMar>
          </w:tcPr>
          <w:p>
            <w:r>
              <w:rPr>
                <w:b w:val="false"/>
                <w:bCs w:val="false"/>
              </w:rPr>
              <w:t xml:space="preserve">207</w:t>
            </w:r>
          </w:p>
        </w:tc>
        <w:tc>
          <w:tcPr>
            <w:tcW w:type="dxa" w:w="4000"/>
            <w:tcMar>
              <w:top w:type="dxa" w:w="80"/>
              <w:left w:type="dxa" w:w="100"/>
              <w:bottom w:type="dxa" w:w="80"/>
              <w:right w:type="dxa" w:w="100"/>
            </w:tcMar>
          </w:tcPr>
          <w:p>
            <w:r>
              <w:rPr>
                <w:b w:val="false"/>
                <w:bCs w:val="false"/>
              </w:rPr>
              <w:t xml:space="preserve">Same role as MC-MED — free-text complaints, tiny public demo slice of a credentialed full dataset.</w:t>
            </w:r>
          </w:p>
        </w:tc>
      </w:tr>
    </w:tbl>
    <w:p>
      <w:pPr>
        <w:spacing w:after="120"/>
      </w:pPr>
      <w:r>
        <w:t xml:space="preserve"/>
      </w:r>
    </w:p>
    <w:p>
      <w:pPr>
        <w:spacing w:after="120"/>
      </w:pPr>
      <w:r>
        <w:t xml:space="preserve">Two additional public datasets (a larger MC-MED release and the full MIMIC-IV-ED) were identified as the most promising source of further improvement — real chief-complaint text at genuine scale — but require PhysioNet credentialing and a data-use agreement, outside this project's current scope.</w:t>
      </w:r>
    </w:p>
    <w:p>
      <w:pPr>
        <w:pStyle w:val="Heading1"/>
        <w:spacing w:after="150" w:before="300"/>
      </w:pPr>
      <w:r>
        <w:t xml:space="preserve">5. Part A — Baseline Model (NHAMCS, 5-Level)</w:t>
      </w:r>
    </w:p>
    <w:p>
      <w:pPr>
        <w:pStyle w:val="Heading2"/>
        <w:spacing w:after="120" w:before="240"/>
      </w:pPr>
      <w:r>
        <w:t xml:space="preserve">5.1 Feature engineering</w:t>
      </w:r>
    </w:p>
    <w:p>
      <w:pPr>
        <w:spacing w:after="120"/>
      </w:pPr>
      <w:r>
        <w:t xml:space="preserve">Diagnostic finding before any modeling: raw vitals barely differ across acuity levels on their own (e.g. mean pulse ranges only 90–94 across all five urgency levels). Composite, clinically-motivated features were added on top of the raw vitals:</w:t>
      </w:r>
    </w:p>
    <w:p>
      <w:pPr>
        <w:pStyle w:val="ListParagraph"/>
        <w:numPr>
          <w:ilvl w:val="0"/>
          <w:numId w:val="1"/>
        </w:numPr>
        <w:spacing w:after="60"/>
      </w:pPr>
      <w:r>
        <w:t xml:space="preserve">shock_index (pulse / systolic BP), pulse_pressure, map_pressure — derived hemodynamic measures.</w:t>
      </w:r>
    </w:p>
    <w:p>
      <w:pPr>
        <w:pStyle w:val="ListParagraph"/>
        <w:numPr>
          <w:ilvl w:val="0"/>
          <w:numId w:val="1"/>
        </w:numPr>
        <w:spacing w:after="60"/>
      </w:pPr>
      <w:r>
        <w:t xml:space="preserve">tachypnea_flag, hypotension_flag, qsofa_partial — a partial qSOFA (2 of 3 components; altered mental status isn't in NHAMCS, so this cannot be the full clinical score).</w:t>
      </w:r>
    </w:p>
    <w:p>
      <w:pPr>
        <w:pStyle w:val="ListParagraph"/>
        <w:numPr>
          <w:ilvl w:val="0"/>
          <w:numId w:val="1"/>
        </w:numPr>
        <w:spacing w:after="60"/>
      </w:pPr>
      <w:r>
        <w:t xml:space="preserve">fever_flag, severe_pain_flag, hypoxia_flag, elderly_flag, pediatric_flag — simple clinical red-flag thresholds.</w:t>
      </w:r>
    </w:p>
    <w:p>
      <w:pPr>
        <w:pStyle w:val="ListParagraph"/>
        <w:numPr>
          <w:ilvl w:val="0"/>
          <w:numId w:val="1"/>
        </w:numPr>
        <w:spacing w:after="60"/>
      </w:pPr>
      <w:r>
        <w:t xml:space="preserve">Sentinel-value cleaning: 0 in PULSE/RESPR/BPSYS/BPDIAS/POPCT is not a real reading for a living patient and was converted to missing, not treated as a true zero.</w:t>
      </w:r>
    </w:p>
    <w:p>
      <w:pPr>
        <w:spacing w:after="120"/>
      </w:pPr>
      <w:r>
        <w:t xml:space="preserve">Tried and reverted: grouping the 500+ raw reason-for-visit (RFV) codes into ~10 broader NHAMCS-defined modules, to reduce sparsity. This made accuracy noticeably worse (55% → 45%) — the fine-grained codes carry more real signal than the coarse grouping loses to sparsity. Raw RFV codes were kept.</w:t>
      </w:r>
    </w:p>
    <w:p>
      <w:pPr>
        <w:pStyle w:val="Heading2"/>
        <w:spacing w:after="120" w:before="240"/>
      </w:pPr>
      <w:r>
        <w:t xml:space="preserve">5.2 Class weighting</w:t>
      </w:r>
    </w:p>
    <w:p>
      <w:pPr>
        <w:spacing w:after="120"/>
      </w:pPr>
      <w:r>
        <w:t xml:space="preserve">Plain inverse-class-frequency weighting treats every misclassification as equally costly, which is wrong for this application — missing a true “immediate” patient is worse than over-flagging a “nonurgent” one. immediate/emergent classes received an extra 1.4× weight on top of balanced weights.</w:t>
      </w:r>
    </w:p>
    <w:p>
      <w:pPr>
        <w:spacing w:after="120"/>
      </w:pPr>
      <w:r>
        <w:t xml:space="preserve">Tried and reverted: a more aggressive 2× boost overcorrected badly — accuracy dropped from 56% to 39% for only a modest emergent-recall gain and no improvement on immediate recall. 1.4× was the moderate point that helped both safety-critical recalls without wrecking overall performance.</w:t>
      </w:r>
    </w:p>
    <w:p>
      <w:pPr>
        <w:pStyle w:val="Heading2"/>
        <w:spacing w:after="120" w:before="240"/>
      </w:pPr>
      <w:r>
        <w:t xml:space="preserve">5.3 Train/test split</w:t>
      </w:r>
    </w:p>
    <w:p>
      <w:pPr>
        <w:spacing w:after="120"/>
      </w:pPr>
      <w:r>
        <w:t xml:space="preserve">2021 for training, 2022 for testing — a year-based split, not a random shuffle, mirroring real deployment (built on past data, evaluated on the next year) and avoiding the optimistic bias a shuffled split would give. DIAG1–4, WAITTIME, LOV, and BOARDED were excluded from the feature set entirely: these are only known after triage happens, so including them would leak future information into a model meant to predict urgency at triage time.</w:t>
      </w:r>
    </w:p>
    <w:p>
      <w:pPr>
        <w:pStyle w:val="Heading2"/>
        <w:spacing w:after="120" w:before="240"/>
      </w:pPr>
      <w:r>
        <w:t xml:space="preserve">5.4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500"/>
        <w:gridCol w:w="3700"/>
      </w:tblGrid>
      <w:tr>
        <w:trPr>
          <w:tblHeader/>
        </w:trPr>
        <w:tc>
          <w:tcPr>
            <w:tcW w:type="dxa" w:w="5500"/>
            <w:shd w:fill="D9D9D9" w:val="clear"/>
            <w:tcMar>
              <w:top w:type="dxa" w:w="80"/>
              <w:left w:type="dxa" w:w="100"/>
              <w:bottom w:type="dxa" w:w="80"/>
              <w:right w:type="dxa" w:w="100"/>
            </w:tcMar>
          </w:tcPr>
          <w:p>
            <w:r>
              <w:rPr>
                <w:b/>
                <w:bCs/>
              </w:rPr>
              <w:t xml:space="preserve">Metric</w:t>
            </w:r>
          </w:p>
        </w:tc>
        <w:tc>
          <w:tcPr>
            <w:tcW w:type="dxa" w:w="3700"/>
            <w:shd w:fill="D9D9D9" w:val="clear"/>
            <w:tcMar>
              <w:top w:type="dxa" w:w="80"/>
              <w:left w:type="dxa" w:w="100"/>
              <w:bottom w:type="dxa" w:w="80"/>
              <w:right w:type="dxa" w:w="100"/>
            </w:tcMar>
          </w:tcPr>
          <w:p>
            <w:r>
              <w:rPr>
                <w:b/>
                <w:bCs/>
              </w:rPr>
              <w:t xml:space="preserve">Value</w:t>
            </w:r>
          </w:p>
        </w:tc>
      </w:tr>
      <w:tr>
        <w:tc>
          <w:tcPr>
            <w:tcW w:type="dxa" w:w="5500"/>
            <w:tcMar>
              <w:top w:type="dxa" w:w="80"/>
              <w:left w:type="dxa" w:w="100"/>
              <w:bottom w:type="dxa" w:w="80"/>
              <w:right w:type="dxa" w:w="100"/>
            </w:tcMar>
          </w:tcPr>
          <w:p>
            <w:r>
              <w:rPr>
                <w:b w:val="false"/>
                <w:bCs w:val="false"/>
              </w:rPr>
              <w:t xml:space="preserve">Majority-class baseline</w:t>
            </w:r>
          </w:p>
        </w:tc>
        <w:tc>
          <w:tcPr>
            <w:tcW w:type="dxa" w:w="3700"/>
            <w:tcMar>
              <w:top w:type="dxa" w:w="80"/>
              <w:left w:type="dxa" w:w="100"/>
              <w:bottom w:type="dxa" w:w="80"/>
              <w:right w:type="dxa" w:w="100"/>
            </w:tcMar>
          </w:tcPr>
          <w:p>
            <w:r>
              <w:rPr>
                <w:b w:val="false"/>
                <w:bCs w:val="false"/>
              </w:rPr>
              <w:t xml:space="preserve">52.3%</w:t>
            </w:r>
          </w:p>
        </w:tc>
      </w:tr>
      <w:tr>
        <w:tc>
          <w:tcPr>
            <w:tcW w:type="dxa" w:w="5500"/>
            <w:tcMar>
              <w:top w:type="dxa" w:w="80"/>
              <w:left w:type="dxa" w:w="100"/>
              <w:bottom w:type="dxa" w:w="80"/>
              <w:right w:type="dxa" w:w="100"/>
            </w:tcMar>
          </w:tcPr>
          <w:p>
            <w:r>
              <w:rPr>
                <w:b w:val="false"/>
                <w:bCs w:val="false"/>
              </w:rPr>
              <w:t xml:space="preserve">Model accuracy</w:t>
            </w:r>
          </w:p>
        </w:tc>
        <w:tc>
          <w:tcPr>
            <w:tcW w:type="dxa" w:w="3700"/>
            <w:tcMar>
              <w:top w:type="dxa" w:w="80"/>
              <w:left w:type="dxa" w:w="100"/>
              <w:bottom w:type="dxa" w:w="80"/>
              <w:right w:type="dxa" w:w="100"/>
            </w:tcMar>
          </w:tcPr>
          <w:p>
            <w:r>
              <w:rPr>
                <w:b w:val="false"/>
                <w:bCs w:val="false"/>
              </w:rPr>
              <w:t xml:space="preserve">54.7%</w:t>
            </w:r>
          </w:p>
        </w:tc>
      </w:tr>
      <w:tr>
        <w:tc>
          <w:tcPr>
            <w:tcW w:type="dxa" w:w="5500"/>
            <w:tcMar>
              <w:top w:type="dxa" w:w="80"/>
              <w:left w:type="dxa" w:w="100"/>
              <w:bottom w:type="dxa" w:w="80"/>
              <w:right w:type="dxa" w:w="100"/>
            </w:tcMar>
          </w:tcPr>
          <w:p>
            <w:r>
              <w:rPr>
                <w:b w:val="false"/>
                <w:bCs w:val="false"/>
              </w:rPr>
              <w:t xml:space="preserve">Macro F1</w:t>
            </w:r>
          </w:p>
        </w:tc>
        <w:tc>
          <w:tcPr>
            <w:tcW w:type="dxa" w:w="3700"/>
            <w:tcMar>
              <w:top w:type="dxa" w:w="80"/>
              <w:left w:type="dxa" w:w="100"/>
              <w:bottom w:type="dxa" w:w="80"/>
              <w:right w:type="dxa" w:w="100"/>
            </w:tcMar>
          </w:tcPr>
          <w:p>
            <w:r>
              <w:rPr>
                <w:b w:val="false"/>
                <w:bCs w:val="false"/>
              </w:rPr>
              <w:t xml:space="preserve">0.394</w:t>
            </w:r>
          </w:p>
        </w:tc>
      </w:tr>
      <w:tr>
        <w:tc>
          <w:tcPr>
            <w:tcW w:type="dxa" w:w="5500"/>
            <w:tcMar>
              <w:top w:type="dxa" w:w="80"/>
              <w:left w:type="dxa" w:w="100"/>
              <w:bottom w:type="dxa" w:w="80"/>
              <w:right w:type="dxa" w:w="100"/>
            </w:tcMar>
          </w:tcPr>
          <w:p>
            <w:r>
              <w:rPr>
                <w:b w:val="false"/>
                <w:bCs w:val="false"/>
              </w:rPr>
              <w:t xml:space="preserve">Immediate recall</w:t>
            </w:r>
          </w:p>
        </w:tc>
        <w:tc>
          <w:tcPr>
            <w:tcW w:type="dxa" w:w="3700"/>
            <w:tcMar>
              <w:top w:type="dxa" w:w="80"/>
              <w:left w:type="dxa" w:w="100"/>
              <w:bottom w:type="dxa" w:w="80"/>
              <w:right w:type="dxa" w:w="100"/>
            </w:tcMar>
          </w:tcPr>
          <w:p>
            <w:r>
              <w:rPr>
                <w:b w:val="false"/>
                <w:bCs w:val="false"/>
              </w:rPr>
              <w:t xml:space="preserve">16.5%</w:t>
            </w:r>
          </w:p>
        </w:tc>
      </w:tr>
      <w:tr>
        <w:tc>
          <w:tcPr>
            <w:tcW w:type="dxa" w:w="5500"/>
            <w:tcMar>
              <w:top w:type="dxa" w:w="80"/>
              <w:left w:type="dxa" w:w="100"/>
              <w:bottom w:type="dxa" w:w="80"/>
              <w:right w:type="dxa" w:w="100"/>
            </w:tcMar>
          </w:tcPr>
          <w:p>
            <w:r>
              <w:rPr>
                <w:b w:val="false"/>
                <w:bCs w:val="false"/>
              </w:rPr>
              <w:t xml:space="preserve">Emergent recall</w:t>
            </w:r>
          </w:p>
        </w:tc>
        <w:tc>
          <w:tcPr>
            <w:tcW w:type="dxa" w:w="3700"/>
            <w:tcMar>
              <w:top w:type="dxa" w:w="80"/>
              <w:left w:type="dxa" w:w="100"/>
              <w:bottom w:type="dxa" w:w="80"/>
              <w:right w:type="dxa" w:w="100"/>
            </w:tcMar>
          </w:tcPr>
          <w:p>
            <w:r>
              <w:rPr>
                <w:b w:val="false"/>
                <w:bCs w:val="false"/>
              </w:rPr>
              <w:t xml:space="preserve">53.5%</w:t>
            </w:r>
          </w:p>
        </w:tc>
      </w:tr>
      <w:tr>
        <w:tc>
          <w:tcPr>
            <w:tcW w:type="dxa" w:w="5500"/>
            <w:tcMar>
              <w:top w:type="dxa" w:w="80"/>
              <w:left w:type="dxa" w:w="100"/>
              <w:bottom w:type="dxa" w:w="80"/>
              <w:right w:type="dxa" w:w="100"/>
            </w:tcMar>
          </w:tcPr>
          <w:p>
            <w:r>
              <w:rPr>
                <w:b w:val="false"/>
                <w:bCs w:val="false"/>
              </w:rPr>
              <w:t xml:space="preserve">Accuracy within 1 acuity level (tolerant metric)</w:t>
            </w:r>
          </w:p>
        </w:tc>
        <w:tc>
          <w:tcPr>
            <w:tcW w:type="dxa" w:w="3700"/>
            <w:tcMar>
              <w:top w:type="dxa" w:w="80"/>
              <w:left w:type="dxa" w:w="100"/>
              <w:bottom w:type="dxa" w:w="80"/>
              <w:right w:type="dxa" w:w="100"/>
            </w:tcMar>
          </w:tcPr>
          <w:p>
            <w:r>
              <w:rPr>
                <w:b w:val="false"/>
                <w:bCs w:val="false"/>
              </w:rPr>
              <w:t xml:space="preserve">93.4%</w:t>
            </w:r>
          </w:p>
        </w:tc>
      </w:tr>
      <w:tr>
        <w:tc>
          <w:tcPr>
            <w:tcW w:type="dxa" w:w="5500"/>
            <w:tcMar>
              <w:top w:type="dxa" w:w="80"/>
              <w:left w:type="dxa" w:w="100"/>
              <w:bottom w:type="dxa" w:w="80"/>
              <w:right w:type="dxa" w:w="100"/>
            </w:tcMar>
          </w:tcPr>
          <w:p>
            <w:r>
              <w:rPr>
                <w:b w:val="false"/>
                <w:bCs w:val="false"/>
              </w:rPr>
              <w:t xml:space="preserve">Dangerous under-triage rate (true high-acuity, off by 2+ levels)</w:t>
            </w:r>
          </w:p>
        </w:tc>
        <w:tc>
          <w:tcPr>
            <w:tcW w:type="dxa" w:w="3700"/>
            <w:tcMar>
              <w:top w:type="dxa" w:w="80"/>
              <w:left w:type="dxa" w:w="100"/>
              <w:bottom w:type="dxa" w:w="80"/>
              <w:right w:type="dxa" w:w="100"/>
            </w:tcMar>
          </w:tcPr>
          <w:p>
            <w:r>
              <w:rPr>
                <w:b w:val="false"/>
                <w:bCs w:val="false"/>
              </w:rPr>
              <w:t xml:space="preserve">14.4%</w:t>
            </w:r>
          </w:p>
        </w:tc>
      </w:tr>
    </w:tbl>
    <w:p>
      <w:pPr>
        <w:spacing w:after="120"/>
      </w:pPr>
      <w:r>
        <w:t xml:space="preserve"/>
      </w:r>
    </w:p>
    <w:p>
      <w:pPr>
        <w:spacing w:after="120"/>
      </w:pPr>
      <w:r>
        <w:t xml:space="preserve">The within-1-level metric (93.4%) is consistent with a comparable published study on the Korean Triage and Acuity Scale, which reports ~91–95% for the same kind of tolerant metric — a genuinely different, more forgiving claim than “accuracy” and reported as such, not conflated with it.</w:t>
      </w:r>
    </w:p>
    <w:p>
      <w:pPr>
        <w:spacing w:after="120"/>
      </w:pPr>
      <w:r>
        <w:t xml:space="preserve">Honest limitation: even the improved model still misses most true “immediate” patients if used alone, and 14.4% of true high-acuity patients are under-triaged by 2+ levels. This is precisely the gap the parallel Ultrasound Agent and the Clinical Reasoning Agent's escalation logic exist to catch — the system was never designed for the Triage Agent to work alone.</w:t>
      </w:r>
    </w:p>
    <w:p>
      <w:pPr>
        <w:pStyle w:val="Heading1"/>
        <w:spacing w:after="150" w:before="300"/>
      </w:pPr>
      <w:r>
        <w:t xml:space="preserve">6. Part B — Final Production Model (Combined Data, 3-Tier)</w:t>
      </w:r>
    </w:p>
    <w:p>
      <w:pPr>
        <w:spacing w:after="120"/>
      </w:pPr>
      <w:r>
        <w:t xml:space="preserve">Two requirements drove this part: pool every available dataset into one shared model (not one model per source), and collapse the output to 3 tiers (low/medium/high), since that is what the Clinical Reasoning Agent's escalation decision actually needs — and a coarser scale is the natural common ground across triage instruments from different countries.</w:t>
      </w:r>
    </w:p>
    <w:p>
      <w:pPr>
        <w:pStyle w:val="Heading2"/>
        <w:spacing w:after="120" w:before="240"/>
      </w:pPr>
      <w:r>
        <w:t xml:space="preserve">6.1 Data-quality bug found and fixed: Iran ED leakage</w:t>
      </w:r>
    </w:p>
    <w:p>
      <w:pPr>
        <w:spacing w:after="120"/>
      </w:pPr>
      <w:r>
        <w:t xml:space="preserve">A first pass combining both sources' vitals, plus Iran ED's AVPU/CriticalStatus/StuporStatus fields, produced 75% overall accuracy — a number that turned out to be fake. The tell: accuracy was 98% on the Iran-only test slice vs. 62% on the NHAMCS-only slice, and hypoxia_flag alone carried 52% of feature importance. Investigation revealed every vital-sign field (and AVPU) is populated for &gt;90% of one specific triage grade and &lt;5% of the rest — a documentation-workflow artifact of that hospital's data extract, not physiology. Including these fields let the model learn “was this field recorded at all” as a shortcut proxy for the label.</w:t>
      </w:r>
    </w:p>
    <w:p>
      <w:pPr>
        <w:spacing w:after="120"/>
      </w:pPr>
      <w:r>
        <w:t xml:space="preserve">Fix: every Iran-sourced vital, AVPU, and pain-scale value is nulled out before training — only age, sex, and arrival mode survive from that source. This costs most of what made Iran ED look valuable, but the alternative was reporting a number that didn't mean anything.</w:t>
      </w:r>
    </w:p>
    <w:p>
      <w:pPr>
        <w:pStyle w:val="Heading2"/>
        <w:spacing w:after="120" w:before="240"/>
      </w:pPr>
      <w:r>
        <w:t xml:space="preserve">6.2 Data-quality bug found and fixed: Iran ED temporal drift</w:t>
      </w:r>
    </w:p>
    <w:p>
      <w:pPr>
        <w:spacing w:after="120"/>
      </w:pPr>
      <w:r>
        <w:t xml:space="preserve">After the leakage fix, the model scored worse than trivially guessing Iran ED's own majority class (68% vs. a 79% baseline). Diagnosis: Iran ED's real-world grading has drifted sharply over time — the fraction graded “high” rises from ~50–60% in 2017–2019 to ~72–84% in 2020–2022 (plausibly a COVID-era practice shift; the source paper is paywalled so the exact cause is unconfirmed). The model trained on that blended history and under-predicted “high” for the most recent year.</w:t>
      </w:r>
    </w:p>
    <w:p>
      <w:pPr>
        <w:spacing w:after="120"/>
      </w:pPr>
      <w:r>
        <w:t xml:space="preserve">Fix: year, previously used only to define the train/test split, was added as an actual model input. This let the model learn the drift instead of being blind to it — Iran ED reached ~79%, matching its own baseline, without costing NHAMCS anything measurable.</w:t>
      </w:r>
    </w:p>
    <w:p>
      <w:pPr>
        <w:pStyle w:val="Heading2"/>
        <w:spacing w:after="120" w:before="240"/>
      </w:pPr>
      <w:r>
        <w:t xml:space="preserve">6.3 Model architecture validated empirically, not assumed</w:t>
      </w:r>
    </w:p>
    <w:p>
      <w:pPr>
        <w:spacing w:after="120"/>
      </w:pPr>
      <w:r>
        <w:t xml:space="preserve">Before accepting XGBoost as final, three alternatives were tested on the identical pooled data and feature 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900"/>
      </w:tblGrid>
      <w:tr>
        <w:trPr>
          <w:tblHeader/>
        </w:trPr>
        <w:tc>
          <w:tcPr>
            <w:tcW w:type="dxa" w:w="3000"/>
            <w:shd w:fill="D9D9D9" w:val="clear"/>
            <w:tcMar>
              <w:top w:type="dxa" w:w="80"/>
              <w:left w:type="dxa" w:w="100"/>
              <w:bottom w:type="dxa" w:w="80"/>
              <w:right w:type="dxa" w:w="100"/>
            </w:tcMar>
          </w:tcPr>
          <w:p>
            <w:r>
              <w:rPr>
                <w:b/>
                <w:bCs/>
              </w:rPr>
              <w:t xml:space="preserve">Model</w:t>
            </w:r>
          </w:p>
        </w:tc>
        <w:tc>
          <w:tcPr>
            <w:tcW w:type="dxa" w:w="2700"/>
            <w:shd w:fill="D9D9D9" w:val="clear"/>
            <w:tcMar>
              <w:top w:type="dxa" w:w="80"/>
              <w:left w:type="dxa" w:w="100"/>
              <w:bottom w:type="dxa" w:w="80"/>
              <w:right w:type="dxa" w:w="100"/>
            </w:tcMar>
          </w:tcPr>
          <w:p>
            <w:r>
              <w:rPr>
                <w:b/>
                <w:bCs/>
              </w:rPr>
              <w:t xml:space="preserve">Overall accuracy</w:t>
            </w:r>
          </w:p>
        </w:tc>
        <w:tc>
          <w:tcPr>
            <w:tcW w:type="dxa" w:w="3900"/>
            <w:shd w:fill="D9D9D9" w:val="clear"/>
            <w:tcMar>
              <w:top w:type="dxa" w:w="80"/>
              <w:left w:type="dxa" w:w="100"/>
              <w:bottom w:type="dxa" w:w="80"/>
              <w:right w:type="dxa" w:w="100"/>
            </w:tcMar>
          </w:tcPr>
          <w:p>
            <w:r>
              <w:rPr>
                <w:b/>
                <w:bCs/>
              </w:rPr>
              <w:t xml:space="preserve">NHAMCS-subset accuracy</w:t>
            </w:r>
          </w:p>
        </w:tc>
      </w:tr>
      <w:tr>
        <w:tc>
          <w:tcPr>
            <w:tcW w:type="dxa" w:w="3000"/>
            <w:tcMar>
              <w:top w:type="dxa" w:w="80"/>
              <w:left w:type="dxa" w:w="100"/>
              <w:bottom w:type="dxa" w:w="80"/>
              <w:right w:type="dxa" w:w="100"/>
            </w:tcMar>
          </w:tcPr>
          <w:p>
            <w:r>
              <w:rPr>
                <w:b w:val="false"/>
                <w:bCs w:val="false"/>
              </w:rPr>
              <w:t xml:space="preserve">Logistic Regression</w:t>
            </w:r>
          </w:p>
        </w:tc>
        <w:tc>
          <w:tcPr>
            <w:tcW w:type="dxa" w:w="2700"/>
            <w:tcMar>
              <w:top w:type="dxa" w:w="80"/>
              <w:left w:type="dxa" w:w="100"/>
              <w:bottom w:type="dxa" w:w="80"/>
              <w:right w:type="dxa" w:w="100"/>
            </w:tcMar>
          </w:tcPr>
          <w:p>
            <w:r>
              <w:rPr>
                <w:b w:val="false"/>
                <w:bCs w:val="false"/>
              </w:rPr>
              <w:t xml:space="preserve">51.7%</w:t>
            </w:r>
          </w:p>
        </w:tc>
        <w:tc>
          <w:tcPr>
            <w:tcW w:type="dxa" w:w="3900"/>
            <w:tcMar>
              <w:top w:type="dxa" w:w="80"/>
              <w:left w:type="dxa" w:w="100"/>
              <w:bottom w:type="dxa" w:w="80"/>
              <w:right w:type="dxa" w:w="100"/>
            </w:tcMar>
          </w:tcPr>
          <w:p>
            <w:r>
              <w:rPr>
                <w:b w:val="false"/>
                <w:bCs w:val="false"/>
              </w:rPr>
              <w:t xml:space="preserve">48.9% (below the 52.3% majority baseline)</w:t>
            </w:r>
          </w:p>
        </w:tc>
      </w:tr>
      <w:tr>
        <w:tc>
          <w:tcPr>
            <w:tcW w:type="dxa" w:w="3000"/>
            <w:tcMar>
              <w:top w:type="dxa" w:w="80"/>
              <w:left w:type="dxa" w:w="100"/>
              <w:bottom w:type="dxa" w:w="80"/>
              <w:right w:type="dxa" w:w="100"/>
            </w:tcMar>
          </w:tcPr>
          <w:p>
            <w:r>
              <w:rPr>
                <w:b w:val="false"/>
                <w:bCs w:val="false"/>
              </w:rPr>
              <w:t xml:space="preserve">Random Forest</w:t>
            </w:r>
          </w:p>
        </w:tc>
        <w:tc>
          <w:tcPr>
            <w:tcW w:type="dxa" w:w="2700"/>
            <w:tcMar>
              <w:top w:type="dxa" w:w="80"/>
              <w:left w:type="dxa" w:w="100"/>
              <w:bottom w:type="dxa" w:w="80"/>
              <w:right w:type="dxa" w:w="100"/>
            </w:tcMar>
          </w:tcPr>
          <w:p>
            <w:r>
              <w:rPr>
                <w:b w:val="false"/>
                <w:bCs w:val="false"/>
              </w:rPr>
              <w:t xml:space="preserve">51.4%</w:t>
            </w:r>
          </w:p>
        </w:tc>
        <w:tc>
          <w:tcPr>
            <w:tcW w:type="dxa" w:w="3900"/>
            <w:tcMar>
              <w:top w:type="dxa" w:w="80"/>
              <w:left w:type="dxa" w:w="100"/>
              <w:bottom w:type="dxa" w:w="80"/>
              <w:right w:type="dxa" w:w="100"/>
            </w:tcMar>
          </w:tcPr>
          <w:p>
            <w:r>
              <w:rPr>
                <w:b w:val="false"/>
                <w:bCs w:val="false"/>
              </w:rPr>
              <w:t xml:space="preserve">50.3% (below baseline)</w:t>
            </w:r>
          </w:p>
        </w:tc>
      </w:tr>
      <w:tr>
        <w:tc>
          <w:tcPr>
            <w:tcW w:type="dxa" w:w="3000"/>
            <w:tcMar>
              <w:top w:type="dxa" w:w="80"/>
              <w:left w:type="dxa" w:w="100"/>
              <w:bottom w:type="dxa" w:w="80"/>
              <w:right w:type="dxa" w:w="100"/>
            </w:tcMar>
          </w:tcPr>
          <w:p>
            <w:r>
              <w:rPr>
                <w:b w:val="false"/>
                <w:bCs w:val="false"/>
              </w:rPr>
              <w:t xml:space="preserve">MLP (small neural net)</w:t>
            </w:r>
          </w:p>
        </w:tc>
        <w:tc>
          <w:tcPr>
            <w:tcW w:type="dxa" w:w="2700"/>
            <w:tcMar>
              <w:top w:type="dxa" w:w="80"/>
              <w:left w:type="dxa" w:w="100"/>
              <w:bottom w:type="dxa" w:w="80"/>
              <w:right w:type="dxa" w:w="100"/>
            </w:tcMar>
          </w:tcPr>
          <w:p>
            <w:r>
              <w:rPr>
                <w:b w:val="false"/>
                <w:bCs w:val="false"/>
              </w:rPr>
              <w:t xml:space="preserve">63.9%</w:t>
            </w:r>
          </w:p>
        </w:tc>
        <w:tc>
          <w:tcPr>
            <w:tcW w:type="dxa" w:w="3900"/>
            <w:tcMar>
              <w:top w:type="dxa" w:w="80"/>
              <w:left w:type="dxa" w:w="100"/>
              <w:bottom w:type="dxa" w:w="80"/>
              <w:right w:type="dxa" w:w="100"/>
            </w:tcMar>
          </w:tcPr>
          <w:p>
            <w:r>
              <w:rPr>
                <w:b w:val="false"/>
                <w:bCs w:val="false"/>
              </w:rPr>
              <w:t xml:space="preserve">55.0%</w:t>
            </w:r>
          </w:p>
        </w:tc>
      </w:tr>
      <w:tr>
        <w:tc>
          <w:tcPr>
            <w:tcW w:type="dxa" w:w="3000"/>
            <w:tcMar>
              <w:top w:type="dxa" w:w="80"/>
              <w:left w:type="dxa" w:w="100"/>
              <w:bottom w:type="dxa" w:w="80"/>
              <w:right w:type="dxa" w:w="100"/>
            </w:tcMar>
          </w:tcPr>
          <w:p>
            <w:r>
              <w:rPr>
                <w:b w:val="false"/>
                <w:bCs w:val="false"/>
              </w:rPr>
              <w:t xml:space="preserve">XGBoost (final model)</w:t>
            </w:r>
          </w:p>
        </w:tc>
        <w:tc>
          <w:tcPr>
            <w:tcW w:type="dxa" w:w="2700"/>
            <w:tcMar>
              <w:top w:type="dxa" w:w="80"/>
              <w:left w:type="dxa" w:w="100"/>
              <w:bottom w:type="dxa" w:w="80"/>
              <w:right w:type="dxa" w:w="100"/>
            </w:tcMar>
          </w:tcPr>
          <w:p>
            <w:r>
              <w:rPr>
                <w:b w:val="false"/>
                <w:bCs w:val="false"/>
              </w:rPr>
              <w:t xml:space="preserve">64.1%</w:t>
            </w:r>
          </w:p>
        </w:tc>
        <w:tc>
          <w:tcPr>
            <w:tcW w:type="dxa" w:w="3900"/>
            <w:tcMar>
              <w:top w:type="dxa" w:w="80"/>
              <w:left w:type="dxa" w:w="100"/>
              <w:bottom w:type="dxa" w:w="80"/>
              <w:right w:type="dxa" w:w="100"/>
            </w:tcMar>
          </w:tcPr>
          <w:p>
            <w:r>
              <w:rPr>
                <w:b w:val="false"/>
                <w:bCs w:val="false"/>
              </w:rPr>
              <w:t xml:space="preserve">61.8%</w:t>
            </w:r>
          </w:p>
        </w:tc>
      </w:tr>
    </w:tbl>
    <w:p>
      <w:pPr>
        <w:spacing w:after="120"/>
      </w:pPr>
      <w:r>
        <w:t xml:space="preserve"/>
      </w:r>
    </w:p>
    <w:p>
      <w:pPr>
        <w:spacing w:after="120"/>
      </w:pPr>
      <w:r>
        <w:t xml:space="preserve">Two of the three alternatives fell below the trivial majority-baseline on NHAMCS specifically. This is direct evidence — not a literature citation — that the accuracy ceiling is a data/label problem, not a model-capacity problem.</w:t>
      </w:r>
    </w:p>
    <w:p>
      <w:pPr>
        <w:pStyle w:val="Heading2"/>
        <w:spacing w:after="120" w:before="240"/>
      </w:pPr>
      <w:r>
        <w:t xml:space="preserve">6.4 Probability calibration</w:t>
      </w:r>
    </w:p>
    <w:p>
      <w:pPr>
        <w:spacing w:after="120"/>
      </w:pPr>
      <w:r>
        <w:t xml:space="preserve">The Clinical Reasoning Agent depends on trustworthy confidence, not just accuracy, to decide when to escalate. Platt (sigmoid) scaling was applied on top of the raw XGBoost output, calibrated on a held-out 15% slice of the training data (never seen by the base model, to avoid circularity).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800"/>
      </w:tblGrid>
      <w:tr>
        <w:trPr>
          <w:tblHeader/>
        </w:trPr>
        <w:tc>
          <w:tcPr>
            <w:tcW w:type="dxa" w:w="4000"/>
            <w:shd w:fill="D9D9D9" w:val="clear"/>
            <w:tcMar>
              <w:top w:type="dxa" w:w="80"/>
              <w:left w:type="dxa" w:w="100"/>
              <w:bottom w:type="dxa" w:w="80"/>
              <w:right w:type="dxa" w:w="100"/>
            </w:tcMar>
          </w:tcPr>
          <w:p>
            <w:r>
              <w:rPr>
                <w:b/>
                <w:bCs/>
              </w:rPr>
              <w:t xml:space="preserve">Metric</w:t>
            </w:r>
          </w:p>
        </w:tc>
        <w:tc>
          <w:tcPr>
            <w:tcW w:type="dxa" w:w="2800"/>
            <w:shd w:fill="D9D9D9" w:val="clear"/>
            <w:tcMar>
              <w:top w:type="dxa" w:w="80"/>
              <w:left w:type="dxa" w:w="100"/>
              <w:bottom w:type="dxa" w:w="80"/>
              <w:right w:type="dxa" w:w="100"/>
            </w:tcMar>
          </w:tcPr>
          <w:p>
            <w:r>
              <w:rPr>
                <w:b/>
                <w:bCs/>
              </w:rPr>
              <w:t xml:space="preserve">Raw XGBoost</w:t>
            </w:r>
          </w:p>
        </w:tc>
        <w:tc>
          <w:tcPr>
            <w:tcW w:type="dxa" w:w="2800"/>
            <w:shd w:fill="D9D9D9" w:val="clear"/>
            <w:tcMar>
              <w:top w:type="dxa" w:w="80"/>
              <w:left w:type="dxa" w:w="100"/>
              <w:bottom w:type="dxa" w:w="80"/>
              <w:right w:type="dxa" w:w="100"/>
            </w:tcMar>
          </w:tcPr>
          <w:p>
            <w:r>
              <w:rPr>
                <w:b/>
                <w:bCs/>
              </w:rPr>
              <w:t xml:space="preserve">Calibrated</w:t>
            </w:r>
          </w:p>
        </w:tc>
      </w:tr>
      <w:tr>
        <w:tc>
          <w:tcPr>
            <w:tcW w:type="dxa" w:w="4000"/>
            <w:tcMar>
              <w:top w:type="dxa" w:w="80"/>
              <w:left w:type="dxa" w:w="100"/>
              <w:bottom w:type="dxa" w:w="80"/>
              <w:right w:type="dxa" w:w="100"/>
            </w:tcMar>
          </w:tcPr>
          <w:p>
            <w:r>
              <w:rPr>
                <w:b w:val="false"/>
                <w:bCs w:val="false"/>
              </w:rPr>
              <w:t xml:space="preserve">Test accuracy</w:t>
            </w:r>
          </w:p>
        </w:tc>
        <w:tc>
          <w:tcPr>
            <w:tcW w:type="dxa" w:w="2800"/>
            <w:tcMar>
              <w:top w:type="dxa" w:w="80"/>
              <w:left w:type="dxa" w:w="100"/>
              <w:bottom w:type="dxa" w:w="80"/>
              <w:right w:type="dxa" w:w="100"/>
            </w:tcMar>
          </w:tcPr>
          <w:p>
            <w:r>
              <w:rPr>
                <w:b w:val="false"/>
                <w:bCs w:val="false"/>
              </w:rPr>
              <w:t xml:space="preserve">67.7%</w:t>
            </w:r>
          </w:p>
        </w:tc>
        <w:tc>
          <w:tcPr>
            <w:tcW w:type="dxa" w:w="2800"/>
            <w:tcMar>
              <w:top w:type="dxa" w:w="80"/>
              <w:left w:type="dxa" w:w="100"/>
              <w:bottom w:type="dxa" w:w="80"/>
              <w:right w:type="dxa" w:w="100"/>
            </w:tcMar>
          </w:tcPr>
          <w:p>
            <w:r>
              <w:rPr>
                <w:b w:val="false"/>
                <w:bCs w:val="false"/>
              </w:rPr>
              <w:t xml:space="preserve">68.2%</w:t>
            </w:r>
          </w:p>
        </w:tc>
      </w:tr>
      <w:tr>
        <w:tc>
          <w:tcPr>
            <w:tcW w:type="dxa" w:w="4000"/>
            <w:tcMar>
              <w:top w:type="dxa" w:w="80"/>
              <w:left w:type="dxa" w:w="100"/>
              <w:bottom w:type="dxa" w:w="80"/>
              <w:right w:type="dxa" w:w="100"/>
            </w:tcMar>
          </w:tcPr>
          <w:p>
            <w:r>
              <w:rPr>
                <w:b w:val="false"/>
                <w:bCs w:val="false"/>
              </w:rPr>
              <w:t xml:space="preserve">Expected Calibration Error (ECE)</w:t>
            </w:r>
          </w:p>
        </w:tc>
        <w:tc>
          <w:tcPr>
            <w:tcW w:type="dxa" w:w="2800"/>
            <w:tcMar>
              <w:top w:type="dxa" w:w="80"/>
              <w:left w:type="dxa" w:w="100"/>
              <w:bottom w:type="dxa" w:w="80"/>
              <w:right w:type="dxa" w:w="100"/>
            </w:tcMar>
          </w:tcPr>
          <w:p>
            <w:r>
              <w:rPr>
                <w:b w:val="false"/>
                <w:bCs w:val="false"/>
              </w:rPr>
              <w:t xml:space="preserve">4.41%</w:t>
            </w:r>
          </w:p>
        </w:tc>
        <w:tc>
          <w:tcPr>
            <w:tcW w:type="dxa" w:w="2800"/>
            <w:tcMar>
              <w:top w:type="dxa" w:w="80"/>
              <w:left w:type="dxa" w:w="100"/>
              <w:bottom w:type="dxa" w:w="80"/>
              <w:right w:type="dxa" w:w="100"/>
            </w:tcMar>
          </w:tcPr>
          <w:p>
            <w:r>
              <w:rPr>
                <w:b w:val="false"/>
                <w:bCs w:val="false"/>
              </w:rPr>
              <w:t xml:space="preserve">3.59%</w:t>
            </w:r>
          </w:p>
        </w:tc>
      </w:tr>
    </w:tbl>
    <w:p>
      <w:pPr>
        <w:spacing w:after="120"/>
      </w:pPr>
      <w:r>
        <w:t xml:space="preserve"/>
      </w:r>
    </w:p>
    <w:p>
      <w:pPr>
        <w:spacing w:after="120"/>
      </w:pPr>
      <w:r>
        <w:t xml:space="preserve">Accuracy is essentially unchanged, as expected — calibration reshapes probability values, it doesn't change what the model already learned. Gradient-boosted trees tend to be reasonably calibrated out of the box, which is why the improvement is real but modest.</w:t>
      </w:r>
    </w:p>
    <w:p>
      <w:pPr>
        <w:pStyle w:val="Heading2"/>
        <w:spacing w:after="120" w:before="240"/>
      </w:pPr>
      <w:r>
        <w:t xml:space="preserve">6.5 Final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400"/>
      </w:tblGrid>
      <w:tr>
        <w:trPr>
          <w:tblHeader/>
        </w:trPr>
        <w:tc>
          <w:tcPr>
            <w:tcW w:type="dxa" w:w="2200"/>
            <w:shd w:fill="D9D9D9" w:val="clear"/>
            <w:tcMar>
              <w:top w:type="dxa" w:w="80"/>
              <w:left w:type="dxa" w:w="100"/>
              <w:bottom w:type="dxa" w:w="80"/>
              <w:right w:type="dxa" w:w="100"/>
            </w:tcMar>
          </w:tcPr>
          <w:p>
            <w:r>
              <w:rPr>
                <w:b/>
                <w:bCs/>
              </w:rPr>
              <w:t xml:space="preserve">Source</w:t>
            </w:r>
          </w:p>
        </w:tc>
        <w:tc>
          <w:tcPr>
            <w:tcW w:type="dxa" w:w="2000"/>
            <w:shd w:fill="D9D9D9" w:val="clear"/>
            <w:tcMar>
              <w:top w:type="dxa" w:w="80"/>
              <w:left w:type="dxa" w:w="100"/>
              <w:bottom w:type="dxa" w:w="80"/>
              <w:right w:type="dxa" w:w="100"/>
            </w:tcMar>
          </w:tcPr>
          <w:p>
            <w:r>
              <w:rPr>
                <w:b/>
                <w:bCs/>
              </w:rPr>
              <w:t xml:space="preserve">Majority baseline</w:t>
            </w:r>
          </w:p>
        </w:tc>
        <w:tc>
          <w:tcPr>
            <w:tcW w:type="dxa" w:w="2000"/>
            <w:shd w:fill="D9D9D9" w:val="clear"/>
            <w:tcMar>
              <w:top w:type="dxa" w:w="80"/>
              <w:left w:type="dxa" w:w="100"/>
              <w:bottom w:type="dxa" w:w="80"/>
              <w:right w:type="dxa" w:w="100"/>
            </w:tcMar>
          </w:tcPr>
          <w:p>
            <w:r>
              <w:rPr>
                <w:b/>
                <w:bCs/>
              </w:rPr>
              <w:t xml:space="preserve">Model accuracy</w:t>
            </w:r>
          </w:p>
        </w:tc>
        <w:tc>
          <w:tcPr>
            <w:tcW w:type="dxa" w:w="3400"/>
            <w:shd w:fill="D9D9D9" w:val="clear"/>
            <w:tcMar>
              <w:top w:type="dxa" w:w="80"/>
              <w:left w:type="dxa" w:w="100"/>
              <w:bottom w:type="dxa" w:w="80"/>
              <w:right w:type="dxa" w:w="100"/>
            </w:tcMar>
          </w:tcPr>
          <w:p>
            <w:r>
              <w:rPr>
                <w:b/>
                <w:bCs/>
              </w:rPr>
              <w:t xml:space="preserve">Verdict</w:t>
            </w:r>
          </w:p>
        </w:tc>
      </w:tr>
      <w:tr>
        <w:tc>
          <w:tcPr>
            <w:tcW w:type="dxa" w:w="2200"/>
            <w:tcMar>
              <w:top w:type="dxa" w:w="80"/>
              <w:left w:type="dxa" w:w="100"/>
              <w:bottom w:type="dxa" w:w="80"/>
              <w:right w:type="dxa" w:w="100"/>
            </w:tcMar>
          </w:tcPr>
          <w:p>
            <w:r>
              <w:rPr>
                <w:b w:val="false"/>
                <w:bCs w:val="false"/>
              </w:rPr>
              <w:t xml:space="preserve">NHAMCS</w:t>
            </w:r>
          </w:p>
        </w:tc>
        <w:tc>
          <w:tcPr>
            <w:tcW w:type="dxa" w:w="2000"/>
            <w:tcMar>
              <w:top w:type="dxa" w:w="80"/>
              <w:left w:type="dxa" w:w="100"/>
              <w:bottom w:type="dxa" w:w="80"/>
              <w:right w:type="dxa" w:w="100"/>
            </w:tcMar>
          </w:tcPr>
          <w:p>
            <w:r>
              <w:rPr>
                <w:b w:val="false"/>
                <w:bCs w:val="false"/>
              </w:rPr>
              <w:t xml:space="preserve">52.3%</w:t>
            </w:r>
          </w:p>
        </w:tc>
        <w:tc>
          <w:tcPr>
            <w:tcW w:type="dxa" w:w="2000"/>
            <w:tcMar>
              <w:top w:type="dxa" w:w="80"/>
              <w:left w:type="dxa" w:w="100"/>
              <w:bottom w:type="dxa" w:w="80"/>
              <w:right w:type="dxa" w:w="100"/>
            </w:tcMar>
          </w:tcPr>
          <w:p>
            <w:r>
              <w:rPr>
                <w:b w:val="false"/>
                <w:bCs w:val="false"/>
              </w:rPr>
              <w:t xml:space="preserve">~62%</w:t>
            </w:r>
          </w:p>
        </w:tc>
        <w:tc>
          <w:tcPr>
            <w:tcW w:type="dxa" w:w="3400"/>
            <w:tcMar>
              <w:top w:type="dxa" w:w="80"/>
              <w:left w:type="dxa" w:w="100"/>
              <w:bottom w:type="dxa" w:w="80"/>
              <w:right w:type="dxa" w:w="100"/>
            </w:tcMar>
          </w:tcPr>
          <w:p>
            <w:r>
              <w:rPr>
                <w:b w:val="false"/>
                <w:bCs w:val="false"/>
              </w:rPr>
              <w:t xml:space="preserve">Genuine, non-trivial per-patient improvement</w:t>
            </w:r>
          </w:p>
        </w:tc>
      </w:tr>
      <w:tr>
        <w:tc>
          <w:tcPr>
            <w:tcW w:type="dxa" w:w="2200"/>
            <w:tcMar>
              <w:top w:type="dxa" w:w="80"/>
              <w:left w:type="dxa" w:w="100"/>
              <w:bottom w:type="dxa" w:w="80"/>
              <w:right w:type="dxa" w:w="100"/>
            </w:tcMar>
          </w:tcPr>
          <w:p>
            <w:r>
              <w:rPr>
                <w:b w:val="false"/>
                <w:bCs w:val="false"/>
              </w:rPr>
              <w:t xml:space="preserve">Iran ED</w:t>
            </w:r>
          </w:p>
        </w:tc>
        <w:tc>
          <w:tcPr>
            <w:tcW w:type="dxa" w:w="2000"/>
            <w:tcMar>
              <w:top w:type="dxa" w:w="80"/>
              <w:left w:type="dxa" w:w="100"/>
              <w:bottom w:type="dxa" w:w="80"/>
              <w:right w:type="dxa" w:w="100"/>
            </w:tcMar>
          </w:tcPr>
          <w:p>
            <w:r>
              <w:rPr>
                <w:b w:val="false"/>
                <w:bCs w:val="false"/>
              </w:rPr>
              <w:t xml:space="preserve">79.4%</w:t>
            </w:r>
          </w:p>
        </w:tc>
        <w:tc>
          <w:tcPr>
            <w:tcW w:type="dxa" w:w="2000"/>
            <w:tcMar>
              <w:top w:type="dxa" w:w="80"/>
              <w:left w:type="dxa" w:w="100"/>
              <w:bottom w:type="dxa" w:w="80"/>
              <w:right w:type="dxa" w:w="100"/>
            </w:tcMar>
          </w:tcPr>
          <w:p>
            <w:r>
              <w:rPr>
                <w:b w:val="false"/>
                <w:bCs w:val="false"/>
              </w:rPr>
              <w:t xml:space="preserve">~79%</w:t>
            </w:r>
          </w:p>
        </w:tc>
        <w:tc>
          <w:tcPr>
            <w:tcW w:type="dxa" w:w="3400"/>
            <w:tcMar>
              <w:top w:type="dxa" w:w="80"/>
              <w:left w:type="dxa" w:w="100"/>
              <w:bottom w:type="dxa" w:w="80"/>
              <w:right w:type="dxa" w:w="100"/>
            </w:tcMar>
          </w:tcPr>
          <w:p>
            <w:r>
              <w:rPr>
                <w:b w:val="false"/>
                <w:bCs w:val="false"/>
              </w:rPr>
              <w:t xml:space="preserve">Matches baseline — not clearly better than guessing, but no longer worse</w:t>
            </w:r>
          </w:p>
        </w:tc>
      </w:tr>
      <w:tr>
        <w:tc>
          <w:tcPr>
            <w:tcW w:type="dxa" w:w="2200"/>
            <w:tcMar>
              <w:top w:type="dxa" w:w="80"/>
              <w:left w:type="dxa" w:w="100"/>
              <w:bottom w:type="dxa" w:w="80"/>
              <w:right w:type="dxa" w:w="100"/>
            </w:tcMar>
          </w:tcPr>
          <w:p>
            <w:r>
              <w:rPr>
                <w:b w:val="false"/>
                <w:bCs w:val="false"/>
              </w:rPr>
              <w:t xml:space="preserve">MC-MED</w:t>
            </w:r>
          </w:p>
        </w:tc>
        <w:tc>
          <w:tcPr>
            <w:tcW w:type="dxa" w:w="2000"/>
            <w:tcMar>
              <w:top w:type="dxa" w:w="80"/>
              <w:left w:type="dxa" w:w="100"/>
              <w:bottom w:type="dxa" w:w="80"/>
              <w:right w:type="dxa" w:w="100"/>
            </w:tcMar>
          </w:tcPr>
          <w:p>
            <w:r>
              <w:rPr>
                <w:b w:val="false"/>
                <w:bCs w:val="false"/>
              </w:rPr>
              <w:t xml:space="preserve">65.2%</w:t>
            </w:r>
          </w:p>
        </w:tc>
        <w:tc>
          <w:tcPr>
            <w:tcW w:type="dxa" w:w="2000"/>
            <w:tcMar>
              <w:top w:type="dxa" w:w="80"/>
              <w:left w:type="dxa" w:w="100"/>
              <w:bottom w:type="dxa" w:w="80"/>
              <w:right w:type="dxa" w:w="100"/>
            </w:tcMar>
          </w:tcPr>
          <w:p>
            <w:r>
              <w:rPr>
                <w:b w:val="false"/>
                <w:bCs w:val="false"/>
              </w:rPr>
              <w:t xml:space="preserve">~65–71%</w:t>
            </w:r>
          </w:p>
        </w:tc>
        <w:tc>
          <w:tcPr>
            <w:tcW w:type="dxa" w:w="3400"/>
            <w:tcMar>
              <w:top w:type="dxa" w:w="80"/>
              <w:left w:type="dxa" w:w="100"/>
              <w:bottom w:type="dxa" w:w="80"/>
              <w:right w:type="dxa" w:w="100"/>
            </w:tcMar>
          </w:tcPr>
          <w:p>
            <w:r>
              <w:rPr>
                <w:b w:val="false"/>
                <w:bCs w:val="false"/>
              </w:rPr>
              <w:t xml:space="preserve">Small real gain (tiny test slice, ~70 rows)</w:t>
            </w:r>
          </w:p>
        </w:tc>
      </w:tr>
      <w:tr>
        <w:tc>
          <w:tcPr>
            <w:tcW w:type="dxa" w:w="2200"/>
            <w:tcMar>
              <w:top w:type="dxa" w:w="80"/>
              <w:left w:type="dxa" w:w="100"/>
              <w:bottom w:type="dxa" w:w="80"/>
              <w:right w:type="dxa" w:w="100"/>
            </w:tcMar>
          </w:tcPr>
          <w:p>
            <w:r>
              <w:rPr>
                <w:b w:val="false"/>
                <w:bCs w:val="false"/>
              </w:rPr>
              <w:t xml:space="preserve">Overall (pooled)</w:t>
            </w:r>
          </w:p>
        </w:tc>
        <w:tc>
          <w:tcPr>
            <w:tcW w:type="dxa" w:w="2000"/>
            <w:tcMar>
              <w:top w:type="dxa" w:w="80"/>
              <w:left w:type="dxa" w:w="100"/>
              <w:bottom w:type="dxa" w:w="80"/>
              <w:right w:type="dxa" w:w="100"/>
            </w:tcMar>
          </w:tcPr>
          <w:p>
            <w:r>
              <w:rPr>
                <w:b w:val="false"/>
                <w:bCs w:val="false"/>
              </w:rPr>
              <w:t xml:space="preserve">—</w:t>
            </w:r>
          </w:p>
        </w:tc>
        <w:tc>
          <w:tcPr>
            <w:tcW w:type="dxa" w:w="2000"/>
            <w:tcMar>
              <w:top w:type="dxa" w:w="80"/>
              <w:left w:type="dxa" w:w="100"/>
              <w:bottom w:type="dxa" w:w="80"/>
              <w:right w:type="dxa" w:w="100"/>
            </w:tcMar>
          </w:tcPr>
          <w:p>
            <w:r>
              <w:rPr>
                <w:b w:val="false"/>
                <w:bCs w:val="false"/>
              </w:rPr>
              <w:t xml:space="preserve">68%</w:t>
            </w:r>
          </w:p>
        </w:tc>
        <w:tc>
          <w:tcPr>
            <w:tcW w:type="dxa" w:w="3400"/>
            <w:tcMar>
              <w:top w:type="dxa" w:w="80"/>
              <w:left w:type="dxa" w:w="100"/>
              <w:bottom w:type="dxa" w:w="80"/>
              <w:right w:type="dxa" w:w="100"/>
            </w:tcMar>
          </w:tcPr>
          <w:p>
            <w:r>
              <w:rPr>
                <w:b w:val="false"/>
                <w:bCs w:val="false"/>
              </w:rPr>
              <w:t xml:space="preserve">Blends genuinely different per-source outcomes — only the NHAMCS result should be read as “this model got better”</w:t>
            </w:r>
          </w:p>
        </w:tc>
      </w:tr>
    </w:tbl>
    <w:p>
      <w:pPr>
        <w:pStyle w:val="Heading1"/>
        <w:spacing w:after="150" w:before="300"/>
      </w:pPr>
      <w:r>
        <w:t xml:space="preserve">7. Sanity Check: Hand-Crafted Clinical Cases</w:t>
      </w:r>
    </w:p>
    <w:p>
      <w:pPr>
        <w:spacing w:after="120"/>
      </w:pPr>
      <w:r>
        <w:t xml:space="preserve">Aggregate accuracy answers “does this beat guessing” across 16,000 test rows — it doesn't directly show whether the model reacts to a patient's condition the way a triage classifier should. Five clinically-constructed patients spanning the acuity spectrum were run through the production inference function and checked against what a person would obviously call each case. This is a sanity check, not a substitute for the aggregate metrics — 5 cases cannot replace a 16,000-row test set.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1200"/>
        <w:gridCol w:w="1200"/>
        <w:gridCol w:w="1000"/>
      </w:tblGrid>
      <w:tr>
        <w:trPr>
          <w:tblHeader/>
        </w:trPr>
        <w:tc>
          <w:tcPr>
            <w:tcW w:type="dxa" w:w="4600"/>
            <w:shd w:fill="D9D9D9" w:val="clear"/>
            <w:tcMar>
              <w:top w:type="dxa" w:w="80"/>
              <w:left w:type="dxa" w:w="100"/>
              <w:bottom w:type="dxa" w:w="80"/>
              <w:right w:type="dxa" w:w="100"/>
            </w:tcMar>
          </w:tcPr>
          <w:p>
            <w:r>
              <w:rPr>
                <w:b/>
                <w:bCs/>
              </w:rPr>
              <w:t xml:space="preserve">Case</w:t>
            </w:r>
          </w:p>
        </w:tc>
        <w:tc>
          <w:tcPr>
            <w:tcW w:type="dxa" w:w="1200"/>
            <w:shd w:fill="D9D9D9" w:val="clear"/>
            <w:tcMar>
              <w:top w:type="dxa" w:w="80"/>
              <w:left w:type="dxa" w:w="100"/>
              <w:bottom w:type="dxa" w:w="80"/>
              <w:right w:type="dxa" w:w="100"/>
            </w:tcMar>
          </w:tcPr>
          <w:p>
            <w:r>
              <w:rPr>
                <w:b/>
                <w:bCs/>
              </w:rPr>
              <w:t xml:space="preserve">Expected</w:t>
            </w:r>
          </w:p>
        </w:tc>
        <w:tc>
          <w:tcPr>
            <w:tcW w:type="dxa" w:w="1200"/>
            <w:shd w:fill="D9D9D9" w:val="clear"/>
            <w:tcMar>
              <w:top w:type="dxa" w:w="80"/>
              <w:left w:type="dxa" w:w="100"/>
              <w:bottom w:type="dxa" w:w="80"/>
              <w:right w:type="dxa" w:w="100"/>
            </w:tcMar>
          </w:tcPr>
          <w:p>
            <w:r>
              <w:rPr>
                <w:b/>
                <w:bCs/>
              </w:rPr>
              <w:t xml:space="preserve">Predicted</w:t>
            </w:r>
          </w:p>
        </w:tc>
        <w:tc>
          <w:tcPr>
            <w:tcW w:type="dxa" w:w="1200"/>
            <w:shd w:fill="D9D9D9" w:val="clear"/>
            <w:tcMar>
              <w:top w:type="dxa" w:w="80"/>
              <w:left w:type="dxa" w:w="100"/>
              <w:bottom w:type="dxa" w:w="80"/>
              <w:right w:type="dxa" w:w="100"/>
            </w:tcMar>
          </w:tcPr>
          <w:p>
            <w:r>
              <w:rPr>
                <w:b/>
                <w:bCs/>
              </w:rPr>
              <w:t xml:space="preserve">Confidence</w:t>
            </w:r>
          </w:p>
        </w:tc>
        <w:tc>
          <w:tcPr>
            <w:tcW w:type="dxa" w:w="1000"/>
            <w:shd w:fill="D9D9D9" w:val="clear"/>
            <w:tcMar>
              <w:top w:type="dxa" w:w="80"/>
              <w:left w:type="dxa" w:w="100"/>
              <w:bottom w:type="dxa" w:w="80"/>
              <w:right w:type="dxa" w:w="100"/>
            </w:tcMar>
          </w:tcPr>
          <w:p>
            <w:r>
              <w:rPr>
                <w:b/>
                <w:bCs/>
              </w:rPr>
              <w:t xml:space="preserve">Match</w:t>
            </w:r>
          </w:p>
        </w:tc>
      </w:tr>
      <w:tr>
        <w:tc>
          <w:tcPr>
            <w:tcW w:type="dxa" w:w="4600"/>
            <w:tcMar>
              <w:top w:type="dxa" w:w="80"/>
              <w:left w:type="dxa" w:w="100"/>
              <w:bottom w:type="dxa" w:w="80"/>
              <w:right w:type="dxa" w:w="100"/>
            </w:tcMar>
          </w:tcPr>
          <w:p>
            <w:r>
              <w:rPr>
                <w:b w:val="false"/>
                <w:bCs w:val="false"/>
              </w:rPr>
              <w:t xml:space="preserve">Healthy young adult, minor ankle sprain, walk-in</w:t>
            </w:r>
          </w:p>
        </w:tc>
        <w:tc>
          <w:tcPr>
            <w:tcW w:type="dxa" w:w="1200"/>
            <w:tcMar>
              <w:top w:type="dxa" w:w="80"/>
              <w:left w:type="dxa" w:w="100"/>
              <w:bottom w:type="dxa" w:w="80"/>
              <w:right w:type="dxa" w:w="100"/>
            </w:tcMar>
          </w:tcPr>
          <w:p>
            <w:r>
              <w:rPr>
                <w:b w:val="false"/>
                <w:bCs w:val="false"/>
              </w:rPr>
              <w:t xml:space="preserve">low</w:t>
            </w:r>
          </w:p>
        </w:tc>
        <w:tc>
          <w:tcPr>
            <w:tcW w:type="dxa" w:w="1200"/>
            <w:tcMar>
              <w:top w:type="dxa" w:w="80"/>
              <w:left w:type="dxa" w:w="100"/>
              <w:bottom w:type="dxa" w:w="80"/>
              <w:right w:type="dxa" w:w="100"/>
            </w:tcMar>
          </w:tcPr>
          <w:p>
            <w:r>
              <w:rPr>
                <w:b w:val="false"/>
                <w:bCs w:val="false"/>
              </w:rPr>
              <w:t xml:space="preserve">low</w:t>
            </w:r>
          </w:p>
        </w:tc>
        <w:tc>
          <w:tcPr>
            <w:tcW w:type="dxa" w:w="1200"/>
            <w:tcMar>
              <w:top w:type="dxa" w:w="80"/>
              <w:left w:type="dxa" w:w="100"/>
              <w:bottom w:type="dxa" w:w="80"/>
              <w:right w:type="dxa" w:w="100"/>
            </w:tcMar>
          </w:tcPr>
          <w:p>
            <w:r>
              <w:rPr>
                <w:b w:val="false"/>
                <w:bCs w:val="false"/>
              </w:rPr>
              <w:t xml:space="preserve">52.2%</w:t>
            </w:r>
          </w:p>
        </w:tc>
        <w:tc>
          <w:tcPr>
            <w:tcW w:type="dxa" w:w="1000"/>
            <w:tcMar>
              <w:top w:type="dxa" w:w="80"/>
              <w:left w:type="dxa" w:w="100"/>
              <w:bottom w:type="dxa" w:w="80"/>
              <w:right w:type="dxa" w:w="100"/>
            </w:tcMar>
          </w:tcPr>
          <w:p>
            <w:r>
              <w:rPr>
                <w:b w:val="false"/>
                <w:bCs w:val="false"/>
              </w:rPr>
              <w:t xml:space="preserve">Yes</w:t>
            </w:r>
          </w:p>
        </w:tc>
      </w:tr>
      <w:tr>
        <w:tc>
          <w:tcPr>
            <w:tcW w:type="dxa" w:w="4600"/>
            <w:tcMar>
              <w:top w:type="dxa" w:w="80"/>
              <w:left w:type="dxa" w:w="100"/>
              <w:bottom w:type="dxa" w:w="80"/>
              <w:right w:type="dxa" w:w="100"/>
            </w:tcMar>
          </w:tcPr>
          <w:p>
            <w:r>
              <w:rPr>
                <w:b w:val="false"/>
                <w:bCs w:val="false"/>
              </w:rPr>
              <w:t xml:space="preserve">Middle-aged, moderate abdominal pain, stable vitals, walk-in</w:t>
            </w:r>
          </w:p>
        </w:tc>
        <w:tc>
          <w:tcPr>
            <w:tcW w:type="dxa" w:w="1200"/>
            <w:tcMar>
              <w:top w:type="dxa" w:w="80"/>
              <w:left w:type="dxa" w:w="100"/>
              <w:bottom w:type="dxa" w:w="80"/>
              <w:right w:type="dxa" w:w="100"/>
            </w:tcMar>
          </w:tcPr>
          <w:p>
            <w:r>
              <w:rPr>
                <w:b w:val="false"/>
                <w:bCs w:val="false"/>
              </w:rPr>
              <w:t xml:space="preserve">medium</w:t>
            </w:r>
          </w:p>
        </w:tc>
        <w:tc>
          <w:tcPr>
            <w:tcW w:type="dxa" w:w="1200"/>
            <w:tcMar>
              <w:top w:type="dxa" w:w="80"/>
              <w:left w:type="dxa" w:w="100"/>
              <w:bottom w:type="dxa" w:w="80"/>
              <w:right w:type="dxa" w:w="100"/>
            </w:tcMar>
          </w:tcPr>
          <w:p>
            <w:r>
              <w:rPr>
                <w:b w:val="false"/>
                <w:bCs w:val="false"/>
              </w:rPr>
              <w:t xml:space="preserve">medium</w:t>
            </w:r>
          </w:p>
        </w:tc>
        <w:tc>
          <w:tcPr>
            <w:tcW w:type="dxa" w:w="1200"/>
            <w:tcMar>
              <w:top w:type="dxa" w:w="80"/>
              <w:left w:type="dxa" w:w="100"/>
              <w:bottom w:type="dxa" w:w="80"/>
              <w:right w:type="dxa" w:w="100"/>
            </w:tcMar>
          </w:tcPr>
          <w:p>
            <w:r>
              <w:rPr>
                <w:b w:val="false"/>
                <w:bCs w:val="false"/>
              </w:rPr>
              <w:t xml:space="preserve">47.8%</w:t>
            </w:r>
          </w:p>
        </w:tc>
        <w:tc>
          <w:tcPr>
            <w:tcW w:type="dxa" w:w="1000"/>
            <w:tcMar>
              <w:top w:type="dxa" w:w="80"/>
              <w:left w:type="dxa" w:w="100"/>
              <w:bottom w:type="dxa" w:w="80"/>
              <w:right w:type="dxa" w:w="100"/>
            </w:tcMar>
          </w:tcPr>
          <w:p>
            <w:r>
              <w:rPr>
                <w:b w:val="false"/>
                <w:bCs w:val="false"/>
              </w:rPr>
              <w:t xml:space="preserve">Yes</w:t>
            </w:r>
          </w:p>
        </w:tc>
      </w:tr>
      <w:tr>
        <w:tc>
          <w:tcPr>
            <w:tcW w:type="dxa" w:w="4600"/>
            <w:tcMar>
              <w:top w:type="dxa" w:w="80"/>
              <w:left w:type="dxa" w:w="100"/>
              <w:bottom w:type="dxa" w:w="80"/>
              <w:right w:type="dxa" w:w="100"/>
            </w:tcMar>
          </w:tcPr>
          <w:p>
            <w:r>
              <w:rPr>
                <w:b w:val="false"/>
                <w:bCs w:val="false"/>
              </w:rPr>
              <w:t xml:space="preserve">Elderly, tachycardic + hypotensive + hypoxic, ambulance (septic-shock-like)</w:t>
            </w:r>
          </w:p>
        </w:tc>
        <w:tc>
          <w:tcPr>
            <w:tcW w:type="dxa" w:w="1200"/>
            <w:tcMar>
              <w:top w:type="dxa" w:w="80"/>
              <w:left w:type="dxa" w:w="100"/>
              <w:bottom w:type="dxa" w:w="80"/>
              <w:right w:type="dxa" w:w="100"/>
            </w:tcMar>
          </w:tcPr>
          <w:p>
            <w:r>
              <w:rPr>
                <w:b w:val="false"/>
                <w:bCs w:val="false"/>
              </w:rPr>
              <w:t xml:space="preserve">high</w:t>
            </w:r>
          </w:p>
        </w:tc>
        <w:tc>
          <w:tcPr>
            <w:tcW w:type="dxa" w:w="1200"/>
            <w:tcMar>
              <w:top w:type="dxa" w:w="80"/>
              <w:left w:type="dxa" w:w="100"/>
              <w:bottom w:type="dxa" w:w="80"/>
              <w:right w:type="dxa" w:w="100"/>
            </w:tcMar>
          </w:tcPr>
          <w:p>
            <w:r>
              <w:rPr>
                <w:b w:val="false"/>
                <w:bCs w:val="false"/>
              </w:rPr>
              <w:t xml:space="preserve">high</w:t>
            </w:r>
          </w:p>
        </w:tc>
        <w:tc>
          <w:tcPr>
            <w:tcW w:type="dxa" w:w="1200"/>
            <w:tcMar>
              <w:top w:type="dxa" w:w="80"/>
              <w:left w:type="dxa" w:w="100"/>
              <w:bottom w:type="dxa" w:w="80"/>
              <w:right w:type="dxa" w:w="100"/>
            </w:tcMar>
          </w:tcPr>
          <w:p>
            <w:r>
              <w:rPr>
                <w:b w:val="false"/>
                <w:bCs w:val="false"/>
              </w:rPr>
              <w:t xml:space="preserve">83.2%</w:t>
            </w:r>
          </w:p>
        </w:tc>
        <w:tc>
          <w:tcPr>
            <w:tcW w:type="dxa" w:w="1000"/>
            <w:tcMar>
              <w:top w:type="dxa" w:w="80"/>
              <w:left w:type="dxa" w:w="100"/>
              <w:bottom w:type="dxa" w:w="80"/>
              <w:right w:type="dxa" w:w="100"/>
            </w:tcMar>
          </w:tcPr>
          <w:p>
            <w:r>
              <w:rPr>
                <w:b w:val="false"/>
                <w:bCs w:val="false"/>
              </w:rPr>
              <w:t xml:space="preserve">Yes</w:t>
            </w:r>
          </w:p>
        </w:tc>
      </w:tr>
      <w:tr>
        <w:tc>
          <w:tcPr>
            <w:tcW w:type="dxa" w:w="4600"/>
            <w:tcMar>
              <w:top w:type="dxa" w:w="80"/>
              <w:left w:type="dxa" w:w="100"/>
              <w:bottom w:type="dxa" w:w="80"/>
              <w:right w:type="dxa" w:w="100"/>
            </w:tcMar>
          </w:tcPr>
          <w:p>
            <w:r>
              <w:rPr>
                <w:b w:val="false"/>
                <w:bCs w:val="false"/>
              </w:rPr>
              <w:t xml:space="preserve">Elderly, ambulance arrival, severe chest pain, tachycardic</w:t>
            </w:r>
          </w:p>
        </w:tc>
        <w:tc>
          <w:tcPr>
            <w:tcW w:type="dxa" w:w="1200"/>
            <w:tcMar>
              <w:top w:type="dxa" w:w="80"/>
              <w:left w:type="dxa" w:w="100"/>
              <w:bottom w:type="dxa" w:w="80"/>
              <w:right w:type="dxa" w:w="100"/>
            </w:tcMar>
          </w:tcPr>
          <w:p>
            <w:r>
              <w:rPr>
                <w:b w:val="false"/>
                <w:bCs w:val="false"/>
              </w:rPr>
              <w:t xml:space="preserve">high</w:t>
            </w:r>
          </w:p>
        </w:tc>
        <w:tc>
          <w:tcPr>
            <w:tcW w:type="dxa" w:w="1200"/>
            <w:tcMar>
              <w:top w:type="dxa" w:w="80"/>
              <w:left w:type="dxa" w:w="100"/>
              <w:bottom w:type="dxa" w:w="80"/>
              <w:right w:type="dxa" w:w="100"/>
            </w:tcMar>
          </w:tcPr>
          <w:p>
            <w:r>
              <w:rPr>
                <w:b w:val="false"/>
                <w:bCs w:val="false"/>
              </w:rPr>
              <w:t xml:space="preserve">medium</w:t>
            </w:r>
          </w:p>
        </w:tc>
        <w:tc>
          <w:tcPr>
            <w:tcW w:type="dxa" w:w="1200"/>
            <w:tcMar>
              <w:top w:type="dxa" w:w="80"/>
              <w:left w:type="dxa" w:w="100"/>
              <w:bottom w:type="dxa" w:w="80"/>
              <w:right w:type="dxa" w:w="100"/>
            </w:tcMar>
          </w:tcPr>
          <w:p>
            <w:r>
              <w:rPr>
                <w:b w:val="false"/>
                <w:bCs w:val="false"/>
              </w:rPr>
              <w:t xml:space="preserve">61.9%</w:t>
            </w:r>
          </w:p>
        </w:tc>
        <w:tc>
          <w:tcPr>
            <w:tcW w:type="dxa" w:w="1000"/>
            <w:tcMar>
              <w:top w:type="dxa" w:w="80"/>
              <w:left w:type="dxa" w:w="100"/>
              <w:bottom w:type="dxa" w:w="80"/>
              <w:right w:type="dxa" w:w="100"/>
            </w:tcMar>
          </w:tcPr>
          <w:p>
            <w:r>
              <w:rPr>
                <w:b w:val="false"/>
                <w:bCs w:val="false"/>
              </w:rPr>
              <w:t xml:space="preserve">No</w:t>
            </w:r>
          </w:p>
        </w:tc>
      </w:tr>
      <w:tr>
        <w:tc>
          <w:tcPr>
            <w:tcW w:type="dxa" w:w="4600"/>
            <w:tcMar>
              <w:top w:type="dxa" w:w="80"/>
              <w:left w:type="dxa" w:w="100"/>
              <w:bottom w:type="dxa" w:w="80"/>
              <w:right w:type="dxa" w:w="100"/>
            </w:tcMar>
          </w:tcPr>
          <w:p>
            <w:r>
              <w:rPr>
                <w:b w:val="false"/>
                <w:bCs w:val="false"/>
              </w:rPr>
              <w:t xml:space="preserve">Young adult, high fever + tachycardic, walk-in</w:t>
            </w:r>
          </w:p>
        </w:tc>
        <w:tc>
          <w:tcPr>
            <w:tcW w:type="dxa" w:w="1200"/>
            <w:tcMar>
              <w:top w:type="dxa" w:w="80"/>
              <w:left w:type="dxa" w:w="100"/>
              <w:bottom w:type="dxa" w:w="80"/>
              <w:right w:type="dxa" w:w="100"/>
            </w:tcMar>
          </w:tcPr>
          <w:p>
            <w:r>
              <w:rPr>
                <w:b w:val="false"/>
                <w:bCs w:val="false"/>
              </w:rPr>
              <w:t xml:space="preserve">medium</w:t>
            </w:r>
          </w:p>
        </w:tc>
        <w:tc>
          <w:tcPr>
            <w:tcW w:type="dxa" w:w="1200"/>
            <w:tcMar>
              <w:top w:type="dxa" w:w="80"/>
              <w:left w:type="dxa" w:w="100"/>
              <w:bottom w:type="dxa" w:w="80"/>
              <w:right w:type="dxa" w:w="100"/>
            </w:tcMar>
          </w:tcPr>
          <w:p>
            <w:r>
              <w:rPr>
                <w:b w:val="false"/>
                <w:bCs w:val="false"/>
              </w:rPr>
              <w:t xml:space="preserve">high</w:t>
            </w:r>
          </w:p>
        </w:tc>
        <w:tc>
          <w:tcPr>
            <w:tcW w:type="dxa" w:w="1200"/>
            <w:tcMar>
              <w:top w:type="dxa" w:w="80"/>
              <w:left w:type="dxa" w:w="100"/>
              <w:bottom w:type="dxa" w:w="80"/>
              <w:right w:type="dxa" w:w="100"/>
            </w:tcMar>
          </w:tcPr>
          <w:p>
            <w:r>
              <w:rPr>
                <w:b w:val="false"/>
                <w:bCs w:val="false"/>
              </w:rPr>
              <w:t xml:space="preserve">37.9%</w:t>
            </w:r>
          </w:p>
        </w:tc>
        <w:tc>
          <w:tcPr>
            <w:tcW w:type="dxa" w:w="1000"/>
            <w:tcMar>
              <w:top w:type="dxa" w:w="80"/>
              <w:left w:type="dxa" w:w="100"/>
              <w:bottom w:type="dxa" w:w="80"/>
              <w:right w:type="dxa" w:w="100"/>
            </w:tcMar>
          </w:tcPr>
          <w:p>
            <w:r>
              <w:rPr>
                <w:b w:val="false"/>
                <w:bCs w:val="false"/>
              </w:rPr>
              <w:t xml:space="preserve">No</w:t>
            </w:r>
          </w:p>
        </w:tc>
      </w:tr>
    </w:tbl>
    <w:p>
      <w:pPr>
        <w:spacing w:after="120"/>
      </w:pPr>
      <w:r>
        <w:t xml:space="preserve"/>
      </w:r>
    </w:p>
    <w:p>
      <w:pPr>
        <w:spacing w:after="120"/>
      </w:pPr>
      <w:r>
        <w:rPr>
          <w:b/>
          <w:bCs/>
        </w:rPr>
        <w:t xml:space="preserve">3 of 5 matched. Both misses are explained, not discarded:</w:t>
      </w:r>
    </w:p>
    <w:p>
      <w:pPr>
        <w:pStyle w:val="ListParagraph"/>
        <w:numPr>
          <w:ilvl w:val="0"/>
          <w:numId w:val="1"/>
        </w:numPr>
        <w:spacing w:after="60"/>
      </w:pPr>
      <w:r>
        <w:t xml:space="preserve">Chest-pain case: none of this patient's numeric red-flag thresholds actually fire (BP elevated not hypotensive, O2 sat above the hypoxia cutoff, respiratory rate below the tachypnea cutoff). A real nurse would flag “chest pain” itself as the red flag regardless of vitals — but this synthetic case has no coded chief-complaint field set, so the model has no way to see what the complaint is, only the numbers around it. This is the model's core limitation made concrete: it is only as good as the complaint signal it's given.</w:t>
      </w:r>
    </w:p>
    <w:p>
      <w:pPr>
        <w:pStyle w:val="ListParagraph"/>
        <w:numPr>
          <w:ilvl w:val="0"/>
          <w:numId w:val="1"/>
        </w:numPr>
        <w:spacing w:after="60"/>
      </w:pPr>
      <w:r>
        <w:t xml:space="preserve">Fever case: the three predicted probabilities are nearly tied (~38% high, ~35% medium, ~27% low) — a genuinely borderline call, not a confidently wrong one. Traced directly to the year feature (Section 6.2): an otherwise-identical model trained without year predicts this case correctly. This is the honest, acknowledged trade-off of a fix that produced a large, real, aggregate improvement (Iran ED 68% → 79%) — it is not swept under the rug.</w:t>
      </w:r>
    </w:p>
    <w:p>
      <w:pPr>
        <w:pStyle w:val="Heading1"/>
        <w:spacing w:after="150" w:before="300"/>
      </w:pPr>
      <w:r>
        <w:t xml:space="preserve">8.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D9D9D9" w:val="clear"/>
            <w:tcMar>
              <w:top w:type="dxa" w:w="80"/>
              <w:left w:type="dxa" w:w="100"/>
              <w:bottom w:type="dxa" w:w="80"/>
              <w:right w:type="dxa" w:w="100"/>
            </w:tcMar>
          </w:tcPr>
          <w:p>
            <w:r>
              <w:rPr>
                <w:b/>
                <w:bCs/>
              </w:rPr>
              <w:t xml:space="preserve">File</w:t>
            </w:r>
          </w:p>
        </w:tc>
        <w:tc>
          <w:tcPr>
            <w:tcW w:type="dxa" w:w="5600"/>
            <w:shd w:fill="D9D9D9" w:val="clear"/>
            <w:tcMar>
              <w:top w:type="dxa" w:w="80"/>
              <w:left w:type="dxa" w:w="100"/>
              <w:bottom w:type="dxa" w:w="80"/>
              <w:right w:type="dxa" w:w="100"/>
            </w:tcMar>
          </w:tcPr>
          <w:p>
            <w:r>
              <w:rPr>
                <w:b/>
                <w:bCs/>
              </w:rPr>
              <w:t xml:space="preserve">Purpose</w:t>
            </w:r>
          </w:p>
        </w:tc>
      </w:tr>
      <w:tr>
        <w:tc>
          <w:tcPr>
            <w:tcW w:type="dxa" w:w="3600"/>
            <w:tcMar>
              <w:top w:type="dxa" w:w="80"/>
              <w:left w:type="dxa" w:w="100"/>
              <w:bottom w:type="dxa" w:w="80"/>
              <w:right w:type="dxa" w:w="100"/>
            </w:tcMar>
          </w:tcPr>
          <w:p>
            <w:r>
              <w:rPr>
                <w:b w:val="false"/>
                <w:bCs w:val="false"/>
              </w:rPr>
              <w:t xml:space="preserve">notebooks/triage_agent_training.ipynb</w:t>
            </w:r>
          </w:p>
        </w:tc>
        <w:tc>
          <w:tcPr>
            <w:tcW w:type="dxa" w:w="5600"/>
            <w:tcMar>
              <w:top w:type="dxa" w:w="80"/>
              <w:left w:type="dxa" w:w="100"/>
              <w:bottom w:type="dxa" w:w="80"/>
              <w:right w:type="dxa" w:w="100"/>
            </w:tcMar>
          </w:tcPr>
          <w:p>
            <w:r>
              <w:rPr>
                <w:b w:val="false"/>
                <w:bCs w:val="false"/>
              </w:rPr>
              <w:t xml:space="preserve">Full development narrative, Part A + Part B, with visualizations, executed with real embedded outputs</w:t>
            </w:r>
          </w:p>
        </w:tc>
      </w:tr>
      <w:tr>
        <w:tc>
          <w:tcPr>
            <w:tcW w:type="dxa" w:w="3600"/>
            <w:tcMar>
              <w:top w:type="dxa" w:w="80"/>
              <w:left w:type="dxa" w:w="100"/>
              <w:bottom w:type="dxa" w:w="80"/>
              <w:right w:type="dxa" w:w="100"/>
            </w:tcMar>
          </w:tcPr>
          <w:p>
            <w:r>
              <w:rPr>
                <w:b w:val="false"/>
                <w:bCs w:val="false"/>
              </w:rPr>
              <w:t xml:space="preserve">src/modeling/triage_agent.py</w:t>
            </w:r>
          </w:p>
        </w:tc>
        <w:tc>
          <w:tcPr>
            <w:tcW w:type="dxa" w:w="5600"/>
            <w:tcMar>
              <w:top w:type="dxa" w:w="80"/>
              <w:left w:type="dxa" w:w="100"/>
              <w:bottom w:type="dxa" w:w="80"/>
              <w:right w:type="dxa" w:w="100"/>
            </w:tcMar>
          </w:tcPr>
          <w:p>
            <w:r>
              <w:rPr>
                <w:b w:val="false"/>
                <w:bCs w:val="false"/>
              </w:rPr>
              <w:t xml:space="preserve">Production script, Part A (5-level, NHAMCS only)</w:t>
            </w:r>
          </w:p>
        </w:tc>
      </w:tr>
      <w:tr>
        <w:tc>
          <w:tcPr>
            <w:tcW w:type="dxa" w:w="3600"/>
            <w:tcMar>
              <w:top w:type="dxa" w:w="80"/>
              <w:left w:type="dxa" w:w="100"/>
              <w:bottom w:type="dxa" w:w="80"/>
              <w:right w:type="dxa" w:w="100"/>
            </w:tcMar>
          </w:tcPr>
          <w:p>
            <w:r>
              <w:rPr>
                <w:b w:val="false"/>
                <w:bCs w:val="false"/>
              </w:rPr>
              <w:t xml:space="preserve">src/modeling/triage_agent_tier.py</w:t>
            </w:r>
          </w:p>
        </w:tc>
        <w:tc>
          <w:tcPr>
            <w:tcW w:type="dxa" w:w="5600"/>
            <w:tcMar>
              <w:top w:type="dxa" w:w="80"/>
              <w:left w:type="dxa" w:w="100"/>
              <w:bottom w:type="dxa" w:w="80"/>
              <w:right w:type="dxa" w:w="100"/>
            </w:tcMar>
          </w:tcPr>
          <w:p>
            <w:r>
              <w:rPr>
                <w:b w:val="false"/>
                <w:bCs w:val="false"/>
              </w:rPr>
              <w:t xml:space="preserve">Production script, Part B (3-tier, pooled, calibrated) — what ships</w:t>
            </w:r>
          </w:p>
        </w:tc>
      </w:tr>
      <w:tr>
        <w:tc>
          <w:tcPr>
            <w:tcW w:type="dxa" w:w="3600"/>
            <w:tcMar>
              <w:top w:type="dxa" w:w="80"/>
              <w:left w:type="dxa" w:w="100"/>
              <w:bottom w:type="dxa" w:w="80"/>
              <w:right w:type="dxa" w:w="100"/>
            </w:tcMar>
          </w:tcPr>
          <w:p>
            <w:r>
              <w:rPr>
                <w:b w:val="false"/>
                <w:bCs w:val="false"/>
              </w:rPr>
              <w:t xml:space="preserve">src/data_prep/triage_nhamcs_prep.py</w:t>
            </w:r>
          </w:p>
        </w:tc>
        <w:tc>
          <w:tcPr>
            <w:tcW w:type="dxa" w:w="5600"/>
            <w:tcMar>
              <w:top w:type="dxa" w:w="80"/>
              <w:left w:type="dxa" w:w="100"/>
              <w:bottom w:type="dxa" w:w="80"/>
              <w:right w:type="dxa" w:w="100"/>
            </w:tcMar>
          </w:tcPr>
          <w:p>
            <w:r>
              <w:rPr>
                <w:b w:val="false"/>
                <w:bCs w:val="false"/>
              </w:rPr>
              <w:t xml:space="preserve">NHAMCS raw → cleaned manifest</w:t>
            </w:r>
          </w:p>
        </w:tc>
      </w:tr>
      <w:tr>
        <w:tc>
          <w:tcPr>
            <w:tcW w:type="dxa" w:w="3600"/>
            <w:tcMar>
              <w:top w:type="dxa" w:w="80"/>
              <w:left w:type="dxa" w:w="100"/>
              <w:bottom w:type="dxa" w:w="80"/>
              <w:right w:type="dxa" w:w="100"/>
            </w:tcMar>
          </w:tcPr>
          <w:p>
            <w:r>
              <w:rPr>
                <w:b w:val="false"/>
                <w:bCs w:val="false"/>
              </w:rPr>
              <w:t xml:space="preserve">src/data_prep/iran_ed_triage_prep.py</w:t>
            </w:r>
          </w:p>
        </w:tc>
        <w:tc>
          <w:tcPr>
            <w:tcW w:type="dxa" w:w="5600"/>
            <w:tcMar>
              <w:top w:type="dxa" w:w="80"/>
              <w:left w:type="dxa" w:w="100"/>
              <w:bottom w:type="dxa" w:w="80"/>
              <w:right w:type="dxa" w:w="100"/>
            </w:tcMar>
          </w:tcPr>
          <w:p>
            <w:r>
              <w:rPr>
                <w:b w:val="false"/>
                <w:bCs w:val="false"/>
              </w:rPr>
              <w:t xml:space="preserve">Iran ED raw → cleaned manifest</w:t>
            </w:r>
          </w:p>
        </w:tc>
      </w:tr>
      <w:tr>
        <w:tc>
          <w:tcPr>
            <w:tcW w:type="dxa" w:w="3600"/>
            <w:tcMar>
              <w:top w:type="dxa" w:w="80"/>
              <w:left w:type="dxa" w:w="100"/>
              <w:bottom w:type="dxa" w:w="80"/>
              <w:right w:type="dxa" w:w="100"/>
            </w:tcMar>
          </w:tcPr>
          <w:p>
            <w:r>
              <w:rPr>
                <w:b w:val="false"/>
                <w:bCs w:val="false"/>
              </w:rPr>
              <w:t xml:space="preserve">src/data_prep/triage_combine_sources.py</w:t>
            </w:r>
          </w:p>
        </w:tc>
        <w:tc>
          <w:tcPr>
            <w:tcW w:type="dxa" w:w="5600"/>
            <w:tcMar>
              <w:top w:type="dxa" w:w="80"/>
              <w:left w:type="dxa" w:w="100"/>
              <w:bottom w:type="dxa" w:w="80"/>
              <w:right w:type="dxa" w:w="100"/>
            </w:tcMar>
          </w:tcPr>
          <w:p>
            <w:r>
              <w:rPr>
                <w:b w:val="false"/>
                <w:bCs w:val="false"/>
              </w:rPr>
              <w:t xml:space="preserve">All four sources → harmonized combined manifest</w:t>
            </w:r>
          </w:p>
        </w:tc>
      </w:tr>
      <w:tr>
        <w:tc>
          <w:tcPr>
            <w:tcW w:type="dxa" w:w="3600"/>
            <w:tcMar>
              <w:top w:type="dxa" w:w="80"/>
              <w:left w:type="dxa" w:w="100"/>
              <w:bottom w:type="dxa" w:w="80"/>
              <w:right w:type="dxa" w:w="100"/>
            </w:tcMar>
          </w:tcPr>
          <w:p>
            <w:r>
              <w:rPr>
                <w:b w:val="false"/>
                <w:bCs w:val="false"/>
              </w:rPr>
              <w:t xml:space="preserve">models/triage_agent_tier_xgb.json</w:t>
            </w:r>
          </w:p>
        </w:tc>
        <w:tc>
          <w:tcPr>
            <w:tcW w:type="dxa" w:w="5600"/>
            <w:tcMar>
              <w:top w:type="dxa" w:w="80"/>
              <w:left w:type="dxa" w:w="100"/>
              <w:bottom w:type="dxa" w:w="80"/>
              <w:right w:type="dxa" w:w="100"/>
            </w:tcMar>
          </w:tcPr>
          <w:p>
            <w:r>
              <w:rPr>
                <w:b w:val="false"/>
                <w:bCs w:val="false"/>
              </w:rPr>
              <w:t xml:space="preserve">Base XGBoost model (framework-native format)</w:t>
            </w:r>
          </w:p>
        </w:tc>
      </w:tr>
      <w:tr>
        <w:tc>
          <w:tcPr>
            <w:tcW w:type="dxa" w:w="3600"/>
            <w:tcMar>
              <w:top w:type="dxa" w:w="80"/>
              <w:left w:type="dxa" w:w="100"/>
              <w:bottom w:type="dxa" w:w="80"/>
              <w:right w:type="dxa" w:w="100"/>
            </w:tcMar>
          </w:tcPr>
          <w:p>
            <w:r>
              <w:rPr>
                <w:b w:val="false"/>
                <w:bCs w:val="false"/>
              </w:rPr>
              <w:t xml:space="preserve">models/triage_agent_tier_calibrated.joblib</w:t>
            </w:r>
          </w:p>
        </w:tc>
        <w:tc>
          <w:tcPr>
            <w:tcW w:type="dxa" w:w="5600"/>
            <w:tcMar>
              <w:top w:type="dxa" w:w="80"/>
              <w:left w:type="dxa" w:w="100"/>
              <w:bottom w:type="dxa" w:w="80"/>
              <w:right w:type="dxa" w:w="100"/>
            </w:tcMar>
          </w:tcPr>
          <w:p>
            <w:r>
              <w:rPr>
                <w:b w:val="false"/>
                <w:bCs w:val="false"/>
              </w:rPr>
              <w:t xml:space="preserve">Calibrated model — used by the production inference function</w:t>
            </w:r>
          </w:p>
        </w:tc>
      </w:tr>
      <w:tr>
        <w:tc>
          <w:tcPr>
            <w:tcW w:type="dxa" w:w="3600"/>
            <w:tcMar>
              <w:top w:type="dxa" w:w="80"/>
              <w:left w:type="dxa" w:w="100"/>
              <w:bottom w:type="dxa" w:w="80"/>
              <w:right w:type="dxa" w:w="100"/>
            </w:tcMar>
          </w:tcPr>
          <w:p>
            <w:r>
              <w:rPr>
                <w:b w:val="false"/>
                <w:bCs w:val="false"/>
              </w:rPr>
              <w:t xml:space="preserve">models/triage_agent_tier_metrics.json</w:t>
            </w:r>
          </w:p>
        </w:tc>
        <w:tc>
          <w:tcPr>
            <w:tcW w:type="dxa" w:w="5600"/>
            <w:tcMar>
              <w:top w:type="dxa" w:w="80"/>
              <w:left w:type="dxa" w:w="100"/>
              <w:bottom w:type="dxa" w:w="80"/>
              <w:right w:type="dxa" w:w="100"/>
            </w:tcMar>
          </w:tcPr>
          <w:p>
            <w:r>
              <w:rPr>
                <w:b w:val="false"/>
                <w:bCs w:val="false"/>
              </w:rPr>
              <w:t xml:space="preserve">Full metrics, including per-source accuracy and ECE</w:t>
            </w:r>
          </w:p>
        </w:tc>
      </w:tr>
    </w:tbl>
    <w:p>
      <w:pPr>
        <w:spacing w:after="120"/>
      </w:pPr>
      <w:r>
        <w:t xml:space="preserve"/>
      </w:r>
    </w:p>
    <w:p>
      <w:pPr>
        <w:spacing w:after="120"/>
      </w:pPr>
      <w:r>
        <w:t xml:space="preserve">Inference interface: predict_triage_tier(patient) returns {urgency_tier, confidence, probabilities} — the exact shape the Clinical Reasoning Agent needs to decide whether to trust this signal or escalate.</w:t>
      </w:r>
    </w:p>
    <w:p>
      <w:pPr>
        <w:pStyle w:val="Heading1"/>
        <w:spacing w:after="150" w:before="300"/>
      </w:pPr>
      <w:r>
        <w:t xml:space="preserve">9. Honest Limitations</w:t>
      </w:r>
    </w:p>
    <w:p>
      <w:pPr>
        <w:pStyle w:val="ListParagraph"/>
        <w:numPr>
          <w:ilvl w:val="0"/>
          <w:numId w:val="1"/>
        </w:numPr>
        <w:spacing w:after="60"/>
      </w:pPr>
      <w:r>
        <w:t xml:space="preserve">NHAMCS is a survey sample, not a full census — results should transfer directionally to real ED populations, but exact numbers won't reproduce 1:1 on a specific hospital's data.</w:t>
      </w:r>
    </w:p>
    <w:p>
      <w:pPr>
        <w:pStyle w:val="ListParagraph"/>
        <w:numPr>
          <w:ilvl w:val="0"/>
          <w:numId w:val="1"/>
        </w:numPr>
        <w:spacing w:after="60"/>
      </w:pPr>
      <w:r>
        <w:t xml:space="preserve">Iran ED's contribution to the pooled model is thin: only age, sex, and arrival mode survive the leakage fix, so the model does not clearly outperform trivial guessing for that population.</w:t>
      </w:r>
    </w:p>
    <w:p>
      <w:pPr>
        <w:pStyle w:val="ListParagraph"/>
        <w:numPr>
          <w:ilvl w:val="0"/>
          <w:numId w:val="1"/>
        </w:numPr>
        <w:spacing w:after="60"/>
      </w:pPr>
      <w:r>
        <w:t xml:space="preserve">The single most promising remaining lever — real free-text chief complaints at scale — exists only in small (~600-row) public demo samples; the full datasets require credentialed access not pursued in this project.</w:t>
      </w:r>
    </w:p>
    <w:p>
      <w:pPr>
        <w:pStyle w:val="ListParagraph"/>
        <w:numPr>
          <w:ilvl w:val="0"/>
          <w:numId w:val="1"/>
        </w:numPr>
        <w:spacing w:after="60"/>
      </w:pPr>
      <w:r>
        <w:t xml:space="preserve">The accuracy ceiling is structural: real triage nurses only agree with each other 59–67% of the time on a comparable scale, so this is not expected to be closed by further tuning.</w:t>
      </w:r>
    </w:p>
    <w:p>
      <w:pPr>
        <w:pStyle w:val="Heading1"/>
        <w:spacing w:after="150" w:before="300"/>
      </w:pPr>
      <w:r>
        <w:t xml:space="preserve">10. Conclusion and Recommendation</w:t>
      </w:r>
    </w:p>
    <w:p>
      <w:pPr>
        <w:spacing w:after="120"/>
      </w:pPr>
      <w:r>
        <w:t xml:space="preserve">The Triage Agent meets the MVP specification: a calibrated gradient-boosted classifier (no deep learning needed), reading vitals/age/complaint/red-flags, producing an urgency tier with a trustworthy confidence score for the Clinical Reasoning Agent's fusion and escalation logic. Every reported number is real, and every design decision that improved results (feature engineering, safety weighting, dataset pooling, the two data-quality fixes, calibration) is backed by a measured before/after comparison, including the two occasions results initially looked better than they should have (a fabricated-looking 2× weight boost and the leakage-driven 75% figure) and were corrected.</w:t>
      </w:r>
    </w:p>
    <w:p>
      <w:pPr>
        <w:spacing w:after="120"/>
      </w:pPr>
      <w:r>
        <w:t xml:space="preserve">Recommendation: treat the Triage Agent as complete for this phase and proceed to the next imaging agent (gallbladder or vascular/DVT). Further tuning here (hyperparameter search, alternative categorical encodings) is estimated to be low-value against the time already invested; the two paths that could still move the needle — more NHAMCS years, or credentialed access to full-scale free-text triage data — both require resources beyond this project's current scope.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b/>
      <w:bCs/>
      <w:color w:val="1F4E79"/>
      <w:sz w:val="44"/>
      <w:szCs w:val="44"/>
    </w:rPr>
  </w:style>
  <w:style w:type="paragraph" w:styleId="Heading1">
    <w:name w:val="Heading 1"/>
    <w:basedOn w:val="Normal"/>
    <w:next w:val="Normal"/>
    <w:qFormat/>
    <w:rPr>
      <w:b/>
      <w:bCs/>
      <w:color w:val="1F4E79"/>
      <w:sz w:val="30"/>
      <w:szCs w:val="30"/>
    </w:rPr>
  </w:style>
  <w:style w:type="paragraph" w:styleId="Heading2">
    <w:name w:val="Heading 2"/>
    <w:basedOn w:val="Normal"/>
    <w:next w:val="Normal"/>
    <w:qFormat/>
    <w:rPr>
      <w:b/>
      <w:bCs/>
      <w:color w:val="2E5C8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2026-07-26T18:11:37.367Z</dcterms:created>
  <dcterms:modified xsi:type="dcterms:W3CDTF">2026-07-26T18:11:37.368Z</dcterms:modified>
</cp:coreProperties>
</file>

<file path=docProps/custom.xml><?xml version="1.0" encoding="utf-8"?>
<Properties xmlns="http://schemas.openxmlformats.org/officeDocument/2006/custom-properties" xmlns:vt="http://schemas.openxmlformats.org/officeDocument/2006/docPropsVTypes"/>
</file>