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0392B" w:sz="8" w:space="6"/>
        </w:pBdr>
        <w:spacing w:after="60"/>
      </w:pPr>
      <w:r>
        <w:rPr>
          <w:rFonts w:ascii="Arial" w:cs="Arial" w:eastAsia="Arial" w:hAnsi="Arial"/>
          <w:b/>
          <w:bCs/>
          <w:color w:val="C0392B"/>
          <w:sz w:val="18"/>
          <w:szCs w:val="18"/>
        </w:rPr>
        <w:t xml:space="preserve">ESPRIT École d'Ingénieurs</w:t>
      </w:r>
      <w:r>
        <w:rPr>
          <w:rFonts w:ascii="Arial" w:cs="Arial" w:eastAsia="Arial" w:hAnsi="Arial"/>
          <w:color w:val="1B1930"/>
          <w:sz w:val="18"/>
          <w:szCs w:val="18"/>
        </w:rPr>
        <w:t xml:space="preserve">					Engineering Internship</w:t>
      </w:r>
    </w:p>
    <w:p>
      <w:pPr>
        <w:shd w:fill="C0392B" w:val="clear"/>
        <w:spacing w:after="40" w:before="200"/>
        <w:jc w:val="center"/>
      </w:pPr>
      <w:r>
        <w:rPr>
          <w:rFonts w:ascii="Arial" w:cs="Arial" w:eastAsia="Arial" w:hAnsi="Arial"/>
          <w:b/>
          <w:bCs/>
          <w:color w:val="FFFFFF"/>
          <w:sz w:val="20"/>
          <w:szCs w:val="20"/>
        </w:rPr>
        <w:t xml:space="preserve">ESPRIT École d'Ingénieurs</w:t>
      </w:r>
    </w:p>
    <w:p>
      <w:pPr>
        <w:shd w:fill="C0392B" w:val="clear"/>
        <w:spacing w:after="40"/>
        <w:jc w:val="center"/>
      </w:pPr>
      <w:r>
        <w:rPr>
          <w:rFonts w:ascii="Arial" w:cs="Arial" w:eastAsia="Arial" w:hAnsi="Arial"/>
          <w:b/>
          <w:bCs/>
          <w:color w:val="FFFFFF"/>
          <w:sz w:val="36"/>
          <w:szCs w:val="36"/>
        </w:rPr>
        <w:t xml:space="preserve">INTERNSHIP JOURNAL</w:t>
      </w:r>
    </w:p>
    <w:p>
      <w:pPr>
        <w:shd w:fill="C0392B" w:val="clear"/>
        <w:spacing w:after="240"/>
        <w:jc w:val="center"/>
      </w:pPr>
      <w:r>
        <w:rPr>
          <w:rFonts w:ascii="Arial" w:cs="Arial" w:eastAsia="Arial" w:hAnsi="Arial"/>
          <w:color w:val="FFFFFF"/>
          <w:sz w:val="17"/>
          <w:szCs w:val="17"/>
        </w:rPr>
        <w:t xml:space="preserve">Engineering Internship  |  Min. 8 weeks</w:t>
      </w:r>
    </w:p>
    <w:p>
      <w:pPr>
        <w:shd w:fill="C0392B" w:val="clear"/>
        <w:spacing w:after="120" w:before="200"/>
      </w:pPr>
      <w:r>
        <w:rPr>
          <w:rFonts w:ascii="Arial" w:cs="Arial" w:eastAsia="Arial" w:hAnsi="Arial"/>
          <w:b/>
          <w:bCs/>
          <w:color w:val="FFFFFF"/>
          <w:sz w:val="21"/>
          <w:szCs w:val="21"/>
        </w:rPr>
        <w:t xml:space="preserve">  GENERAL INFORMATION</w:t>
      </w:r>
    </w:p>
    <w:tbl>
      <w:tblPr>
        <w:tblW w:type="dxa" w:w="9360"/>
        <w:tblBorders>
          <w:top w:val="single" w:color="C9C9D4" w:sz="4"/>
          <w:left w:val="single" w:color="C9C9D4" w:sz="4"/>
          <w:bottom w:val="single" w:color="C9C9D4" w:sz="4"/>
          <w:right w:val="single" w:color="C9C9D4" w:sz="4"/>
          <w:insideH w:val="single" w:color="C9C9D4" w:sz="4"/>
          <w:insideV w:val="single" w:color="C9C9D4" w:sz="4"/>
        </w:tblBorders>
      </w:tblPr>
      <w:tblGrid>
        <w:gridCol w:w="2600"/>
        <w:gridCol w:w="6760"/>
      </w:tblGrid>
      <w:tr>
        <w:tc>
          <w:tcPr>
            <w:tcW w:type="dxa" w:w="2600"/>
            <w:shd w:fill="F1F2F6" w:val="clear"/>
            <w:tcMar>
              <w:top w:type="dxa" w:w="80"/>
              <w:left w:type="dxa" w:w="120"/>
              <w:bottom w:type="dxa" w:w="80"/>
              <w:right w:type="dxa" w:w="120"/>
            </w:tcMar>
          </w:tcPr>
          <w:p>
            <w:pPr>
              <w:spacing w:after="0" w:line="260"/>
            </w:pPr>
            <w:r>
              <w:rPr>
                <w:rFonts w:ascii="Arial" w:cs="Arial" w:eastAsia="Arial" w:hAnsi="Arial"/>
                <w:b/>
                <w:bCs/>
                <w:color w:val="1B1930"/>
                <w:sz w:val="18"/>
                <w:szCs w:val="18"/>
              </w:rPr>
              <w:t xml:space="preserve">Student name</w:t>
            </w:r>
          </w:p>
        </w:tc>
        <w:tc>
          <w:tcPr>
            <w:tcW w:type="dxa" w:w="6760"/>
            <w:tcMar>
              <w:top w:type="dxa" w:w="80"/>
              <w:left w:type="dxa" w:w="120"/>
              <w:bottom w:type="dxa" w:w="80"/>
              <w:right w:type="dxa" w:w="120"/>
            </w:tcMar>
          </w:tcPr>
          <w:p>
            <w:pPr>
              <w:spacing w:after="0" w:line="260"/>
            </w:pPr>
            <w:r>
              <w:rPr>
                <w:rFonts w:ascii="Arial" w:cs="Arial" w:eastAsia="Arial" w:hAnsi="Arial"/>
                <w:color w:val="1B1930"/>
                <w:sz w:val="18"/>
                <w:szCs w:val="18"/>
              </w:rPr>
              <w:t xml:space="preserve">Mariem Brik</w:t>
            </w:r>
          </w:p>
        </w:tc>
      </w:tr>
      <w:tr>
        <w:tc>
          <w:tcPr>
            <w:tcW w:type="dxa" w:w="2600"/>
            <w:shd w:fill="F1F2F6" w:val="clear"/>
            <w:tcMar>
              <w:top w:type="dxa" w:w="80"/>
              <w:left w:type="dxa" w:w="120"/>
              <w:bottom w:type="dxa" w:w="80"/>
              <w:right w:type="dxa" w:w="120"/>
            </w:tcMar>
          </w:tcPr>
          <w:p>
            <w:pPr>
              <w:spacing w:after="0" w:line="260"/>
            </w:pPr>
            <w:r>
              <w:rPr>
                <w:rFonts w:ascii="Arial" w:cs="Arial" w:eastAsia="Arial" w:hAnsi="Arial"/>
                <w:b/>
                <w:bCs/>
                <w:color w:val="1B1930"/>
                <w:sz w:val="18"/>
                <w:szCs w:val="18"/>
              </w:rPr>
              <w:t xml:space="preserve">Level / Year</w:t>
            </w:r>
          </w:p>
        </w:tc>
        <w:tc>
          <w:tcPr>
            <w:tcW w:type="dxa" w:w="6760"/>
            <w:tcMar>
              <w:top w:type="dxa" w:w="80"/>
              <w:left w:type="dxa" w:w="120"/>
              <w:bottom w:type="dxa" w:w="80"/>
              <w:right w:type="dxa" w:w="120"/>
            </w:tcMar>
          </w:tcPr>
          <w:p>
            <w:pPr>
              <w:spacing w:after="0" w:line="260"/>
            </w:pPr>
            <w:r>
              <w:rPr>
                <w:rFonts w:ascii="Arial" w:cs="Arial" w:eastAsia="Arial" w:hAnsi="Arial"/>
                <w:color w:val="1B1930"/>
                <w:sz w:val="18"/>
                <w:szCs w:val="18"/>
              </w:rPr>
              <w:t xml:space="preserve">4th year → 5th year</w:t>
            </w:r>
          </w:p>
        </w:tc>
      </w:tr>
      <w:tr>
        <w:tc>
          <w:tcPr>
            <w:tcW w:type="dxa" w:w="2600"/>
            <w:shd w:fill="F1F2F6" w:val="clear"/>
            <w:tcMar>
              <w:top w:type="dxa" w:w="80"/>
              <w:left w:type="dxa" w:w="120"/>
              <w:bottom w:type="dxa" w:w="80"/>
              <w:right w:type="dxa" w:w="120"/>
            </w:tcMar>
          </w:tcPr>
          <w:p>
            <w:pPr>
              <w:spacing w:after="0" w:line="260"/>
            </w:pPr>
            <w:r>
              <w:rPr>
                <w:rFonts w:ascii="Arial" w:cs="Arial" w:eastAsia="Arial" w:hAnsi="Arial"/>
                <w:b/>
                <w:bCs/>
                <w:color w:val="1B1930"/>
                <w:sz w:val="18"/>
                <w:szCs w:val="18"/>
              </w:rPr>
              <w:t xml:space="preserve">Student ID</w:t>
            </w:r>
          </w:p>
        </w:tc>
        <w:tc>
          <w:tcPr>
            <w:tcW w:type="dxa" w:w="6760"/>
            <w:tcMar>
              <w:top w:type="dxa" w:w="80"/>
              <w:left w:type="dxa" w:w="120"/>
              <w:bottom w:type="dxa" w:w="80"/>
              <w:right w:type="dxa" w:w="120"/>
            </w:tcMar>
          </w:tcPr>
          <w:p>
            <w:pPr>
              <w:spacing w:after="0" w:line="260"/>
            </w:pPr>
            <w:r>
              <w:rPr>
                <w:rFonts w:ascii="Arial" w:cs="Arial" w:eastAsia="Arial" w:hAnsi="Arial"/>
                <w:color w:val="1B1930"/>
                <w:sz w:val="18"/>
                <w:szCs w:val="18"/>
              </w:rPr>
              <w:t xml:space="preserve"/>
            </w:r>
          </w:p>
        </w:tc>
      </w:tr>
      <w:tr>
        <w:tc>
          <w:tcPr>
            <w:tcW w:type="dxa" w:w="2600"/>
            <w:shd w:fill="F1F2F6" w:val="clear"/>
            <w:tcMar>
              <w:top w:type="dxa" w:w="80"/>
              <w:left w:type="dxa" w:w="120"/>
              <w:bottom w:type="dxa" w:w="80"/>
              <w:right w:type="dxa" w:w="120"/>
            </w:tcMar>
          </w:tcPr>
          <w:p>
            <w:pPr>
              <w:spacing w:after="0" w:line="260"/>
            </w:pPr>
            <w:r>
              <w:rPr>
                <w:rFonts w:ascii="Arial" w:cs="Arial" w:eastAsia="Arial" w:hAnsi="Arial"/>
                <w:b/>
                <w:bCs/>
                <w:color w:val="1B1930"/>
                <w:sz w:val="18"/>
                <w:szCs w:val="18"/>
              </w:rPr>
              <w:t xml:space="preserve">Host Organization</w:t>
            </w:r>
          </w:p>
        </w:tc>
        <w:tc>
          <w:tcPr>
            <w:tcW w:type="dxa" w:w="6760"/>
            <w:tcMar>
              <w:top w:type="dxa" w:w="80"/>
              <w:left w:type="dxa" w:w="120"/>
              <w:bottom w:type="dxa" w:w="80"/>
              <w:right w:type="dxa" w:w="120"/>
            </w:tcMar>
          </w:tcPr>
          <w:p>
            <w:pPr>
              <w:spacing w:after="0" w:line="260"/>
            </w:pPr>
            <w:r>
              <w:rPr>
                <w:rFonts w:ascii="Arial" w:cs="Arial" w:eastAsia="Arial" w:hAnsi="Arial"/>
                <w:color w:val="1B1930"/>
                <w:sz w:val="18"/>
                <w:szCs w:val="18"/>
              </w:rPr>
              <w:t xml:space="preserve">Name : Esprit Tech — the research entity of ESPRIT</w:t>
            </w:r>
          </w:p>
        </w:tc>
      </w:tr>
      <w:tr>
        <w:tc>
          <w:tcPr>
            <w:tcW w:type="dxa" w:w="2600"/>
            <w:shd w:fill="F1F2F6" w:val="clear"/>
            <w:tcMar>
              <w:top w:type="dxa" w:w="80"/>
              <w:left w:type="dxa" w:w="120"/>
              <w:bottom w:type="dxa" w:w="80"/>
              <w:right w:type="dxa" w:w="120"/>
            </w:tcMar>
          </w:tcPr>
          <w:p>
            <w:pPr>
              <w:spacing w:after="0" w:line="260"/>
            </w:pPr>
            <w:r>
              <w:rPr>
                <w:rFonts w:ascii="Arial" w:cs="Arial" w:eastAsia="Arial" w:hAnsi="Arial"/>
                <w:b/>
                <w:bCs/>
                <w:color w:val="1B1930"/>
                <w:sz w:val="18"/>
                <w:szCs w:val="18"/>
              </w:rPr>
              <w:t xml:space="preserve"/>
            </w:r>
          </w:p>
        </w:tc>
        <w:tc>
          <w:tcPr>
            <w:tcW w:type="dxa" w:w="6760"/>
            <w:tcMar>
              <w:top w:type="dxa" w:w="80"/>
              <w:left w:type="dxa" w:w="120"/>
              <w:bottom w:type="dxa" w:w="80"/>
              <w:right w:type="dxa" w:w="120"/>
            </w:tcMar>
          </w:tcPr>
          <w:p>
            <w:pPr>
              <w:spacing w:after="0" w:line="260"/>
            </w:pPr>
            <w:r>
              <w:rPr>
                <w:rFonts w:ascii="Arial" w:cs="Arial" w:eastAsia="Arial" w:hAnsi="Arial"/>
                <w:color w:val="1B1930"/>
                <w:sz w:val="18"/>
                <w:szCs w:val="18"/>
              </w:rPr>
              <w:t xml:space="preserve">Adress :</w:t>
            </w:r>
          </w:p>
        </w:tc>
      </w:tr>
      <w:tr>
        <w:tc>
          <w:tcPr>
            <w:tcW w:type="dxa" w:w="2600"/>
            <w:shd w:fill="F1F2F6" w:val="clear"/>
            <w:tcMar>
              <w:top w:type="dxa" w:w="80"/>
              <w:left w:type="dxa" w:w="120"/>
              <w:bottom w:type="dxa" w:w="80"/>
              <w:right w:type="dxa" w:w="120"/>
            </w:tcMar>
          </w:tcPr>
          <w:p>
            <w:pPr>
              <w:spacing w:after="0" w:line="260"/>
            </w:pPr>
            <w:r>
              <w:rPr>
                <w:rFonts w:ascii="Arial" w:cs="Arial" w:eastAsia="Arial" w:hAnsi="Arial"/>
                <w:b/>
                <w:bCs/>
                <w:color w:val="1B1930"/>
                <w:sz w:val="18"/>
                <w:szCs w:val="18"/>
              </w:rPr>
              <w:t xml:space="preserve">Company Supervisor</w:t>
            </w:r>
          </w:p>
        </w:tc>
        <w:tc>
          <w:tcPr>
            <w:tcW w:type="dxa" w:w="6760"/>
            <w:tcMar>
              <w:top w:type="dxa" w:w="80"/>
              <w:left w:type="dxa" w:w="120"/>
              <w:bottom w:type="dxa" w:w="80"/>
              <w:right w:type="dxa" w:w="120"/>
            </w:tcMar>
          </w:tcPr>
          <w:p>
            <w:pPr>
              <w:spacing w:after="0" w:line="260"/>
            </w:pPr>
            <w:r>
              <w:rPr>
                <w:rFonts w:ascii="Arial" w:cs="Arial" w:eastAsia="Arial" w:hAnsi="Arial"/>
                <w:color w:val="1B1930"/>
                <w:sz w:val="18"/>
                <w:szCs w:val="18"/>
              </w:rPr>
              <w:t xml:space="preserve">Name :</w:t>
            </w:r>
          </w:p>
        </w:tc>
      </w:tr>
      <w:tr>
        <w:tc>
          <w:tcPr>
            <w:tcW w:type="dxa" w:w="2600"/>
            <w:shd w:fill="F1F2F6" w:val="clear"/>
            <w:tcMar>
              <w:top w:type="dxa" w:w="80"/>
              <w:left w:type="dxa" w:w="120"/>
              <w:bottom w:type="dxa" w:w="80"/>
              <w:right w:type="dxa" w:w="120"/>
            </w:tcMar>
          </w:tcPr>
          <w:p>
            <w:pPr>
              <w:spacing w:after="0" w:line="260"/>
            </w:pPr>
            <w:r>
              <w:rPr>
                <w:rFonts w:ascii="Arial" w:cs="Arial" w:eastAsia="Arial" w:hAnsi="Arial"/>
                <w:b/>
                <w:bCs/>
                <w:color w:val="1B1930"/>
                <w:sz w:val="18"/>
                <w:szCs w:val="18"/>
              </w:rPr>
              <w:t xml:space="preserve"/>
            </w:r>
          </w:p>
        </w:tc>
        <w:tc>
          <w:tcPr>
            <w:tcW w:type="dxa" w:w="6760"/>
            <w:tcMar>
              <w:top w:type="dxa" w:w="80"/>
              <w:left w:type="dxa" w:w="120"/>
              <w:bottom w:type="dxa" w:w="80"/>
              <w:right w:type="dxa" w:w="120"/>
            </w:tcMar>
          </w:tcPr>
          <w:p>
            <w:pPr>
              <w:spacing w:after="0" w:line="260"/>
            </w:pPr>
            <w:r>
              <w:rPr>
                <w:rFonts w:ascii="Arial" w:cs="Arial" w:eastAsia="Arial" w:hAnsi="Arial"/>
                <w:color w:val="1B1930"/>
                <w:sz w:val="18"/>
                <w:szCs w:val="18"/>
              </w:rPr>
              <w:t xml:space="preserve">Mail :</w:t>
            </w:r>
          </w:p>
        </w:tc>
      </w:tr>
      <w:tr>
        <w:tc>
          <w:tcPr>
            <w:tcW w:type="dxa" w:w="2600"/>
            <w:shd w:fill="F1F2F6" w:val="clear"/>
            <w:tcMar>
              <w:top w:type="dxa" w:w="80"/>
              <w:left w:type="dxa" w:w="120"/>
              <w:bottom w:type="dxa" w:w="80"/>
              <w:right w:type="dxa" w:w="120"/>
            </w:tcMar>
          </w:tcPr>
          <w:p>
            <w:pPr>
              <w:spacing w:after="0" w:line="260"/>
            </w:pPr>
            <w:r>
              <w:rPr>
                <w:rFonts w:ascii="Arial" w:cs="Arial" w:eastAsia="Arial" w:hAnsi="Arial"/>
                <w:b/>
                <w:bCs/>
                <w:color w:val="1B1930"/>
                <w:sz w:val="18"/>
                <w:szCs w:val="18"/>
              </w:rPr>
              <w:t xml:space="preserve"/>
            </w:r>
          </w:p>
        </w:tc>
        <w:tc>
          <w:tcPr>
            <w:tcW w:type="dxa" w:w="6760"/>
            <w:tcMar>
              <w:top w:type="dxa" w:w="80"/>
              <w:left w:type="dxa" w:w="120"/>
              <w:bottom w:type="dxa" w:w="80"/>
              <w:right w:type="dxa" w:w="120"/>
            </w:tcMar>
          </w:tcPr>
          <w:p>
            <w:pPr>
              <w:spacing w:after="0" w:line="260"/>
            </w:pPr>
            <w:r>
              <w:rPr>
                <w:rFonts w:ascii="Arial" w:cs="Arial" w:eastAsia="Arial" w:hAnsi="Arial"/>
                <w:color w:val="1B1930"/>
                <w:sz w:val="18"/>
                <w:szCs w:val="18"/>
              </w:rPr>
              <w:t xml:space="preserve">Tel :</w:t>
            </w:r>
          </w:p>
        </w:tc>
      </w:tr>
      <w:tr>
        <w:tc>
          <w:tcPr>
            <w:tcW w:type="dxa" w:w="2600"/>
            <w:shd w:fill="F1F2F6" w:val="clear"/>
            <w:tcMar>
              <w:top w:type="dxa" w:w="80"/>
              <w:left w:type="dxa" w:w="120"/>
              <w:bottom w:type="dxa" w:w="80"/>
              <w:right w:type="dxa" w:w="120"/>
            </w:tcMar>
          </w:tcPr>
          <w:p>
            <w:pPr>
              <w:spacing w:after="0" w:line="260"/>
            </w:pPr>
            <w:r>
              <w:rPr>
                <w:rFonts w:ascii="Arial" w:cs="Arial" w:eastAsia="Arial" w:hAnsi="Arial"/>
                <w:b/>
                <w:bCs/>
                <w:color w:val="1B1930"/>
                <w:sz w:val="18"/>
                <w:szCs w:val="18"/>
              </w:rPr>
              <w:t xml:space="preserve">Internship Period</w:t>
            </w:r>
          </w:p>
        </w:tc>
        <w:tc>
          <w:tcPr>
            <w:tcW w:type="dxa" w:w="6760"/>
            <w:tcMar>
              <w:top w:type="dxa" w:w="80"/>
              <w:left w:type="dxa" w:w="120"/>
              <w:bottom w:type="dxa" w:w="80"/>
              <w:right w:type="dxa" w:w="120"/>
            </w:tcMar>
          </w:tcPr>
          <w:p>
            <w:pPr>
              <w:spacing w:after="0" w:line="260"/>
            </w:pPr>
            <w:r>
              <w:rPr>
                <w:rFonts w:ascii="Arial" w:cs="Arial" w:eastAsia="Arial" w:hAnsi="Arial"/>
                <w:color w:val="1B1930"/>
                <w:sz w:val="18"/>
                <w:szCs w:val="18"/>
              </w:rPr>
              <w:t xml:space="preserve">From : July 2026                    To : mid-September 2026</w:t>
            </w:r>
          </w:p>
        </w:tc>
      </w:tr>
      <w:tr>
        <w:tc>
          <w:tcPr>
            <w:tcW w:type="dxa" w:w="2600"/>
            <w:shd w:fill="F1F2F6" w:val="clear"/>
            <w:tcMar>
              <w:top w:type="dxa" w:w="80"/>
              <w:left w:type="dxa" w:w="120"/>
              <w:bottom w:type="dxa" w:w="80"/>
              <w:right w:type="dxa" w:w="120"/>
            </w:tcMar>
          </w:tcPr>
          <w:p>
            <w:pPr>
              <w:spacing w:after="0" w:line="260"/>
            </w:pPr>
            <w:r>
              <w:rPr>
                <w:rFonts w:ascii="Arial" w:cs="Arial" w:eastAsia="Arial" w:hAnsi="Arial"/>
                <w:b/>
                <w:bCs/>
                <w:color w:val="1B1930"/>
                <w:sz w:val="18"/>
                <w:szCs w:val="18"/>
              </w:rPr>
              <w:t xml:space="preserve">Duration</w:t>
            </w:r>
          </w:p>
        </w:tc>
        <w:tc>
          <w:tcPr>
            <w:tcW w:type="dxa" w:w="6760"/>
            <w:tcMar>
              <w:top w:type="dxa" w:w="80"/>
              <w:left w:type="dxa" w:w="120"/>
              <w:bottom w:type="dxa" w:w="80"/>
              <w:right w:type="dxa" w:w="120"/>
            </w:tcMar>
          </w:tcPr>
          <w:p>
            <w:pPr>
              <w:spacing w:after="0" w:line="260"/>
            </w:pPr>
            <w:r>
              <w:rPr>
                <w:rFonts w:ascii="Arial" w:cs="Arial" w:eastAsia="Arial" w:hAnsi="Arial"/>
                <w:color w:val="1B1930"/>
                <w:sz w:val="18"/>
                <w:szCs w:val="18"/>
              </w:rPr>
              <w:t xml:space="preserve">8 weeks minimum</w:t>
            </w:r>
          </w:p>
        </w:tc>
      </w:tr>
    </w:tbl>
    <w:p>
      <w:r>
        <w:br w:type="page"/>
      </w:r>
    </w:p>
    <w:p>
      <w:pPr>
        <w:shd w:fill="C0392B" w:val="clear"/>
        <w:spacing w:after="120" w:before="200"/>
      </w:pPr>
      <w:r>
        <w:rPr>
          <w:rFonts w:ascii="Arial" w:cs="Arial" w:eastAsia="Arial" w:hAnsi="Arial"/>
          <w:b/>
          <w:bCs/>
          <w:color w:val="FFFFFF"/>
          <w:sz w:val="21"/>
          <w:szCs w:val="21"/>
        </w:rPr>
        <w:t xml:space="preserve">  INTERNSHIP JOURNAL  (to be completed by the intern)</w:t>
      </w:r>
    </w:p>
    <w:p>
      <w:pPr>
        <w:spacing w:after="140"/>
      </w:pPr>
      <w:r>
        <w:rPr>
          <w:rFonts w:ascii="Arial" w:cs="Arial" w:eastAsia="Arial" w:hAnsi="Arial"/>
          <w:i/>
          <w:iCs/>
          <w:color w:val="5A5872"/>
          <w:sz w:val="18"/>
          <w:szCs w:val="18"/>
        </w:rPr>
        <w:t xml:space="preserve">Project: POCUS-Emergency — Intelligent Multimodal Assistant for Clinical Ultrasound and Decision Support in Emergencies.</w:t>
      </w:r>
    </w:p>
    <w:tbl>
      <w:tblPr>
        <w:tblW w:type="dxa" w:w="9360"/>
        <w:tblBorders>
          <w:top w:val="single" w:color="C9C9D4" w:sz="4"/>
          <w:left w:val="single" w:color="C9C9D4" w:sz="4"/>
          <w:bottom w:val="single" w:color="C9C9D4" w:sz="4"/>
          <w:right w:val="single" w:color="C9C9D4" w:sz="4"/>
          <w:insideH w:val="single" w:color="C9C9D4" w:sz="4"/>
          <w:insideV w:val="single" w:color="C9C9D4" w:sz="4"/>
        </w:tblBorders>
      </w:tblPr>
      <w:tblGrid>
        <w:gridCol w:w="2100"/>
        <w:gridCol w:w="7260"/>
      </w:tblGrid>
      <w:tr>
        <w:trPr>
          <w:tblHeader/>
        </w:trPr>
        <w:tc>
          <w:tcPr>
            <w:tcW w:type="dxa" w:w="2100"/>
            <w:shd w:fill="1F2A44"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Date</w:t>
            </w:r>
          </w:p>
        </w:tc>
        <w:tc>
          <w:tcPr>
            <w:tcW w:type="dxa" w:w="7260"/>
            <w:shd w:fill="1F2A44" w:val="clear"/>
            <w:tcMar>
              <w:top w:type="dxa" w:w="80"/>
              <w:left w:type="dxa" w:w="120"/>
              <w:bottom w:type="dxa" w:w="80"/>
              <w:right w:type="dxa" w:w="120"/>
            </w:tcMar>
          </w:tcPr>
          <w:p>
            <w:pPr>
              <w:spacing w:after="0" w:line="260"/>
            </w:pPr>
            <w:r>
              <w:rPr>
                <w:rFonts w:ascii="Arial" w:cs="Arial" w:eastAsia="Arial" w:hAnsi="Arial"/>
                <w:b/>
                <w:bCs/>
                <w:color w:val="FFFFFF"/>
                <w:sz w:val="18"/>
                <w:szCs w:val="18"/>
              </w:rPr>
              <w:t xml:space="preserve">Tasks Completed</w:t>
            </w:r>
          </w:p>
        </w:tc>
      </w:tr>
      <w:tr>
        <w:tc>
          <w:tcPr>
            <w:tcW w:type="dxa" w:w="2100"/>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01 – 03 July</w:t>
            </w:r>
          </w:p>
        </w:tc>
        <w:tc>
          <w:tcPr>
            <w:tcW w:type="dxa" w:w="7260"/>
            <w:tcMar>
              <w:top w:type="dxa" w:w="80"/>
              <w:left w:type="dxa" w:w="120"/>
              <w:bottom w:type="dxa" w:w="80"/>
              <w:right w:type="dxa" w:w="120"/>
            </w:tcMar>
          </w:tcPr>
          <w:p>
            <w:pPr>
              <w:spacing w:after="0" w:line="260"/>
            </w:pPr>
            <w:r>
              <w:rPr>
                <w:rFonts w:ascii="Arial" w:cs="Arial" w:eastAsia="Arial" w:hAnsi="Arial"/>
                <w:color w:val="1B1930"/>
                <w:sz w:val="18"/>
                <w:szCs w:val="18"/>
              </w:rPr>
              <w:t xml:space="preserve">Subject framing and scope. Decided to build one organ system deep (lung) and architect the others rather than build four shallow prototypes. Fixed the agent architecture: Triage and Ultrasound run in parallel, both feeding a Clinical Reasoning agent.</w:t>
            </w:r>
          </w:p>
        </w:tc>
      </w:tr>
      <w:tr>
        <w:tc>
          <w:tcPr>
            <w:tcW w:type="dxa" w:w="2100"/>
            <w:shd w:fill="F1F2F6" w:val="clear"/>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04 – 06 July</w:t>
            </w:r>
          </w:p>
        </w:tc>
        <w:tc>
          <w:tcPr>
            <w:tcW w:type="dxa" w:w="7260"/>
            <w:shd w:fill="F1F2F6" w:val="clear"/>
            <w:tcMar>
              <w:top w:type="dxa" w:w="80"/>
              <w:left w:type="dxa" w:w="120"/>
              <w:bottom w:type="dxa" w:w="80"/>
              <w:right w:type="dxa" w:w="120"/>
            </w:tcMar>
          </w:tcPr>
          <w:p>
            <w:pPr>
              <w:spacing w:after="0" w:line="260"/>
            </w:pPr>
            <w:r>
              <w:rPr>
                <w:rFonts w:ascii="Arial" w:cs="Arial" w:eastAsia="Arial" w:hAnsi="Arial"/>
                <w:color w:val="1B1930"/>
                <w:sz w:val="18"/>
                <w:szCs w:val="18"/>
              </w:rPr>
              <w:t xml:space="preserve">Architecture decisions recorded with their reasons: the escalation decision belongs to the Clinical Reasoning agent rather than to a separate orchestrator; the Triage agent assesses patient urgency, not data routing.</w:t>
            </w:r>
          </w:p>
        </w:tc>
      </w:tr>
      <w:tr>
        <w:tc>
          <w:tcPr>
            <w:tcW w:type="dxa" w:w="2100"/>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07 – 10 July</w:t>
            </w:r>
          </w:p>
        </w:tc>
        <w:tc>
          <w:tcPr>
            <w:tcW w:type="dxa" w:w="7260"/>
            <w:tcMar>
              <w:top w:type="dxa" w:w="80"/>
              <w:left w:type="dxa" w:w="120"/>
              <w:bottom w:type="dxa" w:w="80"/>
              <w:right w:type="dxa" w:w="120"/>
            </w:tcMar>
          </w:tcPr>
          <w:p>
            <w:pPr>
              <w:spacing w:after="0" w:line="260"/>
            </w:pPr>
            <w:r>
              <w:rPr>
                <w:rFonts w:ascii="Arial" w:cs="Arial" w:eastAsia="Arial" w:hAnsi="Arial"/>
                <w:color w:val="1B1930"/>
                <w:sz w:val="18"/>
                <w:szCs w:val="18"/>
              </w:rPr>
              <w:t xml:space="preserve">Dataset search and audit against explicit criteria: recoverable case identity, a licence permitting derived work, and an acquisition setting resembling emergency point-of-care use. Registry of candidate datasets written; triage and cardiac gaps closed.</w:t>
            </w:r>
          </w:p>
        </w:tc>
      </w:tr>
      <w:tr>
        <w:tc>
          <w:tcPr>
            <w:tcW w:type="dxa" w:w="2100"/>
            <w:shd w:fill="F1F2F6" w:val="clear"/>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11 – 13 July</w:t>
            </w:r>
          </w:p>
        </w:tc>
        <w:tc>
          <w:tcPr>
            <w:tcW w:type="dxa" w:w="7260"/>
            <w:shd w:fill="F1F2F6" w:val="clear"/>
            <w:tcMar>
              <w:top w:type="dxa" w:w="80"/>
              <w:left w:type="dxa" w:w="120"/>
              <w:bottom w:type="dxa" w:w="80"/>
              <w:right w:type="dxa" w:w="120"/>
            </w:tcMar>
          </w:tcPr>
          <w:p>
            <w:pPr>
              <w:spacing w:after="0" w:line="260"/>
            </w:pPr>
            <w:r>
              <w:rPr>
                <w:rFonts w:ascii="Arial" w:cs="Arial" w:eastAsia="Arial" w:hAnsi="Arial"/>
                <w:color w:val="1B1930"/>
                <w:sz w:val="18"/>
                <w:szCs w:val="18"/>
              </w:rPr>
              <w:t xml:space="preserve">Data Preparation (CRISP-DM phase 3). Per-organ manifests generated in src/data_prep. Established the rule applied everywhere afterwards: split by patient or case, never by frame, because frames of one clip are near-duplicates.</w:t>
            </w:r>
          </w:p>
        </w:tc>
      </w:tr>
      <w:tr>
        <w:tc>
          <w:tcPr>
            <w:tcW w:type="dxa" w:w="2100"/>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14 – 17 July</w:t>
            </w:r>
          </w:p>
        </w:tc>
        <w:tc>
          <w:tcPr>
            <w:tcW w:type="dxa" w:w="7260"/>
            <w:tcMar>
              <w:top w:type="dxa" w:w="80"/>
              <w:left w:type="dxa" w:w="120"/>
              <w:bottom w:type="dxa" w:w="80"/>
              <w:right w:type="dxa" w:w="120"/>
            </w:tcMar>
          </w:tcPr>
          <w:p>
            <w:pPr>
              <w:spacing w:after="0" w:line="260"/>
            </w:pPr>
            <w:r>
              <w:rPr>
                <w:rFonts w:ascii="Arial" w:cs="Arial" w:eastAsia="Arial" w:hAnsi="Arial"/>
                <w:color w:val="1B1930"/>
                <w:sz w:val="18"/>
                <w:szCs w:val="18"/>
              </w:rPr>
              <w:t xml:space="preserve">Manifest-driven loading rather than folder-driven. Curator flags filtered before anything reaches training; frame sampling per clip fixed. Exact case counts recorded per dataset.</w:t>
            </w:r>
          </w:p>
        </w:tc>
      </w:tr>
      <w:tr>
        <w:tc>
          <w:tcPr>
            <w:tcW w:type="dxa" w:w="2100"/>
            <w:shd w:fill="F1F2F6" w:val="clear"/>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18 – 20 July</w:t>
            </w:r>
          </w:p>
        </w:tc>
        <w:tc>
          <w:tcPr>
            <w:tcW w:type="dxa" w:w="7260"/>
            <w:shd w:fill="F1F2F6" w:val="clear"/>
            <w:tcMar>
              <w:top w:type="dxa" w:w="80"/>
              <w:left w:type="dxa" w:w="120"/>
              <w:bottom w:type="dxa" w:w="80"/>
              <w:right w:type="dxa" w:w="120"/>
            </w:tcMar>
          </w:tcPr>
          <w:p>
            <w:pPr>
              <w:spacing w:after="0" w:line="260"/>
            </w:pPr>
            <w:r>
              <w:rPr>
                <w:rFonts w:ascii="Arial" w:cs="Arial" w:eastAsia="Arial" w:hAnsi="Arial"/>
                <w:color w:val="1B1930"/>
                <w:sz w:val="18"/>
                <w:szCs w:val="18"/>
              </w:rPr>
              <w:t xml:space="preserve">Prepared and presented the first supervisor review: dataset organisation, the model chosen per organ and why, and the lung hyperparameters with the reasoning behind each.</w:t>
            </w:r>
          </w:p>
        </w:tc>
      </w:tr>
      <w:tr>
        <w:tc>
          <w:tcPr>
            <w:tcW w:type="dxa" w:w="2100"/>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21 – 24 July</w:t>
            </w:r>
          </w:p>
        </w:tc>
        <w:tc>
          <w:tcPr>
            <w:tcW w:type="dxa" w:w="7260"/>
            <w:tcMar>
              <w:top w:type="dxa" w:w="80"/>
              <w:left w:type="dxa" w:w="120"/>
              <w:bottom w:type="dxa" w:w="80"/>
              <w:right w:type="dxa" w:w="120"/>
            </w:tcMar>
          </w:tcPr>
          <w:p>
            <w:pPr>
              <w:spacing w:after="0" w:line="260"/>
            </w:pPr>
            <w:r>
              <w:rPr>
                <w:rFonts w:ascii="Arial" w:cs="Arial" w:eastAsia="Arial" w:hAnsi="Arial"/>
                <w:color w:val="1B1930"/>
                <w:sz w:val="18"/>
                <w:szCs w:val="18"/>
              </w:rPr>
              <w:t xml:space="preserve">Lung model comparison set up: three backbones (ultrasound-pretrained ResNet-18, ImageNet ResNet-18 as an honest baseline, and an ultrasound foundation model) under an identical fine-tuning recipe so the comparison is fair rather than confounded.</w:t>
            </w:r>
          </w:p>
        </w:tc>
      </w:tr>
      <w:tr>
        <w:tc>
          <w:tcPr>
            <w:tcW w:type="dxa" w:w="2100"/>
            <w:shd w:fill="F1F2F6" w:val="clear"/>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25 – 28 July</w:t>
            </w:r>
          </w:p>
        </w:tc>
        <w:tc>
          <w:tcPr>
            <w:tcW w:type="dxa" w:w="7260"/>
            <w:shd w:fill="F1F2F6" w:val="clear"/>
            <w:tcMar>
              <w:top w:type="dxa" w:w="80"/>
              <w:left w:type="dxa" w:w="120"/>
              <w:bottom w:type="dxa" w:w="80"/>
              <w:right w:type="dxa" w:w="120"/>
            </w:tcMar>
          </w:tcPr>
          <w:p>
            <w:pPr>
              <w:spacing w:after="0" w:line="260"/>
            </w:pPr>
            <w:r>
              <w:rPr>
                <w:rFonts w:ascii="Arial" w:cs="Arial" w:eastAsia="Arial" w:hAnsi="Arial"/>
                <w:color w:val="1B1930"/>
                <w:sz w:val="18"/>
                <w:szCs w:val="18"/>
              </w:rPr>
              <w:t xml:space="preserve">Lung training runs. Overfitting diagnosed from the loss curves and addressed with dropout, weight decay and checkpoint selection on validation AUROC instead of validation loss.</w:t>
            </w:r>
          </w:p>
        </w:tc>
      </w:tr>
      <w:tr>
        <w:tc>
          <w:tcPr>
            <w:tcW w:type="dxa" w:w="2100"/>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29 – 31 July</w:t>
            </w:r>
          </w:p>
        </w:tc>
        <w:tc>
          <w:tcPr>
            <w:tcW w:type="dxa" w:w="7260"/>
            <w:tcMar>
              <w:top w:type="dxa" w:w="80"/>
              <w:left w:type="dxa" w:w="120"/>
              <w:bottom w:type="dxa" w:w="80"/>
              <w:right w:type="dxa" w:w="120"/>
            </w:tcMar>
          </w:tcPr>
          <w:p>
            <w:pPr>
              <w:spacing w:after="0" w:line="260"/>
            </w:pPr>
            <w:r>
              <w:rPr>
                <w:rFonts w:ascii="Arial" w:cs="Arial" w:eastAsia="Arial" w:hAnsi="Arial"/>
                <w:color w:val="1B1930"/>
                <w:sz w:val="18"/>
                <w:szCs w:val="18"/>
              </w:rPr>
              <w:t xml:space="preserve">Per-class decision thresholds tuned instead of a blanket 0.5 cutoff, and a class-weighted loss added because the rarer findings were otherwise underfitted.</w:t>
            </w:r>
          </w:p>
        </w:tc>
      </w:tr>
      <w:tr>
        <w:tc>
          <w:tcPr>
            <w:tcW w:type="dxa" w:w="2100"/>
            <w:shd w:fill="F1F2F6" w:val="clear"/>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01 – 04 August</w:t>
            </w:r>
          </w:p>
        </w:tc>
        <w:tc>
          <w:tcPr>
            <w:tcW w:type="dxa" w:w="7260"/>
            <w:shd w:fill="F1F2F6" w:val="clear"/>
            <w:tcMar>
              <w:top w:type="dxa" w:w="80"/>
              <w:left w:type="dxa" w:w="120"/>
              <w:bottom w:type="dxa" w:w="80"/>
              <w:right w:type="dxa" w:w="120"/>
            </w:tcMar>
          </w:tcPr>
          <w:p>
            <w:pPr>
              <w:spacing w:after="0" w:line="260"/>
            </w:pPr>
            <w:r>
              <w:rPr>
                <w:rFonts w:ascii="Arial" w:cs="Arial" w:eastAsia="Arial" w:hAnsi="Arial"/>
                <w:color w:val="1B1930"/>
                <w:sz w:val="18"/>
                <w:szCs w:val="18"/>
              </w:rPr>
              <w:t xml:space="preserve">Cardiac module: U-Net with an EfficientNet-B0 encoder trained on CAMUS, benchmarked against the published nnU-Net Dice scores for left ventricle, myocardium and left atrium.</w:t>
            </w:r>
          </w:p>
        </w:tc>
      </w:tr>
      <w:tr>
        <w:tc>
          <w:tcPr>
            <w:tcW w:type="dxa" w:w="2100"/>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05 – 08 August</w:t>
            </w:r>
          </w:p>
        </w:tc>
        <w:tc>
          <w:tcPr>
            <w:tcW w:type="dxa" w:w="7260"/>
            <w:tcMar>
              <w:top w:type="dxa" w:w="80"/>
              <w:left w:type="dxa" w:w="120"/>
              <w:bottom w:type="dxa" w:w="80"/>
              <w:right w:type="dxa" w:w="120"/>
            </w:tcMar>
          </w:tcPr>
          <w:p>
            <w:pPr>
              <w:spacing w:after="0" w:line="260"/>
            </w:pPr>
            <w:r>
              <w:rPr>
                <w:rFonts w:ascii="Arial" w:cs="Arial" w:eastAsia="Arial" w:hAnsi="Arial"/>
                <w:color w:val="1B1930"/>
                <w:sz w:val="18"/>
                <w:szCs w:val="18"/>
              </w:rPr>
              <w:t xml:space="preserve">Cardiac external validation. A large generalisation gap measured on an independent collection; a hypothesis about labelling conventions tested and disproved. Ejection fraction corrected for a geometric bias, halving its error.</w:t>
            </w:r>
          </w:p>
        </w:tc>
      </w:tr>
      <w:tr>
        <w:tc>
          <w:tcPr>
            <w:tcW w:type="dxa" w:w="2100"/>
            <w:shd w:fill="F1F2F6" w:val="clear"/>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09 – 12 August</w:t>
            </w:r>
          </w:p>
        </w:tc>
        <w:tc>
          <w:tcPr>
            <w:tcW w:type="dxa" w:w="7260"/>
            <w:shd w:fill="F1F2F6" w:val="clear"/>
            <w:tcMar>
              <w:top w:type="dxa" w:w="80"/>
              <w:left w:type="dxa" w:w="120"/>
              <w:bottom w:type="dxa" w:w="80"/>
              <w:right w:type="dxa" w:w="120"/>
            </w:tcMar>
          </w:tcPr>
          <w:p>
            <w:pPr>
              <w:spacing w:after="0" w:line="260"/>
            </w:pPr>
            <w:r>
              <w:rPr>
                <w:rFonts w:ascii="Arial" w:cs="Arial" w:eastAsia="Arial" w:hAnsi="Arial"/>
                <w:color w:val="1B1930"/>
                <w:sz w:val="18"/>
                <w:szCs w:val="18"/>
              </w:rPr>
              <w:t xml:space="preserve">Gallbladder classifier trained. Per-case inspection of the taxonomy found one class whose contents did not match its label; it was excluded, and reporting was reduced to five mutually exclusive groups.</w:t>
            </w:r>
          </w:p>
        </w:tc>
      </w:tr>
      <w:tr>
        <w:tc>
          <w:tcPr>
            <w:tcW w:type="dxa" w:w="2100"/>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13 – 15 August</w:t>
            </w:r>
          </w:p>
        </w:tc>
        <w:tc>
          <w:tcPr>
            <w:tcW w:type="dxa" w:w="7260"/>
            <w:tcMar>
              <w:top w:type="dxa" w:w="80"/>
              <w:left w:type="dxa" w:w="120"/>
              <w:bottom w:type="dxa" w:w="80"/>
              <w:right w:type="dxa" w:w="120"/>
            </w:tcMar>
          </w:tcPr>
          <w:p>
            <w:pPr>
              <w:spacing w:after="0" w:line="260"/>
            </w:pPr>
            <w:r>
              <w:rPr>
                <w:rFonts w:ascii="Arial" w:cs="Arial" w:eastAsia="Arial" w:hAnsi="Arial"/>
                <w:color w:val="1B1930"/>
                <w:sz w:val="18"/>
                <w:szCs w:val="18"/>
              </w:rPr>
              <w:t xml:space="preserve">Triage model on pooled emergency-department data. Disposition fields removed after they were found to leak the outcome into the input; probabilities calibrated and a safety threshold set on the high-urgency class.</w:t>
            </w:r>
          </w:p>
        </w:tc>
      </w:tr>
      <w:tr>
        <w:tc>
          <w:tcPr>
            <w:tcW w:type="dxa" w:w="2100"/>
            <w:shd w:fill="F1F2F6" w:val="clear"/>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16 – 17 August</w:t>
            </w:r>
          </w:p>
        </w:tc>
        <w:tc>
          <w:tcPr>
            <w:tcW w:type="dxa" w:w="7260"/>
            <w:shd w:fill="F1F2F6" w:val="clear"/>
            <w:tcMar>
              <w:top w:type="dxa" w:w="80"/>
              <w:left w:type="dxa" w:w="120"/>
              <w:bottom w:type="dxa" w:w="80"/>
              <w:right w:type="dxa" w:w="120"/>
            </w:tcMar>
          </w:tcPr>
          <w:p>
            <w:pPr>
              <w:spacing w:after="0" w:line="260"/>
            </w:pPr>
            <w:r>
              <w:rPr>
                <w:rFonts w:ascii="Arial" w:cs="Arial" w:eastAsia="Arial" w:hAnsi="Arial"/>
                <w:color w:val="1B1930"/>
                <w:sz w:val="18"/>
                <w:szCs w:val="18"/>
              </w:rPr>
              <w:t xml:space="preserve">Repository set up and the three agents integrated behind one contract. Clinical knowledge corpus sourced and cited unit by unit. Retrieval compared with and without, and the result recorded even though it traded one class of error for another.</w:t>
            </w:r>
          </w:p>
        </w:tc>
      </w:tr>
      <w:tr>
        <w:tc>
          <w:tcPr>
            <w:tcW w:type="dxa" w:w="2100"/>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18 – 19 August</w:t>
            </w:r>
          </w:p>
        </w:tc>
        <w:tc>
          <w:tcPr>
            <w:tcW w:type="dxa" w:w="7260"/>
            <w:tcMar>
              <w:top w:type="dxa" w:w="80"/>
              <w:left w:type="dxa" w:w="120"/>
              <w:bottom w:type="dxa" w:w="80"/>
              <w:right w:type="dxa" w:w="120"/>
            </w:tcMar>
          </w:tcPr>
          <w:p>
            <w:pPr>
              <w:spacing w:after="0" w:line="260"/>
            </w:pPr>
            <w:r>
              <w:rPr>
                <w:rFonts w:ascii="Arial" w:cs="Arial" w:eastAsia="Arial" w:hAnsi="Arial"/>
                <w:color w:val="1B1930"/>
                <w:sz w:val="18"/>
                <w:szCs w:val="18"/>
              </w:rPr>
              <w:t xml:space="preserve">Evidence made citable by identifier rather than by prose, which removed a whole class of fabrication. Deterministic output controls tested and the reasoning agent frozen. Report chapters on perception, reasoning, integration and discussion drafted.</w:t>
            </w:r>
          </w:p>
        </w:tc>
      </w:tr>
      <w:tr>
        <w:tc>
          <w:tcPr>
            <w:tcW w:type="dxa" w:w="2100"/>
            <w:shd w:fill="F1F2F6" w:val="clear"/>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20 August</w:t>
            </w:r>
          </w:p>
        </w:tc>
        <w:tc>
          <w:tcPr>
            <w:tcW w:type="dxa" w:w="7260"/>
            <w:shd w:fill="F1F2F6" w:val="clear"/>
            <w:tcMar>
              <w:top w:type="dxa" w:w="80"/>
              <w:left w:type="dxa" w:w="120"/>
              <w:bottom w:type="dxa" w:w="80"/>
              <w:right w:type="dxa" w:w="120"/>
            </w:tcMar>
          </w:tcPr>
          <w:p>
            <w:pPr>
              <w:spacing w:after="0" w:line="260"/>
            </w:pPr>
            <w:r>
              <w:rPr>
                <w:rFonts w:ascii="Arial" w:cs="Arial" w:eastAsia="Arial" w:hAnsi="Arial"/>
                <w:color w:val="1B1930"/>
                <w:sz w:val="18"/>
                <w:szCs w:val="18"/>
              </w:rPr>
              <w:t xml:space="preserve">Severity grading, alerts, examination recommendations and standardised reporting built. Whole system frozen as version 1 after a full regression run.</w:t>
            </w:r>
          </w:p>
        </w:tc>
      </w:tr>
      <w:tr>
        <w:tc>
          <w:tcPr>
            <w:tcW w:type="dxa" w:w="2100"/>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24 – 25 August</w:t>
            </w:r>
          </w:p>
        </w:tc>
        <w:tc>
          <w:tcPr>
            <w:tcW w:type="dxa" w:w="7260"/>
            <w:tcMar>
              <w:top w:type="dxa" w:w="80"/>
              <w:left w:type="dxa" w:w="120"/>
              <w:bottom w:type="dxa" w:w="80"/>
              <w:right w:type="dxa" w:w="120"/>
            </w:tcMar>
          </w:tcPr>
          <w:p>
            <w:pPr>
              <w:spacing w:after="0" w:line="260"/>
            </w:pPr>
            <w:r>
              <w:rPr>
                <w:rFonts w:ascii="Arial" w:cs="Arial" w:eastAsia="Arial" w:hAnsi="Arial"/>
                <w:color w:val="1B1930"/>
                <w:sz w:val="18"/>
                <w:szCs w:val="18"/>
              </w:rPr>
              <w:t xml:space="preserve">Clinician-facing interface built on the delivered design and driven entirely by the pipeline. Cardiac and gallbladder inference extracted so all three organs read real images. French interface produced from the same computed fields as the English.</w:t>
            </w:r>
          </w:p>
        </w:tc>
      </w:tr>
      <w:tr>
        <w:tc>
          <w:tcPr>
            <w:tcW w:type="dxa" w:w="2100"/>
            <w:shd w:fill="F1F2F6" w:val="clear"/>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27 – 29 August</w:t>
            </w:r>
          </w:p>
        </w:tc>
        <w:tc>
          <w:tcPr>
            <w:tcW w:type="dxa" w:w="7260"/>
            <w:shd w:fill="F1F2F6" w:val="clear"/>
            <w:tcMar>
              <w:top w:type="dxa" w:w="80"/>
              <w:left w:type="dxa" w:w="120"/>
              <w:bottom w:type="dxa" w:w="80"/>
              <w:right w:type="dxa" w:w="120"/>
            </w:tcMar>
          </w:tcPr>
          <w:p>
            <w:pPr>
              <w:spacing w:after="0" w:line="260"/>
            </w:pPr>
            <w:r>
              <w:rPr>
                <w:rFonts w:ascii="Arial" w:cs="Arial" w:eastAsia="Arial" w:hAnsi="Arial"/>
                <w:color w:val="1B1930"/>
                <w:sz w:val="18"/>
                <w:szCs w:val="18"/>
              </w:rPr>
              <w:t xml:space="preserve">Interface defects found by use and fixed: test fixtures listed as if they were patients, a study discarded when analysis started too early, an assistant answering the wrong question. MLOps lifecycle built: dataset versioning by content hash, a model registry, and a promotion gate that checks dangerous-miss recall rather than accuracy alone.</w:t>
            </w:r>
          </w:p>
        </w:tc>
      </w:tr>
      <w:tr>
        <w:tc>
          <w:tcPr>
            <w:tcW w:type="dxa" w:w="2100"/>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31 August – 02 September</w:t>
            </w:r>
          </w:p>
        </w:tc>
        <w:tc>
          <w:tcPr>
            <w:tcW w:type="dxa" w:w="7260"/>
            <w:tcMar>
              <w:top w:type="dxa" w:w="80"/>
              <w:left w:type="dxa" w:w="120"/>
              <w:bottom w:type="dxa" w:w="80"/>
              <w:right w:type="dxa" w:w="120"/>
            </w:tcMar>
          </w:tcPr>
          <w:p>
            <w:pPr>
              <w:spacing w:after="0" w:line="260"/>
            </w:pPr>
            <w:r>
              <w:rPr>
                <w:rFonts w:ascii="Arial" w:cs="Arial" w:eastAsia="Arial" w:hAnsi="Arial"/>
                <w:color w:val="1B1930"/>
                <w:sz w:val="18"/>
                <w:szCs w:val="18"/>
              </w:rPr>
              <w:t xml:space="preserve">Training experiments with early stopping and a reduced training fraction, showing what more data actually bought. Report: the MLOps chapter, the host organisation, and how the datasets were chosen.</w:t>
            </w:r>
          </w:p>
        </w:tc>
      </w:tr>
      <w:tr>
        <w:tc>
          <w:tcPr>
            <w:tcW w:type="dxa" w:w="2100"/>
            <w:shd w:fill="F1F2F6" w:val="clear"/>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07 September</w:t>
            </w:r>
          </w:p>
        </w:tc>
        <w:tc>
          <w:tcPr>
            <w:tcW w:type="dxa" w:w="7260"/>
            <w:shd w:fill="F1F2F6" w:val="clear"/>
            <w:tcMar>
              <w:top w:type="dxa" w:w="80"/>
              <w:left w:type="dxa" w:w="120"/>
              <w:bottom w:type="dxa" w:w="80"/>
              <w:right w:type="dxa" w:w="120"/>
            </w:tcMar>
          </w:tcPr>
          <w:p>
            <w:pPr>
              <w:spacing w:after="0" w:line="260"/>
            </w:pPr>
            <w:r>
              <w:rPr>
                <w:rFonts w:ascii="Arial" w:cs="Arial" w:eastAsia="Arial" w:hAnsi="Arial"/>
                <w:color w:val="1B1930"/>
                <w:sz w:val="18"/>
                <w:szCs w:val="18"/>
              </w:rPr>
              <w:t xml:space="preserve">Containerisation, dependency and code security scanning, and health and metrics endpoints for monitoring. Triage model retrained on exactly the fields the interface collects, so the reported accuracy is one a deployed prediction can reach.</w:t>
            </w:r>
          </w:p>
        </w:tc>
      </w:tr>
      <w:tr>
        <w:tc>
          <w:tcPr>
            <w:tcW w:type="dxa" w:w="2100"/>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08 September</w:t>
            </w:r>
          </w:p>
        </w:tc>
        <w:tc>
          <w:tcPr>
            <w:tcW w:type="dxa" w:w="7260"/>
            <w:tcMar>
              <w:top w:type="dxa" w:w="80"/>
              <w:left w:type="dxa" w:w="120"/>
              <w:bottom w:type="dxa" w:w="80"/>
              <w:right w:type="dxa" w:w="120"/>
            </w:tcMar>
          </w:tcPr>
          <w:p>
            <w:pPr>
              <w:spacing w:after="0" w:line="260"/>
            </w:pPr>
            <w:r>
              <w:rPr>
                <w:rFonts w:ascii="Arial" w:cs="Arial" w:eastAsia="Arial" w:hAnsi="Arial"/>
                <w:color w:val="1B1930"/>
                <w:sz w:val="18"/>
                <w:szCs w:val="18"/>
              </w:rPr>
              <w:t xml:space="preserve">Continuous integration running every check on each push. Human–AI disagreement recorded as a safety signal. Report restructured so the chapters carry the CRISP-DM phase names, compiled locally, and verified end to end.</w:t>
            </w:r>
          </w:p>
        </w:tc>
      </w:tr>
      <w:tr>
        <w:tc>
          <w:tcPr>
            <w:tcW w:type="dxa" w:w="2100"/>
            <w:shd w:fill="F1F2F6" w:val="clear"/>
            <w:tcMar>
              <w:top w:type="dxa" w:w="80"/>
              <w:left w:type="dxa" w:w="120"/>
              <w:bottom w:type="dxa" w:w="80"/>
              <w:right w:type="dxa" w:w="120"/>
            </w:tcMar>
            <w:vAlign w:val="top"/>
          </w:tcPr>
          <w:p>
            <w:pPr>
              <w:spacing w:after="0" w:line="260"/>
            </w:pPr>
            <w:r>
              <w:rPr>
                <w:rFonts w:ascii="Arial" w:cs="Arial" w:eastAsia="Arial" w:hAnsi="Arial"/>
                <w:b/>
                <w:bCs/>
                <w:color w:val="1B1930"/>
                <w:sz w:val="18"/>
                <w:szCs w:val="18"/>
              </w:rPr>
              <w:t xml:space="preserve">09 September</w:t>
            </w:r>
          </w:p>
        </w:tc>
        <w:tc>
          <w:tcPr>
            <w:tcW w:type="dxa" w:w="7260"/>
            <w:shd w:fill="F1F2F6" w:val="clear"/>
            <w:tcMar>
              <w:top w:type="dxa" w:w="80"/>
              <w:left w:type="dxa" w:w="120"/>
              <w:bottom w:type="dxa" w:w="80"/>
              <w:right w:type="dxa" w:w="120"/>
            </w:tcMar>
          </w:tcPr>
          <w:p>
            <w:pPr>
              <w:spacing w:after="0" w:line="260"/>
            </w:pPr>
            <w:r>
              <w:rPr>
                <w:rFonts w:ascii="Arial" w:cs="Arial" w:eastAsia="Arial" w:hAnsi="Arial"/>
                <w:color w:val="1B1930"/>
                <w:sz w:val="18"/>
                <w:szCs w:val="18"/>
              </w:rPr>
              <w:t xml:space="preserve">Doctor accounts with hashed passwords and server-side sessions. Patients and examinations stored per doctor, with authorisation enforced on every query. A patient list screen with stored history, images and measurements surviving a restart.</w:t>
            </w:r>
          </w:p>
        </w:tc>
      </w:tr>
    </w:tbl>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Journal — POCUS-Emergency</dc:title>
  <dc:creator>Mariem Brik</dc:creator>
  <cp:lastModifiedBy>Un-named</cp:lastModifiedBy>
  <cp:revision>1</cp:revision>
  <dcterms:created xsi:type="dcterms:W3CDTF">2026-09-09T17:51:27.263Z</dcterms:created>
  <dcterms:modified xsi:type="dcterms:W3CDTF">2026-09-09T17:51:27.272Z</dcterms:modified>
</cp:coreProperties>
</file>

<file path=docProps/custom.xml><?xml version="1.0" encoding="utf-8"?>
<Properties xmlns="http://schemas.openxmlformats.org/officeDocument/2006/custom-properties" xmlns:vt="http://schemas.openxmlformats.org/officeDocument/2006/docPropsVTypes"/>
</file>