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4A45A8"/>
          <w:sz w:val="44"/>
          <w:szCs w:val="44"/>
        </w:rPr>
        <w:t xml:space="preserve">POCUS-Emergency</w:t>
      </w:r>
    </w:p>
    <w:p>
      <w:pPr>
        <w:spacing w:after="40"/>
      </w:pPr>
      <w:r>
        <w:rPr>
          <w:rFonts w:ascii="Calibri" w:cs="Calibri" w:eastAsia="Calibri" w:hAnsi="Calibri"/>
          <w:color w:val="1B1930"/>
          <w:sz w:val="26"/>
          <w:szCs w:val="26"/>
        </w:rPr>
        <w:t xml:space="preserve">The MLOps work, explained plainly</w:t>
      </w:r>
    </w:p>
    <w:p>
      <w:pPr>
        <w:pBdr>
          <w:bottom w:val="single" w:color="4A45A8" w:sz="12" w:space="8"/>
        </w:pBdr>
        <w:spacing w:after="260"/>
      </w:pPr>
      <w:r>
        <w:rPr>
          <w:rFonts w:ascii="Calibri" w:cs="Calibri" w:eastAsia="Calibri" w:hAnsi="Calibri"/>
          <w:color w:val="5A5872"/>
          <w:sz w:val="19"/>
          <w:szCs w:val="19"/>
        </w:rPr>
        <w:t xml:space="preserve">Revision notes for the defense · September 2026</w:t>
      </w:r>
    </w:p>
    <w:p>
      <w:pPr>
        <w:pStyle w:val="Heading1"/>
        <w:spacing w:after="160" w:before="340"/>
      </w:pPr>
      <w:r>
        <w:rPr>
          <w:rFonts w:ascii="Calibri" w:cs="Calibri" w:eastAsia="Calibri" w:hAnsi="Calibri"/>
          <w:b/>
          <w:bCs/>
          <w:color w:val="4A45A8"/>
          <w:sz w:val="30"/>
          <w:szCs w:val="30"/>
        </w:rPr>
        <w:t xml:space="preserve">The one-sentence version</w:t>
      </w:r>
    </w:p>
    <w:p>
      <w:pPr>
        <w:pBdr>
          <w:left w:val="single" w:color="4A45A8" w:sz="18" w:space="14"/>
        </w:pBdr>
        <w:spacing w:after="180" w:before="160" w:line="300"/>
        <w:ind w:left="280"/>
      </w:pPr>
      <w:r>
        <w:rPr>
          <w:rFonts w:ascii="Calibri" w:cs="Calibri" w:eastAsia="Calibri" w:hAnsi="Calibri"/>
          <w:i/>
          <w:iCs/>
          <w:color w:val="1B1930"/>
          <w:sz w:val="21"/>
          <w:szCs w:val="21"/>
        </w:rPr>
        <w:t xml:space="preserve">MLOps is what turns "I trained a model on my laptop" into "we know exactly which data made this model, whether it is better than the last one, and who signed off on putting it in front of a patient."</w:t>
      </w:r>
    </w:p>
    <w:p>
      <w:pPr>
        <w:spacing w:after="140" w:line="300"/>
      </w:pPr>
      <w:r>
        <w:rPr>
          <w:rFonts w:ascii="Calibri" w:cs="Calibri" w:eastAsia="Calibri" w:hAnsi="Calibri"/>
          <w:color w:val="1B1930"/>
          <w:sz w:val="21"/>
          <w:szCs w:val="21"/>
        </w:rPr>
        <w:t xml:space="preserve">Everything in this project is one of those three worries. The rest of this document takes them one at a time, names the file that answers each, and ends with what to say if a jury asks.</w:t>
      </w:r>
    </w:p>
    <w:p>
      <w:pPr>
        <w:pStyle w:val="Heading1"/>
        <w:spacing w:after="160" w:before="340"/>
      </w:pPr>
      <w:r>
        <w:rPr>
          <w:rFonts w:ascii="Calibri" w:cs="Calibri" w:eastAsia="Calibri" w:hAnsi="Calibri"/>
          <w:b/>
          <w:bCs/>
          <w:color w:val="4A45A8"/>
          <w:sz w:val="30"/>
          <w:szCs w:val="30"/>
        </w:rPr>
        <w:t xml:space="preserve">Worry 1 — Which data made this model?</w:t>
      </w:r>
    </w:p>
    <w:p>
      <w:pPr>
        <w:pStyle w:val="Heading2"/>
        <w:spacing w:after="120" w:before="260"/>
      </w:pPr>
      <w:r>
        <w:rPr>
          <w:rFonts w:ascii="Calibri" w:cs="Calibri" w:eastAsia="Calibri" w:hAnsi="Calibri"/>
          <w:b/>
          <w:bCs/>
          <w:color w:val="1B1930"/>
          <w:sz w:val="24"/>
          <w:szCs w:val="24"/>
        </w:rPr>
        <w:t xml:space="preserve">The problem</w:t>
      </w:r>
    </w:p>
    <w:p>
      <w:pPr>
        <w:spacing w:after="140" w:line="300"/>
      </w:pPr>
      <w:r>
        <w:rPr>
          <w:rFonts w:ascii="Calibri" w:cs="Calibri" w:eastAsia="Calibri" w:hAnsi="Calibri"/>
          <w:color w:val="1B1930"/>
          <w:sz w:val="21"/>
          <w:szCs w:val="21"/>
        </w:rPr>
        <w:t xml:space="preserve">Six months later somebody asks why the lung model says what it says. You point at a folder. The folder has changed since. You cannot say what was in it at the time, so you cannot reproduce the model, and neither can anyone else.</w:t>
      </w:r>
    </w:p>
    <w:p>
      <w:pPr>
        <w:pStyle w:val="Heading2"/>
        <w:spacing w:after="120" w:before="260"/>
      </w:pPr>
      <w:r>
        <w:rPr>
          <w:rFonts w:ascii="Calibri" w:cs="Calibri" w:eastAsia="Calibri" w:hAnsi="Calibri"/>
          <w:b/>
          <w:bCs/>
          <w:color w:val="1B1930"/>
          <w:sz w:val="24"/>
          <w:szCs w:val="24"/>
        </w:rPr>
        <w:t xml:space="preserve">What you built</w:t>
      </w:r>
    </w:p>
    <w:p>
      <w:pPr>
        <w:spacing w:after="140" w:line="300"/>
      </w:pPr>
      <w:r>
        <w:rPr>
          <w:rFonts w:ascii="Calibri" w:cs="Calibri" w:eastAsia="Calibri" w:hAnsi="Calibri"/>
          <w:color w:val="1B1930"/>
          <w:sz w:val="21"/>
          <w:szCs w:val="21"/>
        </w:rPr>
        <w:t xml:space="preserve">Nine </w:t>
      </w:r>
      <w:r>
        <w:rPr>
          <w:rFonts w:ascii="Calibri" w:cs="Calibri" w:eastAsia="Calibri" w:hAnsi="Calibri"/>
          <w:b/>
          <w:bCs/>
          <w:color w:val="1B1930"/>
          <w:sz w:val="21"/>
          <w:szCs w:val="21"/>
        </w:rPr>
        <w:t xml:space="preserve">manifests</w:t>
      </w:r>
      <w:r>
        <w:rPr>
          <w:rFonts w:ascii="Calibri" w:cs="Calibri" w:eastAsia="Calibri" w:hAnsi="Calibri"/>
          <w:color w:val="1B1930"/>
          <w:sz w:val="21"/>
          <w:szCs w:val="21"/>
        </w:rPr>
        <w:t xml:space="preserve"> in </w:t>
      </w:r>
      <w:r>
        <w:rPr>
          <w:rFonts w:ascii="Consolas" w:cs="Consolas" w:eastAsia="Consolas" w:hAnsi="Consolas"/>
          <w:color w:val="1B1930"/>
          <w:sz w:val="21"/>
          <w:szCs w:val="21"/>
        </w:rPr>
        <w:t xml:space="preserve">manifests/</w:t>
      </w:r>
      <w:r>
        <w:rPr>
          <w:rFonts w:ascii="Calibri" w:cs="Calibri" w:eastAsia="Calibri" w:hAnsi="Calibri"/>
          <w:color w:val="1B1930"/>
          <w:sz w:val="21"/>
          <w:szCs w:val="21"/>
        </w:rPr>
        <w:t xml:space="preserve"> — CSV files listing every row and image actually used, with its labels. Each manifest is then reduced to a </w:t>
      </w:r>
      <w:r>
        <w:rPr>
          <w:rFonts w:ascii="Calibri" w:cs="Calibri" w:eastAsia="Calibri" w:hAnsi="Calibri"/>
          <w:b/>
          <w:bCs/>
          <w:color w:val="1B1930"/>
          <w:sz w:val="21"/>
          <w:szCs w:val="21"/>
        </w:rPr>
        <w:t xml:space="preserve">content hash</w:t>
      </w:r>
      <w:r>
        <w:rPr>
          <w:rFonts w:ascii="Calibri" w:cs="Calibri" w:eastAsia="Calibri" w:hAnsi="Calibri"/>
          <w:color w:val="1B1930"/>
          <w:sz w:val="21"/>
          <w:szCs w:val="21"/>
        </w:rPr>
        <w:t xml:space="preserve">:</w:t>
      </w:r>
    </w:p>
    <w:p>
      <w:pPr>
        <w:shd w:fill="F4F3FA" w:val="clear"/>
        <w:spacing w:after="140" w:before="60"/>
        <w:ind w:left="220" w:right="220"/>
      </w:pPr>
      <w:r>
        <w:rPr>
          <w:rFonts w:ascii="Consolas" w:cs="Consolas" w:eastAsia="Consolas" w:hAnsi="Consolas"/>
          <w:color w:val="1B1930"/>
          <w:sz w:val="19"/>
          <w:szCs w:val="19"/>
        </w:rPr>
        <w:t xml:space="preserve">lung@11075e6a4296</w:t>
      </w:r>
    </w:p>
    <w:p>
      <w:pPr>
        <w:spacing w:after="140" w:line="300"/>
      </w:pPr>
      <w:r>
        <w:rPr>
          <w:rFonts w:ascii="Calibri" w:cs="Calibri" w:eastAsia="Calibri" w:hAnsi="Calibri"/>
          <w:color w:val="1B1930"/>
          <w:sz w:val="21"/>
          <w:szCs w:val="21"/>
        </w:rPr>
        <w:t xml:space="preserve">Think of it as a fingerprint of the data. Change one row and the fingerprint changes. The registry records that string beside each model, so the data that produced it is named exactly and permanently.</w:t>
      </w:r>
    </w:p>
    <w:p>
      <w:pPr>
        <w:pBdr>
          <w:left w:val="single" w:color="4A45A8" w:sz="18" w:space="14"/>
        </w:pBdr>
        <w:spacing w:after="180" w:before="160" w:line="300"/>
        <w:ind w:left="280"/>
      </w:pPr>
      <w:r>
        <w:rPr>
          <w:rFonts w:ascii="Calibri" w:cs="Calibri" w:eastAsia="Calibri" w:hAnsi="Calibri"/>
          <w:i/>
          <w:iCs/>
          <w:color w:val="1B1930"/>
          <w:sz w:val="21"/>
          <w:szCs w:val="21"/>
        </w:rPr>
        <w:t xml:space="preserve">Why not DVC, the standard tool? The datasets here are tens of gigabytes, already untracked, and not redistributable — so DVC without a remote would add a tool without adding reproducibility. Hashing the manifest, the list of rows actually used, records which data produced which model, and that is the property that matters. If the data ever becomes shareable, DVC slots in underneath unchanged.</w:t>
      </w:r>
    </w:p>
    <w:p>
      <w:pPr>
        <w:pStyle w:val="Heading1"/>
        <w:spacing w:after="160" w:before="340"/>
      </w:pPr>
      <w:r>
        <w:rPr>
          <w:rFonts w:ascii="Calibri" w:cs="Calibri" w:eastAsia="Calibri" w:hAnsi="Calibri"/>
          <w:b/>
          <w:bCs/>
          <w:color w:val="4A45A8"/>
          <w:sz w:val="30"/>
          <w:szCs w:val="30"/>
        </w:rPr>
        <w:t xml:space="preserve">Worry 2 — Is the new model actually better?</w:t>
      </w:r>
    </w:p>
    <w:p>
      <w:pPr>
        <w:spacing w:after="140" w:line="300"/>
      </w:pPr>
      <w:r>
        <w:rPr>
          <w:rFonts w:ascii="Calibri" w:cs="Calibri" w:eastAsia="Calibri" w:hAnsi="Calibri"/>
          <w:color w:val="1B1930"/>
          <w:sz w:val="21"/>
          <w:szCs w:val="21"/>
        </w:rPr>
        <w:t xml:space="preserve">This is the part worth putting at the centre of the defense, because it is where most student projects wave their hands.</w:t>
      </w:r>
    </w:p>
    <w:p>
      <w:pPr>
        <w:pStyle w:val="Heading2"/>
        <w:spacing w:after="120" w:before="260"/>
      </w:pPr>
      <w:r>
        <w:rPr>
          <w:rFonts w:ascii="Calibri" w:cs="Calibri" w:eastAsia="Calibri" w:hAnsi="Calibri"/>
          <w:b/>
          <w:bCs/>
          <w:color w:val="1B1930"/>
          <w:sz w:val="24"/>
          <w:szCs w:val="24"/>
        </w:rPr>
        <w:t xml:space="preserve">The problem</w:t>
      </w:r>
    </w:p>
    <w:p>
      <w:pPr>
        <w:spacing w:after="140" w:line="300"/>
      </w:pPr>
      <w:r>
        <w:rPr>
          <w:rFonts w:ascii="Calibri" w:cs="Calibri" w:eastAsia="Calibri" w:hAnsi="Calibri"/>
          <w:color w:val="1B1930"/>
          <w:sz w:val="21"/>
          <w:szCs w:val="21"/>
        </w:rPr>
        <w:t xml:space="preserve">You retrain, accuracy goes from 0.63 to 0.66, you ship it. But a model can </w:t>
      </w:r>
      <w:r>
        <w:rPr>
          <w:rFonts w:ascii="Calibri" w:cs="Calibri" w:eastAsia="Calibri" w:hAnsi="Calibri"/>
          <w:i/>
          <w:iCs/>
          <w:color w:val="1B1930"/>
          <w:sz w:val="21"/>
          <w:szCs w:val="21"/>
        </w:rPr>
        <w:t xml:space="preserve">gain</w:t>
      </w:r>
      <w:r>
        <w:rPr>
          <w:rFonts w:ascii="Calibri" w:cs="Calibri" w:eastAsia="Calibri" w:hAnsi="Calibri"/>
          <w:color w:val="1B1930"/>
          <w:sz w:val="21"/>
          <w:szCs w:val="21"/>
        </w:rPr>
        <w:t xml:space="preserve"> accuracy by getting easy cases right while missing </w:t>
      </w:r>
      <w:r>
        <w:rPr>
          <w:rFonts w:ascii="Calibri" w:cs="Calibri" w:eastAsia="Calibri" w:hAnsi="Calibri"/>
          <w:b/>
          <w:bCs/>
          <w:color w:val="1B1930"/>
          <w:sz w:val="21"/>
          <w:szCs w:val="21"/>
        </w:rPr>
        <w:t xml:space="preserve">more sick people</w:t>
      </w:r>
      <w:r>
        <w:rPr>
          <w:rFonts w:ascii="Calibri" w:cs="Calibri" w:eastAsia="Calibri" w:hAnsi="Calibri"/>
          <w:color w:val="1B1930"/>
          <w:sz w:val="21"/>
          <w:szCs w:val="21"/>
        </w:rPr>
        <w:t xml:space="preserve">. The headline number goes up and the system gets more dangerous.</w:t>
      </w:r>
    </w:p>
    <w:p>
      <w:pPr>
        <w:pStyle w:val="Heading2"/>
        <w:spacing w:after="120" w:before="260"/>
      </w:pPr>
      <w:r>
        <w:rPr>
          <w:rFonts w:ascii="Calibri" w:cs="Calibri" w:eastAsia="Calibri" w:hAnsi="Calibri"/>
          <w:b/>
          <w:bCs/>
          <w:color w:val="1B1930"/>
          <w:sz w:val="24"/>
          <w:szCs w:val="24"/>
        </w:rPr>
        <w:t xml:space="preserve">What you built</w:t>
      </w:r>
    </w:p>
    <w:p>
      <w:pPr>
        <w:spacing w:after="140" w:line="300"/>
      </w:pPr>
      <w:r>
        <w:rPr>
          <w:rFonts w:ascii="Calibri" w:cs="Calibri" w:eastAsia="Calibri" w:hAnsi="Calibri"/>
          <w:color w:val="1B1930"/>
          <w:sz w:val="21"/>
          <w:szCs w:val="21"/>
        </w:rPr>
        <w:t xml:space="preserve">A </w:t>
      </w:r>
      <w:r>
        <w:rPr>
          <w:rFonts w:ascii="Calibri" w:cs="Calibri" w:eastAsia="Calibri" w:hAnsi="Calibri"/>
          <w:b/>
          <w:bCs/>
          <w:color w:val="1B1930"/>
          <w:sz w:val="21"/>
          <w:szCs w:val="21"/>
        </w:rPr>
        <w:t xml:space="preserve">promotion gate</w:t>
      </w:r>
      <w:r>
        <w:rPr>
          <w:rFonts w:ascii="Calibri" w:cs="Calibri" w:eastAsia="Calibri" w:hAnsi="Calibri"/>
          <w:color w:val="1B1930"/>
          <w:sz w:val="21"/>
          <w:szCs w:val="21"/>
        </w:rPr>
        <w:t xml:space="preserve"> in </w:t>
      </w:r>
      <w:r>
        <w:rPr>
          <w:rFonts w:ascii="Consolas" w:cs="Consolas" w:eastAsia="Consolas" w:hAnsi="Consolas"/>
          <w:color w:val="1B1930"/>
          <w:sz w:val="21"/>
          <w:szCs w:val="21"/>
        </w:rPr>
        <w:t xml:space="preserve">tools/mlops.py</w:t>
      </w:r>
      <w:r>
        <w:rPr>
          <w:rFonts w:ascii="Calibri" w:cs="Calibri" w:eastAsia="Calibri" w:hAnsi="Calibri"/>
          <w:color w:val="1B1930"/>
          <w:sz w:val="21"/>
          <w:szCs w:val="21"/>
        </w:rPr>
        <w:t xml:space="preserve"> that refuses to look at a single number. It runs six checks and reports each one separately, because "rejected" on its own is no use to the person who has to fix it:</w:t>
      </w:r>
    </w:p>
    <w:p>
      <w:pPr>
        <w:spacing w:after="120"/>
      </w:pPr>
    </w:p>
    <w:tbl>
      <w:tblPr>
        <w:tblW w:type="dxa" w:w="9360"/>
        <w:tblBorders>
          <w:top w:val="single" w:color="D8D6E8" w:sz="6"/>
          <w:left w:val="none"/>
          <w:bottom w:val="single" w:color="D8D6E8" w:sz="6"/>
          <w:right w:val="none"/>
          <w:insideH w:val="single" w:color="D8D6E8" w:sz="4"/>
          <w:insideV w:val="none"/>
        </w:tblBorders>
      </w:tblPr>
      <w:tblGrid>
        <w:gridCol w:w="2900"/>
        <w:gridCol w:w="6460"/>
      </w:tblGrid>
      <w:tr>
        <w:trPr>
          <w:tblHeader/>
        </w:trPr>
        <w:tc>
          <w:tcPr>
            <w:tcW w:type="dxa" w:w="2900"/>
            <w:shd w:fill="EFEEFB" w:val="clear"/>
            <w:tcMar>
              <w:top w:type="dxa" w:w="90"/>
              <w:left w:type="dxa" w:w="130"/>
              <w:bottom w:type="dxa" w:w="90"/>
              <w:right w:type="dxa" w:w="130"/>
            </w:tcMar>
          </w:tcPr>
          <w:p>
            <w:pPr>
              <w:spacing w:after="0" w:line="280"/>
            </w:pPr>
            <w:r>
              <w:rPr>
                <w:rFonts w:ascii="Calibri" w:cs="Calibri" w:eastAsia="Calibri" w:hAnsi="Calibri"/>
                <w:b/>
                <w:bCs/>
                <w:color w:val="4A45A8"/>
                <w:sz w:val="19"/>
                <w:szCs w:val="19"/>
              </w:rPr>
              <w:t xml:space="preserve">Check</w:t>
            </w:r>
          </w:p>
        </w:tc>
        <w:tc>
          <w:tcPr>
            <w:tcW w:type="dxa" w:w="6460"/>
            <w:shd w:fill="EFEEFB" w:val="clear"/>
            <w:tcMar>
              <w:top w:type="dxa" w:w="90"/>
              <w:left w:type="dxa" w:w="130"/>
              <w:bottom w:type="dxa" w:w="90"/>
              <w:right w:type="dxa" w:w="130"/>
            </w:tcMar>
          </w:tcPr>
          <w:p>
            <w:pPr>
              <w:spacing w:after="0" w:line="280"/>
            </w:pPr>
            <w:r>
              <w:rPr>
                <w:rFonts w:ascii="Calibri" w:cs="Calibri" w:eastAsia="Calibri" w:hAnsi="Calibri"/>
                <w:b/>
                <w:bCs/>
                <w:color w:val="4A45A8"/>
                <w:sz w:val="19"/>
                <w:szCs w:val="19"/>
              </w:rPr>
              <w:t xml:space="preserve">What it catches</w:t>
            </w:r>
          </w:p>
        </w:tc>
      </w:tr>
      <w:tr>
        <w:tc>
          <w:tcPr>
            <w:tcW w:type="dxa" w:w="29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same evaluation set</w:t>
            </w:r>
          </w:p>
        </w:tc>
        <w:tc>
          <w:tcPr>
            <w:tcW w:type="dxa" w:w="64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scoring the new model on an easier test set</w:t>
            </w:r>
          </w:p>
        </w:tc>
      </w:tr>
      <w:tr>
        <w:tc>
          <w:tcPr>
            <w:tcW w:type="dxa" w:w="29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dataset version recorded</w:t>
            </w:r>
          </w:p>
        </w:tc>
        <w:tc>
          <w:tcPr>
            <w:tcW w:type="dxa" w:w="64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a model nobody can reproduce</w:t>
            </w:r>
          </w:p>
        </w:tc>
      </w:tr>
      <w:tr>
        <w:tc>
          <w:tcPr>
            <w:tcW w:type="dxa" w:w="29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headline metric</w:t>
            </w:r>
          </w:p>
        </w:tc>
        <w:tc>
          <w:tcPr>
            <w:tcW w:type="dxa" w:w="64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the obvious one — accuracy, macro F1</w:t>
            </w:r>
          </w:p>
        </w:tc>
      </w:tr>
      <w:tr>
        <w:tc>
          <w:tcPr>
            <w:tcW w:type="dxa" w:w="2900"/>
            <w:tcMar>
              <w:top w:type="dxa" w:w="90"/>
              <w:left w:type="dxa" w:w="130"/>
              <w:bottom w:type="dxa" w:w="90"/>
              <w:right w:type="dxa" w:w="130"/>
            </w:tcMar>
          </w:tcPr>
          <w:p>
            <w:pPr>
              <w:spacing w:after="0" w:line="280"/>
            </w:pPr>
            <w:r>
              <w:rPr>
                <w:rFonts w:ascii="Calibri" w:cs="Calibri" w:eastAsia="Calibri" w:hAnsi="Calibri"/>
                <w:b/>
                <w:bCs/>
                <w:color w:val="1B1930"/>
                <w:sz w:val="19"/>
                <w:szCs w:val="19"/>
              </w:rPr>
              <w:t xml:space="preserve">guard metrics</w:t>
            </w:r>
          </w:p>
        </w:tc>
        <w:tc>
          <w:tcPr>
            <w:tcW w:type="dxa" w:w="6460"/>
            <w:tcMar>
              <w:top w:type="dxa" w:w="90"/>
              <w:left w:type="dxa" w:w="130"/>
              <w:bottom w:type="dxa" w:w="90"/>
              <w:right w:type="dxa" w:w="130"/>
            </w:tcMar>
          </w:tcPr>
          <w:p>
            <w:pPr>
              <w:spacing w:after="0" w:line="280"/>
            </w:pPr>
            <w:r>
              <w:rPr>
                <w:rFonts w:ascii="Calibri" w:cs="Calibri" w:eastAsia="Calibri" w:hAnsi="Calibri"/>
                <w:b/>
                <w:bCs/>
                <w:color w:val="1B1930"/>
                <w:sz w:val="19"/>
                <w:szCs w:val="19"/>
              </w:rPr>
              <w:t xml:space="preserve">recall on the classes where a miss is dangerous</w:t>
            </w:r>
          </w:p>
        </w:tc>
      </w:tr>
      <w:tr>
        <w:tc>
          <w:tcPr>
            <w:tcW w:type="dxa" w:w="29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per-class floors</w:t>
            </w:r>
          </w:p>
        </w:tc>
        <w:tc>
          <w:tcPr>
            <w:tcW w:type="dxa" w:w="64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one class collapsing while the average holds up</w:t>
            </w:r>
          </w:p>
        </w:tc>
      </w:tr>
      <w:tr>
        <w:tc>
          <w:tcPr>
            <w:tcW w:type="dxa" w:w="29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calibration</w:t>
            </w:r>
          </w:p>
        </w:tc>
        <w:tc>
          <w:tcPr>
            <w:tcW w:type="dxa" w:w="64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confidence stops meaning anything, which breaks escalation</w:t>
            </w:r>
          </w:p>
        </w:tc>
      </w:tr>
    </w:tbl>
    <w:p>
      <w:pPr>
        <w:spacing w:after="120"/>
      </w:pPr>
    </w:p>
    <w:p>
      <w:pPr>
        <w:spacing w:after="140" w:line="300"/>
      </w:pPr>
      <w:r>
        <w:rPr>
          <w:rFonts w:ascii="Calibri" w:cs="Calibri" w:eastAsia="Calibri" w:hAnsi="Calibri"/>
          <w:color w:val="1B1930"/>
          <w:sz w:val="21"/>
          <w:szCs w:val="21"/>
        </w:rPr>
        <w:t xml:space="preserve">The fourth row is the point. "Is it better?" is the wrong question for an emergency system. The right question is "is it better without being more dangerous?", and only the guard metrics can answer that.</w:t>
      </w:r>
    </w:p>
    <w:p>
      <w:pPr>
        <w:spacing w:after="140" w:line="300"/>
      </w:pPr>
      <w:r>
        <w:rPr>
          <w:rFonts w:ascii="Calibri" w:cs="Calibri" w:eastAsia="Calibri" w:hAnsi="Calibri"/>
          <w:color w:val="1B1930"/>
          <w:sz w:val="21"/>
          <w:szCs w:val="21"/>
        </w:rPr>
        <w:t xml:space="preserve">Calibration matters for a reason specific to this architecture: the reasoning layer escalates on low confidence. A model whose stated confidence stops meaning what it used to breaks the escalation logic even if it classifies better.</w:t>
      </w:r>
    </w:p>
    <w:p>
      <w:pPr>
        <w:pStyle w:val="Heading1"/>
        <w:spacing w:after="160" w:before="340"/>
      </w:pPr>
      <w:r>
        <w:rPr>
          <w:rFonts w:ascii="Calibri" w:cs="Calibri" w:eastAsia="Calibri" w:hAnsi="Calibri"/>
          <w:b/>
          <w:bCs/>
          <w:color w:val="4A45A8"/>
          <w:sz w:val="30"/>
          <w:szCs w:val="30"/>
        </w:rPr>
        <w:t xml:space="preserve">Worry 3 — Who decided this goes in front of a patient?</w:t>
      </w:r>
    </w:p>
    <w:p>
      <w:pPr>
        <w:pStyle w:val="Heading2"/>
        <w:spacing w:after="120" w:before="260"/>
      </w:pPr>
      <w:r>
        <w:rPr>
          <w:rFonts w:ascii="Calibri" w:cs="Calibri" w:eastAsia="Calibri" w:hAnsi="Calibri"/>
          <w:b/>
          <w:bCs/>
          <w:color w:val="1B1930"/>
          <w:sz w:val="24"/>
          <w:szCs w:val="24"/>
        </w:rPr>
        <w:t xml:space="preserve">The problem</w:t>
      </w:r>
    </w:p>
    <w:p>
      <w:pPr>
        <w:spacing w:after="140" w:line="300"/>
      </w:pPr>
      <w:r>
        <w:rPr>
          <w:rFonts w:ascii="Calibri" w:cs="Calibri" w:eastAsia="Calibri" w:hAnsi="Calibri"/>
          <w:color w:val="1B1930"/>
          <w:sz w:val="21"/>
          <w:szCs w:val="21"/>
        </w:rPr>
        <w:t xml:space="preserve">A model quietly ends up in production and nobody can say who approved it, or when, or on what evidence.</w:t>
      </w:r>
    </w:p>
    <w:p>
      <w:pPr>
        <w:pStyle w:val="Heading2"/>
        <w:spacing w:after="120" w:before="260"/>
      </w:pPr>
      <w:r>
        <w:rPr>
          <w:rFonts w:ascii="Calibri" w:cs="Calibri" w:eastAsia="Calibri" w:hAnsi="Calibri"/>
          <w:b/>
          <w:bCs/>
          <w:color w:val="1B1930"/>
          <w:sz w:val="24"/>
          <w:szCs w:val="24"/>
        </w:rPr>
        <w:t xml:space="preserve">What you built</w:t>
      </w:r>
    </w:p>
    <w:p>
      <w:pPr>
        <w:spacing w:after="140" w:line="300"/>
      </w:pPr>
      <w:r>
        <w:rPr>
          <w:rFonts w:ascii="Calibri" w:cs="Calibri" w:eastAsia="Calibri" w:hAnsi="Calibri"/>
          <w:color w:val="1B1930"/>
          <w:sz w:val="21"/>
          <w:szCs w:val="21"/>
        </w:rPr>
        <w:t xml:space="preserve">Three stages — </w:t>
      </w:r>
      <w:r>
        <w:rPr>
          <w:rFonts w:ascii="Consolas" w:cs="Consolas" w:eastAsia="Consolas" w:hAnsi="Consolas"/>
          <w:color w:val="1B1930"/>
          <w:sz w:val="21"/>
          <w:szCs w:val="21"/>
        </w:rPr>
        <w:t xml:space="preserve">candidate</w:t>
      </w:r>
      <w:r>
        <w:rPr>
          <w:rFonts w:ascii="Calibri" w:cs="Calibri" w:eastAsia="Calibri" w:hAnsi="Calibri"/>
          <w:color w:val="1B1930"/>
          <w:sz w:val="21"/>
          <w:szCs w:val="21"/>
        </w:rPr>
        <w:t xml:space="preserve"> → gate → </w:t>
      </w:r>
      <w:r>
        <w:rPr>
          <w:rFonts w:ascii="Consolas" w:cs="Consolas" w:eastAsia="Consolas" w:hAnsi="Consolas"/>
          <w:color w:val="1B1930"/>
          <w:sz w:val="21"/>
          <w:szCs w:val="21"/>
        </w:rPr>
        <w:t xml:space="preserve">production</w:t>
      </w:r>
      <w:r>
        <w:rPr>
          <w:rFonts w:ascii="Calibri" w:cs="Calibri" w:eastAsia="Calibri" w:hAnsi="Calibri"/>
          <w:color w:val="1B1930"/>
          <w:sz w:val="21"/>
          <w:szCs w:val="21"/>
        </w:rPr>
        <w:t xml:space="preserve"> — and </w:t>
      </w:r>
      <w:r>
        <w:rPr>
          <w:rFonts w:ascii="Consolas" w:cs="Consolas" w:eastAsia="Consolas" w:hAnsi="Consolas"/>
          <w:color w:val="1B1930"/>
          <w:sz w:val="21"/>
          <w:szCs w:val="21"/>
        </w:rPr>
        <w:t xml:space="preserve">promote</w:t>
      </w:r>
      <w:r>
        <w:rPr>
          <w:rFonts w:ascii="Calibri" w:cs="Calibri" w:eastAsia="Calibri" w:hAnsi="Calibri"/>
          <w:color w:val="1B1930"/>
          <w:sz w:val="21"/>
          <w:szCs w:val="21"/>
        </w:rPr>
        <w:t xml:space="preserve"> refuses to run without a named human:</w:t>
      </w:r>
    </w:p>
    <w:p>
      <w:pPr>
        <w:shd w:fill="F4F3FA" w:val="clear"/>
        <w:spacing w:after="140" w:before="60"/>
        <w:ind w:left="220" w:right="220"/>
      </w:pPr>
      <w:r>
        <w:rPr>
          <w:rFonts w:ascii="Consolas" w:cs="Consolas" w:eastAsia="Consolas" w:hAnsi="Consolas"/>
          <w:color w:val="1B1930"/>
          <w:sz w:val="19"/>
          <w:szCs w:val="19"/>
        </w:rPr>
        <w:t xml:space="preserve">approved_by: "maryembrik -- first model in the deployed lineage; approved</w:t>
      </w:r>
    </w:p>
    <w:p>
      <w:pPr>
        <w:shd w:fill="F4F3FA" w:val="clear"/>
        <w:spacing w:after="140" w:before="60"/>
        <w:ind w:left="220" w:right="220"/>
      </w:pPr>
      <w:r>
        <w:rPr>
          <w:rFonts w:ascii="Consolas" w:cs="Consolas" w:eastAsia="Consolas" w:hAnsi="Consolas"/>
          <w:color w:val="1B1930"/>
          <w:sz w:val="19"/>
          <w:szCs w:val="19"/>
        </w:rPr>
        <w:t xml:space="preserve">              as the bedside triage suggestion, not as a replacement for</w:t>
      </w:r>
    </w:p>
    <w:p>
      <w:pPr>
        <w:shd w:fill="F4F3FA" w:val="clear"/>
        <w:spacing w:after="140" w:before="60"/>
        <w:ind w:left="220" w:right="220"/>
      </w:pPr>
      <w:r>
        <w:rPr>
          <w:rFonts w:ascii="Consolas" w:cs="Consolas" w:eastAsia="Consolas" w:hAnsi="Consolas"/>
          <w:color w:val="1B1930"/>
          <w:sz w:val="19"/>
          <w:szCs w:val="19"/>
        </w:rPr>
        <w:t xml:space="preserve">              the reference model, which stays in production"</w:t>
      </w:r>
    </w:p>
    <w:p>
      <w:pPr>
        <w:spacing w:after="140" w:line="300"/>
      </w:pPr>
      <w:r>
        <w:rPr>
          <w:rFonts w:ascii="Calibri" w:cs="Calibri" w:eastAsia="Calibri" w:hAnsi="Calibri"/>
          <w:color w:val="1B1930"/>
          <w:sz w:val="21"/>
          <w:szCs w:val="21"/>
        </w:rPr>
        <w:t xml:space="preserve">There is deliberately no automatic retraining from clinical use, and no path from an uploaded study to a production model without a person in it.</w:t>
      </w:r>
    </w:p>
    <w:p>
      <w:pPr>
        <w:pBdr>
          <w:left w:val="single" w:color="4A45A8" w:sz="18" w:space="14"/>
        </w:pBdr>
        <w:spacing w:after="180" w:before="160" w:line="300"/>
        <w:ind w:left="280"/>
      </w:pPr>
      <w:r>
        <w:rPr>
          <w:rFonts w:ascii="Calibri" w:cs="Calibri" w:eastAsia="Calibri" w:hAnsi="Calibri"/>
          <w:i/>
          <w:iCs/>
          <w:color w:val="1B1930"/>
          <w:sz w:val="21"/>
          <w:szCs w:val="21"/>
        </w:rPr>
        <w:t xml:space="preserve">A doctor contributes DATA. A model reaches a patient only when someone approves it by name.</w:t>
      </w:r>
    </w:p>
    <w:p>
      <w:pPr>
        <w:pStyle w:val="Heading1"/>
        <w:spacing w:after="160" w:before="340"/>
      </w:pPr>
      <w:r>
        <w:rPr>
          <w:rFonts w:ascii="Calibri" w:cs="Calibri" w:eastAsia="Calibri" w:hAnsi="Calibri"/>
          <w:b/>
          <w:bCs/>
          <w:color w:val="4A45A8"/>
          <w:sz w:val="30"/>
          <w:szCs w:val="30"/>
        </w:rPr>
        <w:t xml:space="preserve">What is in the registry right now</w:t>
      </w:r>
    </w:p>
    <w:tbl>
      <w:tblPr>
        <w:tblW w:type="dxa" w:w="9360"/>
        <w:tblBorders>
          <w:top w:val="single" w:color="D8D6E8" w:sz="6"/>
          <w:left w:val="none"/>
          <w:bottom w:val="single" w:color="D8D6E8" w:sz="6"/>
          <w:right w:val="none"/>
          <w:insideH w:val="single" w:color="D8D6E8" w:sz="4"/>
          <w:insideV w:val="none"/>
        </w:tblBorders>
      </w:tblPr>
      <w:tblGrid>
        <w:gridCol w:w="2100"/>
        <w:gridCol w:w="1300"/>
        <w:gridCol w:w="1500"/>
        <w:gridCol w:w="4460"/>
      </w:tblGrid>
      <w:tr>
        <w:trPr>
          <w:tblHeader/>
        </w:trPr>
        <w:tc>
          <w:tcPr>
            <w:tcW w:type="dxa" w:w="2100"/>
            <w:shd w:fill="EFEEFB" w:val="clear"/>
            <w:tcMar>
              <w:top w:type="dxa" w:w="90"/>
              <w:left w:type="dxa" w:w="130"/>
              <w:bottom w:type="dxa" w:w="90"/>
              <w:right w:type="dxa" w:w="130"/>
            </w:tcMar>
          </w:tcPr>
          <w:p>
            <w:pPr>
              <w:spacing w:after="0" w:line="280"/>
            </w:pPr>
            <w:r>
              <w:rPr>
                <w:rFonts w:ascii="Calibri" w:cs="Calibri" w:eastAsia="Calibri" w:hAnsi="Calibri"/>
                <w:b/>
                <w:bCs/>
                <w:color w:val="4A45A8"/>
                <w:sz w:val="19"/>
                <w:szCs w:val="19"/>
              </w:rPr>
              <w:t xml:space="preserve">Lineage</w:t>
            </w:r>
          </w:p>
        </w:tc>
        <w:tc>
          <w:tcPr>
            <w:tcW w:type="dxa" w:w="1300"/>
            <w:shd w:fill="EFEEFB" w:val="clear"/>
            <w:tcMar>
              <w:top w:type="dxa" w:w="90"/>
              <w:left w:type="dxa" w:w="130"/>
              <w:bottom w:type="dxa" w:w="90"/>
              <w:right w:type="dxa" w:w="130"/>
            </w:tcMar>
          </w:tcPr>
          <w:p>
            <w:pPr>
              <w:spacing w:after="0" w:line="280"/>
            </w:pPr>
            <w:r>
              <w:rPr>
                <w:rFonts w:ascii="Calibri" w:cs="Calibri" w:eastAsia="Calibri" w:hAnsi="Calibri"/>
                <w:b/>
                <w:bCs/>
                <w:color w:val="4A45A8"/>
                <w:sz w:val="19"/>
                <w:szCs w:val="19"/>
              </w:rPr>
              <w:t xml:space="preserve">Production</w:t>
            </w:r>
          </w:p>
        </w:tc>
        <w:tc>
          <w:tcPr>
            <w:tcW w:type="dxa" w:w="1500"/>
            <w:shd w:fill="EFEEFB" w:val="clear"/>
            <w:tcMar>
              <w:top w:type="dxa" w:w="90"/>
              <w:left w:type="dxa" w:w="130"/>
              <w:bottom w:type="dxa" w:w="90"/>
              <w:right w:type="dxa" w:w="130"/>
            </w:tcMar>
          </w:tcPr>
          <w:p>
            <w:pPr>
              <w:spacing w:after="0" w:line="280"/>
            </w:pPr>
            <w:r>
              <w:rPr>
                <w:rFonts w:ascii="Calibri" w:cs="Calibri" w:eastAsia="Calibri" w:hAnsi="Calibri"/>
                <w:b/>
                <w:bCs/>
                <w:color w:val="4A45A8"/>
                <w:sz w:val="19"/>
                <w:szCs w:val="19"/>
              </w:rPr>
              <w:t xml:space="preserve">Candidates</w:t>
            </w:r>
          </w:p>
        </w:tc>
        <w:tc>
          <w:tcPr>
            <w:tcW w:type="dxa" w:w="4460"/>
            <w:shd w:fill="EFEEFB" w:val="clear"/>
            <w:tcMar>
              <w:top w:type="dxa" w:w="90"/>
              <w:left w:type="dxa" w:w="130"/>
              <w:bottom w:type="dxa" w:w="90"/>
              <w:right w:type="dxa" w:w="130"/>
            </w:tcMar>
          </w:tcPr>
          <w:p>
            <w:pPr>
              <w:spacing w:after="0" w:line="280"/>
            </w:pPr>
            <w:r>
              <w:rPr>
                <w:rFonts w:ascii="Calibri" w:cs="Calibri" w:eastAsia="Calibri" w:hAnsi="Calibri"/>
                <w:b/>
                <w:bCs/>
                <w:color w:val="4A45A8"/>
                <w:sz w:val="19"/>
                <w:szCs w:val="19"/>
              </w:rPr>
              <w:t xml:space="preserve">What it is</w:t>
            </w:r>
          </w:p>
        </w:tc>
      </w:tr>
      <w:tr>
        <w:tc>
          <w:tcPr>
            <w:tcW w:type="dxa" w:w="2100"/>
            <w:tcMar>
              <w:top w:type="dxa" w:w="90"/>
              <w:left w:type="dxa" w:w="130"/>
              <w:bottom w:type="dxa" w:w="90"/>
              <w:right w:type="dxa" w:w="130"/>
            </w:tcMar>
          </w:tcPr>
          <w:p>
            <w:pPr>
              <w:spacing w:after="0" w:line="280"/>
            </w:pPr>
            <w:r>
              <w:rPr>
                <w:rFonts w:ascii="Consolas" w:cs="Consolas" w:eastAsia="Consolas" w:hAnsi="Consolas"/>
                <w:b w:val="false"/>
                <w:bCs w:val="false"/>
                <w:color w:val="1B1930"/>
                <w:sz w:val="19"/>
                <w:szCs w:val="19"/>
              </w:rPr>
              <w:t xml:space="preserve">lung</w:t>
            </w:r>
          </w:p>
        </w:tc>
        <w:tc>
          <w:tcPr>
            <w:tcW w:type="dxa" w:w="13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v1</w:t>
            </w:r>
          </w:p>
        </w:tc>
        <w:tc>
          <w:tcPr>
            <w:tcW w:type="dxa" w:w="15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v4, v5, v6</w:t>
            </w:r>
          </w:p>
        </w:tc>
        <w:tc>
          <w:tcPr>
            <w:tcW w:type="dxa" w:w="44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four lung findings, multi-label</w:t>
            </w:r>
          </w:p>
        </w:tc>
      </w:tr>
      <w:tr>
        <w:tc>
          <w:tcPr>
            <w:tcW w:type="dxa" w:w="2100"/>
            <w:tcMar>
              <w:top w:type="dxa" w:w="90"/>
              <w:left w:type="dxa" w:w="130"/>
              <w:bottom w:type="dxa" w:w="90"/>
              <w:right w:type="dxa" w:w="130"/>
            </w:tcMar>
          </w:tcPr>
          <w:p>
            <w:pPr>
              <w:spacing w:after="0" w:line="280"/>
            </w:pPr>
            <w:r>
              <w:rPr>
                <w:rFonts w:ascii="Consolas" w:cs="Consolas" w:eastAsia="Consolas" w:hAnsi="Consolas"/>
                <w:b w:val="false"/>
                <w:bCs w:val="false"/>
                <w:color w:val="1B1930"/>
                <w:sz w:val="19"/>
                <w:szCs w:val="19"/>
              </w:rPr>
              <w:t xml:space="preserve">triage</w:t>
            </w:r>
          </w:p>
        </w:tc>
        <w:tc>
          <w:tcPr>
            <w:tcW w:type="dxa" w:w="13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v1</w:t>
            </w:r>
          </w:p>
        </w:tc>
        <w:tc>
          <w:tcPr>
            <w:tcW w:type="dxa" w:w="15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w:t>
            </w:r>
          </w:p>
        </w:tc>
        <w:tc>
          <w:tcPr>
            <w:tcW w:type="dxa" w:w="44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reference model — uses hospital registration fields</w:t>
            </w:r>
          </w:p>
        </w:tc>
      </w:tr>
      <w:tr>
        <w:tc>
          <w:tcPr>
            <w:tcW w:type="dxa" w:w="2100"/>
            <w:tcMar>
              <w:top w:type="dxa" w:w="90"/>
              <w:left w:type="dxa" w:w="130"/>
              <w:bottom w:type="dxa" w:w="90"/>
              <w:right w:type="dxa" w:w="130"/>
            </w:tcMar>
          </w:tcPr>
          <w:p>
            <w:pPr>
              <w:spacing w:after="0" w:line="280"/>
            </w:pPr>
            <w:r>
              <w:rPr>
                <w:rFonts w:ascii="Consolas" w:cs="Consolas" w:eastAsia="Consolas" w:hAnsi="Consolas"/>
                <w:b w:val="false"/>
                <w:bCs w:val="false"/>
                <w:color w:val="1B1930"/>
                <w:sz w:val="19"/>
                <w:szCs w:val="19"/>
              </w:rPr>
              <w:t xml:space="preserve">triage_deployed</w:t>
            </w:r>
          </w:p>
        </w:tc>
        <w:tc>
          <w:tcPr>
            <w:tcW w:type="dxa" w:w="13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v1</w:t>
            </w:r>
          </w:p>
        </w:tc>
        <w:tc>
          <w:tcPr>
            <w:tcW w:type="dxa" w:w="15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w:t>
            </w:r>
          </w:p>
        </w:tc>
        <w:tc>
          <w:tcPr>
            <w:tcW w:type="dxa" w:w="44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the bedside model — only fields a clinician can type</w:t>
            </w:r>
          </w:p>
        </w:tc>
      </w:tr>
    </w:tbl>
    <w:p>
      <w:pPr>
        <w:spacing w:after="120"/>
      </w:pPr>
    </w:p>
    <w:p>
      <w:pPr>
        <w:spacing w:after="140" w:line="300"/>
      </w:pPr>
      <w:r>
        <w:rPr>
          <w:rFonts w:ascii="Calibri" w:cs="Calibri" w:eastAsia="Calibri" w:hAnsi="Calibri"/>
          <w:color w:val="1B1930"/>
          <w:sz w:val="21"/>
          <w:szCs w:val="21"/>
        </w:rPr>
        <w:t xml:space="preserve">Three separate </w:t>
      </w:r>
      <w:r>
        <w:rPr>
          <w:rFonts w:ascii="Calibri" w:cs="Calibri" w:eastAsia="Calibri" w:hAnsi="Calibri"/>
          <w:b/>
          <w:bCs/>
          <w:color w:val="1B1930"/>
          <w:sz w:val="21"/>
          <w:szCs w:val="21"/>
        </w:rPr>
        <w:t xml:space="preserve">lineages</w:t>
      </w:r>
      <w:r>
        <w:rPr>
          <w:rFonts w:ascii="Calibri" w:cs="Calibri" w:eastAsia="Calibri" w:hAnsi="Calibri"/>
          <w:color w:val="1B1930"/>
          <w:sz w:val="21"/>
          <w:szCs w:val="21"/>
        </w:rPr>
        <w:t xml:space="preserve"> means three separate histories. A model is only ever compared against models that share its constraints, which is why the deployed triage model is not judged against a reference model that can see fields it will never have.</w:t>
      </w:r>
    </w:p>
    <w:p>
      <w:pPr>
        <w:pStyle w:val="Heading1"/>
        <w:spacing w:after="160" w:before="340"/>
      </w:pPr>
      <w:r>
        <w:rPr>
          <w:rFonts w:ascii="Calibri" w:cs="Calibri" w:eastAsia="Calibri" w:hAnsi="Calibri"/>
          <w:b/>
          <w:bCs/>
          <w:color w:val="4A45A8"/>
          <w:sz w:val="30"/>
          <w:szCs w:val="30"/>
        </w:rPr>
        <w:t xml:space="preserve">The moment that proves the whole thing works</w:t>
      </w:r>
    </w:p>
    <w:p>
      <w:pPr>
        <w:spacing w:after="140" w:line="300"/>
      </w:pPr>
      <w:r>
        <w:rPr>
          <w:rFonts w:ascii="Calibri" w:cs="Calibri" w:eastAsia="Calibri" w:hAnsi="Calibri"/>
          <w:color w:val="1B1930"/>
          <w:sz w:val="21"/>
          <w:szCs w:val="21"/>
        </w:rPr>
        <w:t xml:space="preserve">When the deployed triage model was offered for promotion on the reference line, the gate rejected it — because it is less accurate: 0.630 against 0.680.</w:t>
      </w:r>
    </w:p>
    <w:p>
      <w:pPr>
        <w:spacing w:after="140" w:line="300"/>
      </w:pPr>
      <w:r>
        <w:rPr>
          <w:rFonts w:ascii="Calibri" w:cs="Calibri" w:eastAsia="Calibri" w:hAnsi="Calibri"/>
          <w:color w:val="1B1930"/>
          <w:sz w:val="21"/>
          <w:szCs w:val="21"/>
        </w:rPr>
        <w:t xml:space="preserve">That rejection was </w:t>
      </w:r>
      <w:r>
        <w:rPr>
          <w:rFonts w:ascii="Calibri" w:cs="Calibri" w:eastAsia="Calibri" w:hAnsi="Calibri"/>
          <w:b/>
          <w:bCs/>
          <w:color w:val="1B1930"/>
          <w:sz w:val="21"/>
          <w:szCs w:val="21"/>
        </w:rPr>
        <w:t xml:space="preserve">correct</w:t>
      </w:r>
      <w:r>
        <w:rPr>
          <w:rFonts w:ascii="Calibri" w:cs="Calibri" w:eastAsia="Calibri" w:hAnsi="Calibri"/>
          <w:color w:val="1B1930"/>
          <w:sz w:val="21"/>
          <w:szCs w:val="21"/>
        </w:rPr>
        <w:t xml:space="preserve">. The gate was not weakened to get past it. The model was given its own lineage instead, where it is judged against models sharing its constraints — and on that line it is in production, because on the measure that matters it is better: its dangerous-miss rate is 1.36% against the reference model’s 1.55%.</w:t>
      </w:r>
    </w:p>
    <w:p>
      <w:pPr>
        <w:pBdr>
          <w:left w:val="single" w:color="4A45A8" w:sz="18" w:space="14"/>
        </w:pBdr>
        <w:spacing w:after="180" w:before="160" w:line="300"/>
        <w:ind w:left="280"/>
      </w:pPr>
      <w:r>
        <w:rPr>
          <w:rFonts w:ascii="Calibri" w:cs="Calibri" w:eastAsia="Calibri" w:hAnsi="Calibri"/>
          <w:i/>
          <w:iCs/>
          <w:color w:val="1B1930"/>
          <w:sz w:val="21"/>
          <w:szCs w:val="21"/>
        </w:rPr>
        <w:t xml:space="preserve">A gate that has never rejected anything is indistinguishable from no gate. Yours has a rejection on the record, and the model it rejected is the one running at the bedside — on its own line, for a stated reason.</w:t>
      </w:r>
    </w:p>
    <w:p>
      <w:pPr>
        <w:pStyle w:val="Heading1"/>
        <w:spacing w:after="160" w:before="340"/>
      </w:pPr>
      <w:r>
        <w:rPr>
          <w:rFonts w:ascii="Calibri" w:cs="Calibri" w:eastAsia="Calibri" w:hAnsi="Calibri"/>
          <w:b/>
          <w:bCs/>
          <w:color w:val="4A45A8"/>
          <w:sz w:val="30"/>
          <w:szCs w:val="30"/>
        </w:rPr>
        <w:t xml:space="preserve">The supporting machinery</w:t>
      </w:r>
    </w:p>
    <w:tbl>
      <w:tblPr>
        <w:tblW w:type="dxa" w:w="9360"/>
        <w:tblBorders>
          <w:top w:val="single" w:color="D8D6E8" w:sz="6"/>
          <w:left w:val="none"/>
          <w:bottom w:val="single" w:color="D8D6E8" w:sz="6"/>
          <w:right w:val="none"/>
          <w:insideH w:val="single" w:color="D8D6E8" w:sz="4"/>
          <w:insideV w:val="none"/>
        </w:tblBorders>
      </w:tblPr>
      <w:tblGrid>
        <w:gridCol w:w="2500"/>
        <w:gridCol w:w="6860"/>
      </w:tblGrid>
      <w:tr>
        <w:trPr>
          <w:tblHeader/>
        </w:trPr>
        <w:tc>
          <w:tcPr>
            <w:tcW w:type="dxa" w:w="2500"/>
            <w:shd w:fill="EFEEFB" w:val="clear"/>
            <w:tcMar>
              <w:top w:type="dxa" w:w="90"/>
              <w:left w:type="dxa" w:w="130"/>
              <w:bottom w:type="dxa" w:w="90"/>
              <w:right w:type="dxa" w:w="130"/>
            </w:tcMar>
          </w:tcPr>
          <w:p>
            <w:pPr>
              <w:spacing w:after="0" w:line="280"/>
            </w:pPr>
            <w:r>
              <w:rPr>
                <w:rFonts w:ascii="Calibri" w:cs="Calibri" w:eastAsia="Calibri" w:hAnsi="Calibri"/>
                <w:b/>
                <w:bCs/>
                <w:color w:val="4A45A8"/>
                <w:sz w:val="19"/>
                <w:szCs w:val="19"/>
              </w:rPr>
              <w:t xml:space="preserve">Piece</w:t>
            </w:r>
          </w:p>
        </w:tc>
        <w:tc>
          <w:tcPr>
            <w:tcW w:type="dxa" w:w="6860"/>
            <w:shd w:fill="EFEEFB" w:val="clear"/>
            <w:tcMar>
              <w:top w:type="dxa" w:w="90"/>
              <w:left w:type="dxa" w:w="130"/>
              <w:bottom w:type="dxa" w:w="90"/>
              <w:right w:type="dxa" w:w="130"/>
            </w:tcMar>
          </w:tcPr>
          <w:p>
            <w:pPr>
              <w:spacing w:after="0" w:line="280"/>
            </w:pPr>
            <w:r>
              <w:rPr>
                <w:rFonts w:ascii="Calibri" w:cs="Calibri" w:eastAsia="Calibri" w:hAnsi="Calibri"/>
                <w:b/>
                <w:bCs/>
                <w:color w:val="4A45A8"/>
                <w:sz w:val="19"/>
                <w:szCs w:val="19"/>
              </w:rPr>
              <w:t xml:space="preserve">What it is for</w:t>
            </w:r>
          </w:p>
        </w:tc>
      </w:tr>
      <w:tr>
        <w:tc>
          <w:tcPr>
            <w:tcW w:type="dxa" w:w="2500"/>
            <w:tcMar>
              <w:top w:type="dxa" w:w="90"/>
              <w:left w:type="dxa" w:w="130"/>
              <w:bottom w:type="dxa" w:w="90"/>
              <w:right w:type="dxa" w:w="130"/>
            </w:tcMar>
          </w:tcPr>
          <w:p>
            <w:pPr>
              <w:spacing w:after="0" w:line="280"/>
            </w:pPr>
            <w:r>
              <w:rPr>
                <w:rFonts w:ascii="Calibri" w:cs="Calibri" w:eastAsia="Calibri" w:hAnsi="Calibri"/>
                <w:b/>
                <w:bCs/>
                <w:color w:val="1B1930"/>
                <w:sz w:val="19"/>
                <w:szCs w:val="19"/>
              </w:rPr>
              <w:t xml:space="preserve">339 tests, 37 properties</w:t>
            </w:r>
          </w:p>
        </w:tc>
        <w:tc>
          <w:tcPr>
            <w:tcW w:type="dxa" w:w="68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grouped by safety property, so you can say "conflict detection 14/14" rather than "339 passed". A number that cannot fail informatively is not evidence.</w:t>
            </w:r>
          </w:p>
        </w:tc>
      </w:tr>
      <w:tr>
        <w:tc>
          <w:tcPr>
            <w:tcW w:type="dxa" w:w="25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150 regression checks</w:t>
            </w:r>
          </w:p>
        </w:tc>
        <w:tc>
          <w:tcPr>
            <w:tcW w:type="dxa" w:w="68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ten full cases end to end, so a change that breaks a whole scenario is caught, not only one that breaks a function</w:t>
            </w:r>
          </w:p>
        </w:tc>
      </w:tr>
      <w:tr>
        <w:tc>
          <w:tcPr>
            <w:tcW w:type="dxa" w:w="2500"/>
            <w:tcMar>
              <w:top w:type="dxa" w:w="90"/>
              <w:left w:type="dxa" w:w="130"/>
              <w:bottom w:type="dxa" w:w="90"/>
              <w:right w:type="dxa" w:w="130"/>
            </w:tcMar>
          </w:tcPr>
          <w:p>
            <w:pPr>
              <w:spacing w:after="0" w:line="280"/>
            </w:pPr>
            <w:r>
              <w:rPr>
                <w:rFonts w:ascii="Consolas" w:cs="Consolas" w:eastAsia="Consolas" w:hAnsi="Consolas"/>
                <w:b w:val="false"/>
                <w:bCs w:val="false"/>
                <w:color w:val="1B1930"/>
                <w:sz w:val="19"/>
                <w:szCs w:val="19"/>
              </w:rPr>
              <w:t xml:space="preserve">tools/checks.py</w:t>
            </w:r>
          </w:p>
        </w:tc>
        <w:tc>
          <w:tcPr>
            <w:tcW w:type="dxa" w:w="68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one command runs all six checks. Two definitions of "the checks" always drift, and it is always the local one that drifts</w:t>
            </w:r>
          </w:p>
        </w:tc>
      </w:tr>
      <w:tr>
        <w:tc>
          <w:tcPr>
            <w:tcW w:type="dxa" w:w="25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Docker</w:t>
            </w:r>
          </w:p>
        </w:tc>
        <w:tc>
          <w:tcPr>
            <w:tcW w:type="dxa" w:w="68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the same image everywhere. The deterministic safety layer must behave identically wherever it runs, and that is what an image guarantees</w:t>
            </w:r>
          </w:p>
        </w:tc>
      </w:tr>
      <w:tr>
        <w:tc>
          <w:tcPr>
            <w:tcW w:type="dxa" w:w="25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GitHub Actions</w:t>
            </w:r>
          </w:p>
        </w:tc>
        <w:tc>
          <w:tcPr>
            <w:tcW w:type="dxa" w:w="68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runs that same command on every push, so a change that passed on one machine is checked on a clean one</w:t>
            </w:r>
          </w:p>
        </w:tc>
      </w:tr>
      <w:tr>
        <w:tc>
          <w:tcPr>
            <w:tcW w:type="dxa" w:w="2500"/>
            <w:tcMar>
              <w:top w:type="dxa" w:w="90"/>
              <w:left w:type="dxa" w:w="130"/>
              <w:bottom w:type="dxa" w:w="90"/>
              <w:right w:type="dxa" w:w="130"/>
            </w:tcMar>
          </w:tcPr>
          <w:p>
            <w:pPr>
              <w:spacing w:after="0" w:line="280"/>
            </w:pPr>
            <w:r>
              <w:rPr>
                <w:rFonts w:ascii="Consolas" w:cs="Consolas" w:eastAsia="Consolas" w:hAnsi="Consolas"/>
                <w:b w:val="false"/>
                <w:bCs w:val="false"/>
                <w:color w:val="1B1930"/>
                <w:sz w:val="19"/>
                <w:szCs w:val="19"/>
              </w:rPr>
              <w:t xml:space="preserve">/api/health</w:t>
            </w:r>
          </w:p>
        </w:tc>
        <w:tc>
          <w:tcPr>
            <w:tcW w:type="dxa" w:w="68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reports whether each model actually loaded. A bare {"ok": true} would call a broken instance healthy — and this is how a wrong checkpoint filename was found</w:t>
            </w:r>
          </w:p>
        </w:tc>
      </w:tr>
      <w:tr>
        <w:tc>
          <w:tcPr>
            <w:tcW w:type="dxa" w:w="2500"/>
            <w:tcMar>
              <w:top w:type="dxa" w:w="90"/>
              <w:left w:type="dxa" w:w="130"/>
              <w:bottom w:type="dxa" w:w="90"/>
              <w:right w:type="dxa" w:w="130"/>
            </w:tcMar>
          </w:tcPr>
          <w:p>
            <w:pPr>
              <w:spacing w:after="0" w:line="280"/>
            </w:pPr>
            <w:r>
              <w:rPr>
                <w:rFonts w:ascii="Consolas" w:cs="Consolas" w:eastAsia="Consolas" w:hAnsi="Consolas"/>
                <w:b w:val="false"/>
                <w:bCs w:val="false"/>
                <w:color w:val="1B1930"/>
                <w:sz w:val="19"/>
                <w:szCs w:val="19"/>
              </w:rPr>
              <w:t xml:space="preserve">/api/metrics</w:t>
            </w:r>
          </w:p>
        </w:tc>
        <w:tc>
          <w:tcPr>
            <w:tcW w:type="dxa" w:w="68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request counts and latency, keyed by route and never by URL, and never any patient content</w:t>
            </w:r>
          </w:p>
        </w:tc>
      </w:tr>
      <w:tr>
        <w:tc>
          <w:tcPr>
            <w:tcW w:type="dxa" w:w="25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MLflow</w:t>
            </w:r>
          </w:p>
        </w:tc>
        <w:tc>
          <w:tcPr>
            <w:tcW w:type="dxa" w:w="68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used when installed, skipped when not, so the pipeline runs on a bare checkout and gains a UI when someone wants one</w:t>
            </w:r>
          </w:p>
        </w:tc>
      </w:tr>
    </w:tbl>
    <w:p>
      <w:pPr>
        <w:pStyle w:val="Heading1"/>
        <w:spacing w:after="160" w:before="340"/>
      </w:pPr>
      <w:r>
        <w:rPr>
          <w:rFonts w:ascii="Calibri" w:cs="Calibri" w:eastAsia="Calibri" w:hAnsi="Calibri"/>
          <w:b/>
          <w:bCs/>
          <w:color w:val="4A45A8"/>
          <w:sz w:val="30"/>
          <w:szCs w:val="30"/>
        </w:rPr>
        <w:t xml:space="preserve">Numbers to know cold</w:t>
      </w:r>
    </w:p>
    <w:tbl>
      <w:tblPr>
        <w:tblW w:type="dxa" w:w="9360"/>
        <w:tblBorders>
          <w:top w:val="single" w:color="D8D6E8" w:sz="6"/>
          <w:left w:val="none"/>
          <w:bottom w:val="single" w:color="D8D6E8" w:sz="6"/>
          <w:right w:val="none"/>
          <w:insideH w:val="single" w:color="D8D6E8" w:sz="4"/>
          <w:insideV w:val="none"/>
        </w:tblBorders>
      </w:tblPr>
      <w:tblGrid>
        <w:gridCol w:w="2900"/>
        <w:gridCol w:w="6460"/>
      </w:tblGrid>
      <w:tr>
        <w:trPr>
          <w:tblHeader/>
        </w:trPr>
        <w:tc>
          <w:tcPr>
            <w:tcW w:type="dxa" w:w="2900"/>
            <w:shd w:fill="EFEEFB" w:val="clear"/>
            <w:tcMar>
              <w:top w:type="dxa" w:w="90"/>
              <w:left w:type="dxa" w:w="130"/>
              <w:bottom w:type="dxa" w:w="90"/>
              <w:right w:type="dxa" w:w="130"/>
            </w:tcMar>
          </w:tcPr>
          <w:p>
            <w:pPr>
              <w:spacing w:after="0" w:line="280"/>
            </w:pPr>
            <w:r>
              <w:rPr>
                <w:rFonts w:ascii="Calibri" w:cs="Calibri" w:eastAsia="Calibri" w:hAnsi="Calibri"/>
                <w:b/>
                <w:bCs/>
                <w:color w:val="4A45A8"/>
                <w:sz w:val="19"/>
                <w:szCs w:val="19"/>
              </w:rPr>
              <w:t xml:space="preserve"/>
            </w:r>
          </w:p>
        </w:tc>
        <w:tc>
          <w:tcPr>
            <w:tcW w:type="dxa" w:w="6460"/>
            <w:shd w:fill="EFEEFB" w:val="clear"/>
            <w:tcMar>
              <w:top w:type="dxa" w:w="90"/>
              <w:left w:type="dxa" w:w="130"/>
              <w:bottom w:type="dxa" w:w="90"/>
              <w:right w:type="dxa" w:w="130"/>
            </w:tcMar>
          </w:tcPr>
          <w:p>
            <w:pPr>
              <w:spacing w:after="0" w:line="280"/>
            </w:pPr>
            <w:r>
              <w:rPr>
                <w:rFonts w:ascii="Calibri" w:cs="Calibri" w:eastAsia="Calibri" w:hAnsi="Calibri"/>
                <w:b/>
                <w:bCs/>
                <w:color w:val="4A45A8"/>
                <w:sz w:val="19"/>
                <w:szCs w:val="19"/>
              </w:rPr>
              <w:t xml:space="preserve">Value</w:t>
            </w:r>
          </w:p>
        </w:tc>
      </w:tr>
      <w:tr>
        <w:tc>
          <w:tcPr>
            <w:tcW w:type="dxa" w:w="29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Safety benchmark</w:t>
            </w:r>
          </w:p>
        </w:tc>
        <w:tc>
          <w:tcPr>
            <w:tcW w:type="dxa" w:w="64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339 tests across 37 safety properties, all passing</w:t>
            </w:r>
          </w:p>
        </w:tc>
      </w:tr>
      <w:tr>
        <w:tc>
          <w:tcPr>
            <w:tcW w:type="dxa" w:w="29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Scenario regression</w:t>
            </w:r>
          </w:p>
        </w:tc>
        <w:tc>
          <w:tcPr>
            <w:tcW w:type="dxa" w:w="64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150 checks over 10 cases</w:t>
            </w:r>
          </w:p>
        </w:tc>
      </w:tr>
      <w:tr>
        <w:tc>
          <w:tcPr>
            <w:tcW w:type="dxa" w:w="29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Triage, reference</w:t>
            </w:r>
          </w:p>
        </w:tc>
        <w:tc>
          <w:tcPr>
            <w:tcW w:type="dxa" w:w="64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accuracy 0.680 · dangerous miss 1.55%</w:t>
            </w:r>
          </w:p>
        </w:tc>
      </w:tr>
      <w:tr>
        <w:tc>
          <w:tcPr>
            <w:tcW w:type="dxa" w:w="2900"/>
            <w:tcMar>
              <w:top w:type="dxa" w:w="90"/>
              <w:left w:type="dxa" w:w="130"/>
              <w:bottom w:type="dxa" w:w="90"/>
              <w:right w:type="dxa" w:w="130"/>
            </w:tcMar>
          </w:tcPr>
          <w:p>
            <w:pPr>
              <w:spacing w:after="0" w:line="280"/>
            </w:pPr>
            <w:r>
              <w:rPr>
                <w:rFonts w:ascii="Calibri" w:cs="Calibri" w:eastAsia="Calibri" w:hAnsi="Calibri"/>
                <w:b/>
                <w:bCs/>
                <w:color w:val="1B1930"/>
                <w:sz w:val="19"/>
                <w:szCs w:val="19"/>
              </w:rPr>
              <w:t xml:space="preserve">Triage, deployed</w:t>
            </w:r>
          </w:p>
        </w:tc>
        <w:tc>
          <w:tcPr>
            <w:tcW w:type="dxa" w:w="6460"/>
            <w:tcMar>
              <w:top w:type="dxa" w:w="90"/>
              <w:left w:type="dxa" w:w="130"/>
              <w:bottom w:type="dxa" w:w="90"/>
              <w:right w:type="dxa" w:w="130"/>
            </w:tcMar>
          </w:tcPr>
          <w:p>
            <w:pPr>
              <w:spacing w:after="0" w:line="280"/>
            </w:pPr>
            <w:r>
              <w:rPr>
                <w:rFonts w:ascii="Calibri" w:cs="Calibri" w:eastAsia="Calibri" w:hAnsi="Calibri"/>
                <w:b/>
                <w:bCs/>
                <w:color w:val="1B1930"/>
                <w:sz w:val="19"/>
                <w:szCs w:val="19"/>
              </w:rPr>
              <w:t xml:space="preserve">accuracy 0.630 · dangerous miss 1.36%</w:t>
            </w:r>
          </w:p>
        </w:tc>
      </w:tr>
      <w:tr>
        <w:tc>
          <w:tcPr>
            <w:tcW w:type="dxa" w:w="29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Lung</w:t>
            </w:r>
          </w:p>
        </w:tc>
        <w:tc>
          <w:tcPr>
            <w:tcW w:type="dxa" w:w="64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macro AUROC 0.727 (production v1)</w:t>
            </w:r>
          </w:p>
        </w:tc>
      </w:tr>
      <w:tr>
        <w:tc>
          <w:tcPr>
            <w:tcW w:type="dxa" w:w="29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Cardiac</w:t>
            </w:r>
          </w:p>
        </w:tc>
        <w:tc>
          <w:tcPr>
            <w:tcW w:type="dxa" w:w="64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Dice 0.928 in-domain, 0.534 external · EF MAE 12.2 → 6.9 pp</w:t>
            </w:r>
          </w:p>
        </w:tc>
      </w:tr>
      <w:tr>
        <w:tc>
          <w:tcPr>
            <w:tcW w:type="dxa" w:w="290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Datasets</w:t>
            </w:r>
          </w:p>
        </w:tc>
        <w:tc>
          <w:tcPr>
            <w:tcW w:type="dxa" w:w="6460"/>
            <w:tcMar>
              <w:top w:type="dxa" w:w="90"/>
              <w:left w:type="dxa" w:w="130"/>
              <w:bottom w:type="dxa" w:w="90"/>
              <w:right w:type="dxa" w:w="130"/>
            </w:tcMar>
          </w:tcPr>
          <w:p>
            <w:pPr>
              <w:spacing w:after="0" w:line="280"/>
            </w:pPr>
            <w:r>
              <w:rPr>
                <w:rFonts w:ascii="Calibri" w:cs="Calibri" w:eastAsia="Calibri" w:hAnsi="Calibri"/>
                <w:b w:val="false"/>
                <w:bCs w:val="false"/>
                <w:color w:val="1B1930"/>
                <w:sz w:val="19"/>
                <w:szCs w:val="19"/>
              </w:rPr>
              <w:t xml:space="preserve">9 content-hashed manifests</w:t>
            </w:r>
          </w:p>
        </w:tc>
      </w:tr>
    </w:tbl>
    <w:p>
      <w:pPr>
        <w:spacing w:after="120"/>
      </w:pPr>
    </w:p>
    <w:p>
      <w:pPr>
        <w:spacing w:after="140" w:line="300"/>
      </w:pPr>
      <w:r>
        <w:rPr>
          <w:rFonts w:ascii="Calibri" w:cs="Calibri" w:eastAsia="Calibri" w:hAnsi="Calibri"/>
          <w:color w:val="1B1930"/>
          <w:sz w:val="21"/>
          <w:szCs w:val="21"/>
        </w:rPr>
        <w:t xml:space="preserve">The one comparison to have at your fingertips: the deployed triage model is less accurate than the reference and has a lower dangerous-miss rate. That single line is the whole argument for why it is the one at the bedside.</w:t>
      </w:r>
    </w:p>
    <w:p>
      <w:pPr>
        <w:pStyle w:val="Heading1"/>
        <w:spacing w:after="160" w:before="340"/>
      </w:pPr>
      <w:r>
        <w:rPr>
          <w:rFonts w:ascii="Calibri" w:cs="Calibri" w:eastAsia="Calibri" w:hAnsi="Calibri"/>
          <w:b/>
          <w:bCs/>
          <w:color w:val="4A45A8"/>
          <w:sz w:val="30"/>
          <w:szCs w:val="30"/>
        </w:rPr>
        <w:t xml:space="preserve">If a jury asks "what is your MLOps contribution?"</w:t>
      </w:r>
    </w:p>
    <w:p>
      <w:pPr>
        <w:spacing w:after="140" w:line="300"/>
      </w:pPr>
      <w:r>
        <w:rPr>
          <w:rFonts w:ascii="Calibri" w:cs="Calibri" w:eastAsia="Calibri" w:hAnsi="Calibri"/>
          <w:color w:val="1B1930"/>
          <w:sz w:val="21"/>
          <w:szCs w:val="21"/>
        </w:rPr>
        <w:t xml:space="preserve">Do not list tools. Say this:</w:t>
      </w:r>
    </w:p>
    <w:p>
      <w:pPr>
        <w:pBdr>
          <w:left w:val="single" w:color="4A45A8" w:sz="18" w:space="14"/>
        </w:pBdr>
        <w:spacing w:after="180" w:before="160" w:line="300"/>
        <w:ind w:left="280"/>
      </w:pPr>
      <w:r>
        <w:rPr>
          <w:rFonts w:ascii="Calibri" w:cs="Calibri" w:eastAsia="Calibri" w:hAnsi="Calibri"/>
          <w:i/>
          <w:iCs/>
          <w:color w:val="1B1930"/>
          <w:sz w:val="21"/>
          <w:szCs w:val="21"/>
        </w:rPr>
        <w:t xml:space="preserve">The datasets behind these models do not cover the whole clinical scope, so the system is built to accept validated data later — versioned by content hash, retrained, evaluated against fixed criteria, and promoted only by a named human. The gate checks dangerous-miss recall and calibration, not just accuracy, because a model can improve its headline number while missing more sick patients. It has rejected a model on exactly those grounds.</w:t>
      </w:r>
    </w:p>
    <w:p>
      <w:pPr>
        <w:pStyle w:val="Heading2"/>
        <w:spacing w:after="120" w:before="260"/>
      </w:pPr>
      <w:r>
        <w:rPr>
          <w:rFonts w:ascii="Calibri" w:cs="Calibri" w:eastAsia="Calibri" w:hAnsi="Calibri"/>
          <w:b/>
          <w:bCs/>
          <w:color w:val="1B1930"/>
          <w:sz w:val="24"/>
          <w:szCs w:val="24"/>
        </w:rPr>
        <w:t xml:space="preserve">Questions you should expect</w:t>
      </w:r>
    </w:p>
    <w:p>
      <w:pPr>
        <w:pStyle w:val="ListParagraph"/>
        <w:numPr>
          <w:ilvl w:val="0"/>
          <w:numId w:val="2"/>
        </w:numPr>
        <w:spacing w:after="90" w:line="300"/>
      </w:pPr>
      <w:r>
        <w:rPr>
          <w:rFonts w:ascii="Calibri" w:cs="Calibri" w:eastAsia="Calibri" w:hAnsi="Calibri"/>
          <w:color w:val="1B1930"/>
          <w:sz w:val="21"/>
          <w:szCs w:val="21"/>
        </w:rPr>
        <w:t xml:space="preserve">"Why not DVC / MLflow as the source of truth?" — the data is not redistributable, so hashing the manifest records what matters. MLflow is used when present but nothing depends on it.</w:t>
      </w:r>
    </w:p>
    <w:p>
      <w:pPr>
        <w:pStyle w:val="ListParagraph"/>
        <w:numPr>
          <w:ilvl w:val="0"/>
          <w:numId w:val="2"/>
        </w:numPr>
        <w:spacing w:after="90" w:line="300"/>
      </w:pPr>
      <w:r>
        <w:rPr>
          <w:rFonts w:ascii="Calibri" w:cs="Calibri" w:eastAsia="Calibri" w:hAnsi="Calibri"/>
          <w:color w:val="1B1930"/>
          <w:sz w:val="21"/>
          <w:szCs w:val="21"/>
        </w:rPr>
        <w:t xml:space="preserve">"Why two triage models?" — different feature spaces. One uses registration fields a hospital assigns; the other only what a clinician types at the bedside.</w:t>
      </w:r>
    </w:p>
    <w:p>
      <w:pPr>
        <w:pStyle w:val="ListParagraph"/>
        <w:numPr>
          <w:ilvl w:val="0"/>
          <w:numId w:val="2"/>
        </w:numPr>
        <w:spacing w:after="90" w:line="300"/>
      </w:pPr>
      <w:r>
        <w:rPr>
          <w:rFonts w:ascii="Calibri" w:cs="Calibri" w:eastAsia="Calibri" w:hAnsi="Calibri"/>
          <w:color w:val="1B1930"/>
          <w:sz w:val="21"/>
          <w:szCs w:val="21"/>
        </w:rPr>
        <w:t xml:space="preserve">"Why did the gate reject your own model?" — because it correctly detected a regression against the reference lineage. That is the gate working, not failing.</w:t>
      </w:r>
    </w:p>
    <w:p>
      <w:pPr>
        <w:pStyle w:val="ListParagraph"/>
        <w:numPr>
          <w:ilvl w:val="0"/>
          <w:numId w:val="2"/>
        </w:numPr>
        <w:spacing w:after="90" w:line="300"/>
      </w:pPr>
      <w:r>
        <w:rPr>
          <w:rFonts w:ascii="Calibri" w:cs="Calibri" w:eastAsia="Calibri" w:hAnsi="Calibri"/>
          <w:color w:val="1B1930"/>
          <w:sz w:val="21"/>
          <w:szCs w:val="21"/>
        </w:rPr>
        <w:t xml:space="preserve">"Is there automatic retraining?" — no, deliberately. A doctor contributes data; a model reaches a patient only when a person approves it by name.</w:t>
      </w:r>
    </w:p>
    <w:p>
      <w:pPr>
        <w:pStyle w:val="ListParagraph"/>
        <w:numPr>
          <w:ilvl w:val="0"/>
          <w:numId w:val="2"/>
        </w:numPr>
        <w:spacing w:after="90" w:line="300"/>
      </w:pPr>
      <w:r>
        <w:rPr>
          <w:rFonts w:ascii="Calibri" w:cs="Calibri" w:eastAsia="Calibri" w:hAnsi="Calibri"/>
          <w:color w:val="1B1930"/>
          <w:sz w:val="21"/>
          <w:szCs w:val="21"/>
        </w:rPr>
        <w:t xml:space="preserve">"How do you know your checks actually check anything?" — because one of them did not, and it was caught by injecting the fault it was supposed to catch and watching it stay silent.</w:t>
      </w:r>
    </w:p>
    <w:p>
      <w:pPr>
        <w:pBdr>
          <w:top w:val="single" w:color="D8D6E8" w:sz="6" w:space="10"/>
        </w:pBdr>
        <w:spacing w:before="400"/>
      </w:pPr>
      <w:r>
        <w:rPr>
          <w:rFonts w:ascii="Calibri" w:cs="Calibri" w:eastAsia="Calibri" w:hAnsi="Calibri"/>
          <w:i/>
          <w:iCs/>
          <w:color w:val="5A5872"/>
          <w:sz w:val="17"/>
          <w:szCs w:val="17"/>
        </w:rPr>
        <w:t xml:space="preserve">Every figure in this document is traceable to models/registry.json, models/safety_benchmark.json, or a named section of the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POCUS-Emergency — MLOps Explained</dc:title>
  <dc:creator>Mariem Brik</dc:creator>
  <cp:lastModifiedBy>Un-named</cp:lastModifiedBy>
  <cp:revision>1</cp:revision>
  <dcterms:created xsi:type="dcterms:W3CDTF">2026-09-09T17:44:49.205Z</dcterms:created>
  <dcterms:modified xsi:type="dcterms:W3CDTF">2026-09-09T17:44:49.214Z</dcterms:modified>
</cp:coreProperties>
</file>

<file path=docProps/custom.xml><?xml version="1.0" encoding="utf-8"?>
<Properties xmlns="http://schemas.openxmlformats.org/officeDocument/2006/custom-properties" xmlns:vt="http://schemas.openxmlformats.org/officeDocument/2006/docPropsVTypes"/>
</file>