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Preparation Phase — Report</w:t>
      </w:r>
    </w:p>
    <w:p>
      <w:r>
        <w:rPr>
          <w:i/>
          <w:iCs/>
          <w:color w:val="555555"/>
          <w:sz w:val="20"/>
          <w:szCs w:val="20"/>
        </w:rPr>
        <w:t xml:space="preserve">POCUS-Emergency: Intelligent Multimodal Assistant for Clinical Ultrasound and Decision Support in Emergencies</w:t>
      </w:r>
    </w:p>
    <w:p>
      <w:pPr>
        <w:spacing w:after="200"/>
      </w:pPr>
      <w:r>
        <w:rPr>
          <w:color w:val="777777"/>
          <w:sz w:val="18"/>
          <w:szCs w:val="18"/>
        </w:rPr>
        <w:t xml:space="preserve">Maryem Brik — AI Research Intern, ESPRIT — 15 July 2026</w:t>
      </w:r>
    </w:p>
    <w:p>
      <w:pPr>
        <w:pStyle w:val="Heading2"/>
      </w:pPr>
      <w:r>
        <w:t xml:space="preserve">1. Purpose of this phase</w:t>
      </w:r>
    </w:p>
    <w:p>
      <w:pPr>
        <w:spacing w:after="140"/>
      </w:pPr>
      <w:r>
        <w:t xml:space="preserve">Following the CRISP-DM methodology adopted for this project, this phase (Data Preparation) turns the raw datasets already collected — lung, cardiac, abdominal ultrasound, plus emergency-department triage and biological records — into clean, structured tables ready for model training. For each dataset this meant: writing a script to walk the raw files, extracting or verifying the correct labels, and catching data-quality problems before they could silently affect model results.</w:t>
      </w:r>
    </w:p>
    <w:p>
      <w:pPr>
        <w:pStyle w:val="Heading2"/>
      </w:pPr>
      <w:r>
        <w:t xml:space="preserve">2. Datasets processed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Records processed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 / output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Pulmonary (POCUS)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198 files, 4 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pulmonary_manifest.py → pulmonary_manifest.csv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Cardiac (CAMUS)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patients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cardiac_manifest.py → cardiac_manifest.csv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Abdominal (UIdataGB)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10,694 images, 9 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gallbladder_manifest.py → gallbladder_manifest.csv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Triage (NHAMCS 2021+2022)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32,232 real ED visits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triage_nhamcs_prep.py → nhamcs_triage_core_combined.csv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Biological (VitalDB)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6,388 surgical cases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vitaldb_prep.py → vitaldb_biological_manifest.csv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All processing code is organized under src/data_prep/ (one script per dataset); all resulting clean tables are written to manifests/, so the modeling phase has a single, consistent starting point for each data source.</w:t>
      </w:r>
    </w:p>
    <w:p>
      <w:pPr>
        <w:pStyle w:val="Heading2"/>
      </w:pPr>
      <w:r>
        <w:t xml:space="preserve">3. Data-quality issues found and resolved</w:t>
      </w:r>
    </w:p>
    <w:p>
      <w:pPr>
        <w:spacing w:after="140"/>
      </w:pPr>
      <w:r>
        <w:t xml:space="preserve">A meaningful part of this phase was catching problems in the raw data before they could quietly bias a model — several of the datasets used undocumented or easy-to-miss conventions that would have corrupted results if taken at face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 found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Pulmonary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198 raw files with no structured labels beyond filename prefix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Parsed the bundled doctor free-text notes (dataset_metadata.csv) into explicit pathology flags: B-lines, consolidation, pleural effusion, pleural thickening — enabling multi-label training instead of a single coarse 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Pulmonary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file explicitly marked “do not use” by original curators; 11 files show liver in frame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 both categories automatically so they can be excluded or reviewed before 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Abdominal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10,694 images but only 14–32 unique patients per class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 that train/validation/test splits must be done by patient ID, not by image — otherwise the same patient’s images would leak across splits and inflate 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Triage (NHAMCS)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 file used sentinel codes for missing/invalid values (e.g. “998” = Doppler-measured pulse, not a real reading of 998 bpm; “-9” = blank)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Cross-checked the CDC’s own documentation and applied the correct sentinel-to-missing mapping before computing any statistics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Triage (NHAMCS)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Acuity field (IMMEDR) initially mislabeled with guessed categories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against the official CDC documentation and corrected to the real categories: Immediate / Emergent / Urgent / Semi-urgent / Nonurgent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Triage (NHAMCS)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Temperature field stored with an implied decimal (“982” = 98.2°F)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Applied the correct decimal conversion; verified the resulting range (84–105.8°F) is clinically sensible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Not yet processed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MIMIC-IV-ED Demo + MIMIC-IV Clinical Demo — already close to analysis-ready; lower priority since NHAMCS now covers the core triage-modeling need.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MTSamples (free-text clinical notes) — needed later for the Clinical Reasoning Agent’s text-extraction work, not urgent yet.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 Next step</w:t>
      </w:r>
    </w:p>
    <w:p>
      <w:pPr>
        <w:spacing w:after="140"/>
      </w:pPr>
      <w:r>
        <w:t xml:space="preserve">With the Pulmonary manifest complete and enriched with multi-label pathology tags, the next step is building the Tier-1 lung classifier (multi-label CNN fine-tuned from the USCL ultrasound-pretrained backbone), following the model architecture already decided for this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2026-07-15T09:03:13.675Z</dcterms:created>
  <dcterms:modified xsi:type="dcterms:W3CDTF">2026-07-15T09:03:13.687Z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