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Aporte Redis-Kafka</w:t>
      </w:r>
    </w:p>
    <w:p>
      <w:r>
        <w:rPr>
          <w:b/>
        </w:rPr>
        <w:t xml:space="preserve">Caso de uso real – Kafka: </w:t>
      </w:r>
    </w:p>
    <w:p>
      <w:r>
        <w:t>Streaming de transacciones bancarias para auditoría antifraude: los microservicios publican eventos de transacción y un consumidor de riesgo correlaciona patrones en tiempo real para detectar anomalías.</w:t>
      </w:r>
    </w:p>
    <w:p>
      <w:r>
        <w:rPr>
          <w:b/>
        </w:rPr>
        <w:t xml:space="preserve">Caso de uso real – Redis: </w:t>
      </w:r>
    </w:p>
    <w:p>
      <w:r>
        <w:t>Cache de saldos y límites de cuenta con TTL para acelerar lecturas en consultas de balance y validar topes de operación.</w:t>
      </w:r>
    </w:p>
    <w:p>
      <w:r>
        <w:rPr>
          <w:b/>
        </w:rPr>
        <w:t xml:space="preserve">Caso hipotético en 3 microservicios: </w:t>
      </w:r>
    </w:p>
    <w:p>
      <w:r>
        <w:t>• ClientMS publica eventos de alta/actualización de clientes en Kafka.</w:t>
        <w:br/>
        <w:t>• AccountMS consume dichos eventos para sincronizar perfiles y emite eventos de apertura/cierre de cuentas.</w:t>
        <w:br/>
        <w:t>• TransactionMS consume eventos de cuentas para habilitar transacciones; cada transacción se publica en Kafka.</w:t>
        <w:br/>
        <w:t>• Redis se utiliza para cachear: (a) tokenización y límites por cliente, (b) últimos N movimientos por cuenta, (c) reglas de idempotencia para evitar duplicados.</w:t>
      </w:r>
    </w:p>
    <w:p>
      <w:r>
        <w:rPr>
          <w:b/>
        </w:rPr>
        <w:t xml:space="preserve">Beneficios: </w:t>
      </w:r>
    </w:p>
    <w:p>
      <w:r>
        <w:t>Desacoplamiento, escalabilidad horizontal, resiliencia ante picos; latencia sub-milisegundo en lecturas críticas con Redis.</w:t>
      </w:r>
    </w:p>
    <w:p>
      <w:r>
        <w:rPr>
          <w:b/>
        </w:rPr>
        <w:t xml:space="preserve">Riesgos y mitigaciones: </w:t>
      </w:r>
    </w:p>
    <w:p>
      <w:r>
        <w:t>Orden de eventos (usar claves por partición y semántica al menos una vez), consistencia eventual, y políticas de expiración en Redis.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