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160"/>
        <w:jc w:val="center"/>
      </w:pPr>
      <w:r>
        <w:rPr>
          <w:rFonts w:ascii="Arial" w:cs="Arial" w:eastAsia="Arial" w:hAnsi="Arial"/>
          <w:b/>
          <w:bCs/>
          <w:color w:val="1F4E79"/>
          <w:sz w:val="56"/>
          <w:szCs w:val="56"/>
        </w:rPr>
        <w:t xml:space="preserve">RETAIL SALES FORECASTING</w:t>
      </w:r>
    </w:p>
    <w:p>
      <w:pPr>
        <w:spacing w:before="80" w:after="320"/>
        <w:jc w:val="center"/>
      </w:pPr>
      <w:r>
        <w:rPr>
          <w:rFonts w:ascii="Arial" w:cs="Arial" w:eastAsia="Arial" w:hAnsi="Arial"/>
          <w:color w:val="2E75B6"/>
          <w:sz w:val="36"/>
          <w:szCs w:val="36"/>
        </w:rPr>
        <w:t xml:space="preserve">Time Series Analysis &amp; SARIMA Modeling</w:t>
      </w:r>
    </w:p>
    <w:p>
      <w:pPr>
        <w:pBdr>
          <w:bottom w:val="single" w:color="2E75B6" w:sz="12" w:space="1"/>
        </w:pBdr>
        <w:spacing w:before="80" w:after="320"/>
      </w:pPr>
    </w:p>
    <w:p>
      <w:pPr>
        <w:spacing w:before="120" w:after="60"/>
        <w:jc w:val="center"/>
      </w:pPr>
      <w:r>
        <w:rPr>
          <w:rFonts w:ascii="Arial" w:cs="Arial" w:eastAsia="Arial" w:hAnsi="Arial"/>
          <w:color w:val="1A1A1A"/>
          <w:sz w:val="24"/>
          <w:szCs w:val="24"/>
        </w:rPr>
        <w:t xml:space="preserve">Prepared by: [Your Name]</w:t>
      </w:r>
    </w:p>
    <w:p>
      <w:pPr>
        <w:spacing w:before="60" w:after="60"/>
        <w:jc w:val="center"/>
      </w:pPr>
      <w:r>
        <w:rPr>
          <w:rFonts w:ascii="Arial" w:cs="Arial" w:eastAsia="Arial" w:hAnsi="Arial"/>
          <w:color w:val="1A1A1A"/>
          <w:sz w:val="24"/>
          <w:szCs w:val="24"/>
        </w:rPr>
        <w:t xml:space="preserve">Course: [Course Name]</w:t>
      </w:r>
    </w:p>
    <w:p>
      <w:pPr>
        <w:spacing w:before="60" w:after="60"/>
        <w:jc w:val="center"/>
      </w:pPr>
      <w:r>
        <w:rPr>
          <w:rFonts w:ascii="Arial" w:cs="Arial" w:eastAsia="Arial" w:hAnsi="Arial"/>
          <w:color w:val="1A1A1A"/>
          <w:sz w:val="24"/>
          <w:szCs w:val="24"/>
        </w:rPr>
        <w:t xml:space="preserve">Date: March 27, 2026</w:t>
      </w:r>
    </w:p>
    <w:p>
      <w:pPr>
        <w:spacing w:before="80" w:after="80"/>
      </w:pPr>
      <w:r>
        <w:t xml:space="preserve"/>
      </w:r>
    </w:p>
    <w:p>
      <w:pPr>
        <w:spacing w:before="80" w:after="80"/>
      </w:pPr>
      <w:r>
        <w:t xml:space="preserve"/>
      </w:r>
    </w:p>
    <w:p>
      <w:pPr>
        <w:spacing w:before="0" w:after="0"/>
      </w:pPr>
      <w:r>
        <w:br w:type="page"/>
      </w:r>
    </w:p>
    <w:p>
      <w:pPr>
        <w:pBdr>
          <w:bottom w:val="single" w:color="2E75B6" w:sz="8" w:space="1"/>
        </w:pBdr>
        <w:spacing w:before="360" w:after="160"/>
      </w:pPr>
      <w:r>
        <w:rPr>
          <w:rFonts w:ascii="Arial" w:cs="Arial" w:eastAsia="Arial" w:hAnsi="Arial"/>
          <w:b/>
          <w:bCs/>
          <w:color w:val="1F4E79"/>
          <w:sz w:val="36"/>
          <w:szCs w:val="36"/>
        </w:rPr>
        <w:t xml:space="preserve">1. Executive Summary</w:t>
      </w:r>
    </w:p>
    <w:p>
      <w:pPr>
        <w:spacing w:before="80" w:after="80"/>
        <w:jc w:val="both"/>
      </w:pPr>
      <w:r>
        <w:rPr>
          <w:rFonts w:ascii="Arial" w:cs="Arial" w:eastAsia="Arial" w:hAnsi="Arial"/>
          <w:color w:val="1A1A1A"/>
          <w:sz w:val="22"/>
          <w:szCs w:val="22"/>
        </w:rPr>
        <w:t xml:space="preserve">This report presents a full time series analysis and sales forecasting exercise conducted on a simulated retail dataset spanning 48 months (January 2020 to December 2023). The core aim was to identify structural patterns in the sales data, test for stationarity, and build a model capable of generating reliable short-term forecasts. A SARIMA(1,0,1)(1,1,1)[12] model was fitted to the training data and evaluated against a held-out test set, after which the final model was re-fitted on the complete dataset to produce a 6-month forward forecast covering January to June 2024.</w:t>
      </w:r>
    </w:p>
    <w:p>
      <w:pPr>
        <w:spacing w:before="80" w:after="80"/>
      </w:pPr>
      <w:r>
        <w:t xml:space="preserve"/>
      </w:r>
    </w:p>
    <w:p>
      <w:pPr>
        <w:spacing w:before="80" w:after="80"/>
        <w:jc w:val="both"/>
      </w:pPr>
      <w:r>
        <w:rPr>
          <w:rFonts w:ascii="Arial" w:cs="Arial" w:eastAsia="Arial" w:hAnsi="Arial"/>
          <w:color w:val="1A1A1A"/>
          <w:sz w:val="22"/>
          <w:szCs w:val="22"/>
        </w:rPr>
        <w:t xml:space="preserve">The analysis confirmed the presence of a gradual upward trend in sales, a clear 12-month seasonal cycle, and additional volatility introduced by promotional periods and holiday months. Model performance on the test set was reasonably solid, with a Mean Absolute Percentage Error (MAPE) of 10.39%, which is acceptable given the noise embedded in the data during generation. The 6-month forecast suggests a gradual decline from a January 2024 peak of approximately 16,093 units toward mid-year levels around 8,810 units, consistent with the seasonal low historically observed in mid-year months.</w:t>
      </w:r>
    </w:p>
    <w:p>
      <w:pPr>
        <w:spacing w:before="80" w:after="80"/>
      </w:pPr>
      <w:r>
        <w:t xml:space="preserve"/>
      </w:r>
    </w:p>
    <w:p>
      <w:pPr>
        <w:pBdr>
          <w:bottom w:val="single" w:color="2E75B6" w:sz="8" w:space="1"/>
        </w:pBdr>
        <w:spacing w:before="360" w:after="160"/>
      </w:pPr>
      <w:r>
        <w:rPr>
          <w:rFonts w:ascii="Arial" w:cs="Arial" w:eastAsia="Arial" w:hAnsi="Arial"/>
          <w:b/>
          <w:bCs/>
          <w:color w:val="1F4E79"/>
          <w:sz w:val="36"/>
          <w:szCs w:val="36"/>
        </w:rPr>
        <w:t xml:space="preserve">2. Introduction &amp; Objectives</w:t>
      </w:r>
    </w:p>
    <w:p>
      <w:pPr>
        <w:spacing w:before="80" w:after="80"/>
        <w:jc w:val="both"/>
      </w:pPr>
      <w:r>
        <w:rPr>
          <w:rFonts w:ascii="Arial" w:cs="Arial" w:eastAsia="Arial" w:hAnsi="Arial"/>
          <w:color w:val="1A1A1A"/>
          <w:sz w:val="22"/>
          <w:szCs w:val="22"/>
        </w:rPr>
        <w:t xml:space="preserve">Forecasting future demand is one of the most practically relevant applications of data science in a retail setting. Without a reasonable projection of what sales will look like over the coming months, inventory planning, staffing, and budgeting decisions all become guesswork. The purpose of this project was therefore to go through the complete forecasting pipeline — from raw data generation and exploration all the way through to model evaluation and a deployable 6-month forecast.</w:t>
      </w:r>
    </w:p>
    <w:p>
      <w:pPr>
        <w:spacing w:before="80" w:after="80"/>
      </w:pPr>
      <w:r>
        <w:t xml:space="preserve"/>
      </w:r>
    </w:p>
    <w:p>
      <w:pPr>
        <w:spacing w:before="80" w:after="80"/>
        <w:jc w:val="both"/>
      </w:pPr>
      <w:r>
        <w:rPr>
          <w:rFonts w:ascii="Arial" w:cs="Arial" w:eastAsia="Arial" w:hAnsi="Arial"/>
          <w:color w:val="1A1A1A"/>
          <w:sz w:val="22"/>
          <w:szCs w:val="22"/>
        </w:rPr>
        <w:t xml:space="preserve">The specific objectives of this analysis were:</w:t>
      </w:r>
    </w:p>
    <w:p>
      <w:pPr>
        <w:pStyle w:val="ListParagraph"/>
        <w:numPr>
          <w:ilvl w:val="0"/>
          <w:numId w:val="2"/>
        </w:numPr>
        <w:spacing w:before="40" w:after="40"/>
      </w:pPr>
      <w:r>
        <w:rPr>
          <w:rFonts w:ascii="Arial" w:cs="Arial" w:eastAsia="Arial" w:hAnsi="Arial"/>
          <w:color w:val="1A1A1A"/>
          <w:sz w:val="22"/>
          <w:szCs w:val="22"/>
        </w:rPr>
        <w:t xml:space="preserve">Understand the structure of the retail sales time series through visualization and decomposition</w:t>
      </w:r>
    </w:p>
    <w:p>
      <w:pPr>
        <w:pStyle w:val="ListParagraph"/>
        <w:numPr>
          <w:ilvl w:val="0"/>
          <w:numId w:val="2"/>
        </w:numPr>
        <w:spacing w:before="40" w:after="40"/>
      </w:pPr>
      <w:r>
        <w:rPr>
          <w:rFonts w:ascii="Arial" w:cs="Arial" w:eastAsia="Arial" w:hAnsi="Arial"/>
          <w:color w:val="1A1A1A"/>
          <w:sz w:val="22"/>
          <w:szCs w:val="22"/>
        </w:rPr>
        <w:t xml:space="preserve">Confirm stationarity (or lack thereof) using the Augmented Dickey-Fuller test</w:t>
      </w:r>
    </w:p>
    <w:p>
      <w:pPr>
        <w:pStyle w:val="ListParagraph"/>
        <w:numPr>
          <w:ilvl w:val="0"/>
          <w:numId w:val="2"/>
        </w:numPr>
        <w:spacing w:before="40" w:after="40"/>
      </w:pPr>
      <w:r>
        <w:rPr>
          <w:rFonts w:ascii="Arial" w:cs="Arial" w:eastAsia="Arial" w:hAnsi="Arial"/>
          <w:color w:val="1A1A1A"/>
          <w:sz w:val="22"/>
          <w:szCs w:val="22"/>
        </w:rPr>
        <w:t xml:space="preserve">Examine autocorrelation patterns to inform model parameter selection</w:t>
      </w:r>
    </w:p>
    <w:p>
      <w:pPr>
        <w:pStyle w:val="ListParagraph"/>
        <w:numPr>
          <w:ilvl w:val="0"/>
          <w:numId w:val="2"/>
        </w:numPr>
        <w:spacing w:before="40" w:after="40"/>
      </w:pPr>
      <w:r>
        <w:rPr>
          <w:rFonts w:ascii="Arial" w:cs="Arial" w:eastAsia="Arial" w:hAnsi="Arial"/>
          <w:color w:val="1A1A1A"/>
          <w:sz w:val="22"/>
          <w:szCs w:val="22"/>
        </w:rPr>
        <w:t xml:space="preserve">Fit and evaluate a SARIMA model using an 80/20 train-test split</w:t>
      </w:r>
    </w:p>
    <w:p>
      <w:pPr>
        <w:pStyle w:val="ListParagraph"/>
        <w:numPr>
          <w:ilvl w:val="0"/>
          <w:numId w:val="2"/>
        </w:numPr>
        <w:spacing w:before="40" w:after="40"/>
      </w:pPr>
      <w:r>
        <w:rPr>
          <w:rFonts w:ascii="Arial" w:cs="Arial" w:eastAsia="Arial" w:hAnsi="Arial"/>
          <w:color w:val="1A1A1A"/>
          <w:sz w:val="22"/>
          <w:szCs w:val="22"/>
        </w:rPr>
        <w:t xml:space="preserve">Generate a forward-looking 6-month sales forecast with confidence intervals</w:t>
      </w:r>
    </w:p>
    <w:p>
      <w:pPr>
        <w:spacing w:before="80" w:after="80"/>
      </w:pPr>
      <w:r>
        <w:t xml:space="preserve"/>
      </w:r>
    </w:p>
    <w:p>
      <w:pPr>
        <w:pBdr>
          <w:bottom w:val="single" w:color="2E75B6" w:sz="8" w:space="1"/>
        </w:pBdr>
        <w:spacing w:before="360" w:after="160"/>
      </w:pPr>
      <w:r>
        <w:rPr>
          <w:rFonts w:ascii="Arial" w:cs="Arial" w:eastAsia="Arial" w:hAnsi="Arial"/>
          <w:b/>
          <w:bCs/>
          <w:color w:val="1F4E79"/>
          <w:sz w:val="36"/>
          <w:szCs w:val="36"/>
        </w:rPr>
        <w:t xml:space="preserve">3. Dataset Description</w:t>
      </w:r>
    </w:p>
    <w:p>
      <w:pPr>
        <w:spacing w:before="80" w:after="80"/>
        <w:jc w:val="both"/>
      </w:pPr>
      <w:r>
        <w:rPr>
          <w:rFonts w:ascii="Arial" w:cs="Arial" w:eastAsia="Arial" w:hAnsi="Arial"/>
          <w:color w:val="1A1A1A"/>
          <w:sz w:val="22"/>
          <w:szCs w:val="22"/>
        </w:rPr>
        <w:t xml:space="preserve">Since the goal here was to practice the modeling pipeline rather than work with real proprietary data, the dataset was synthetically generated using NumPy and Pandas. The simulation was deliberately designed to mirror the characteristics commonly found in real retail time series — a mild growth trend, predictable seasonal patterns, and event-driven spikes.</w:t>
      </w:r>
    </w:p>
    <w:p>
      <w:pPr>
        <w:spacing w:before="80" w:after="80"/>
      </w:pPr>
      <w:r>
        <w:t xml:space="preserve"/>
      </w:r>
    </w:p>
    <w:p>
      <w:pPr>
        <w:spacing w:before="200" w:after="80"/>
      </w:pPr>
      <w:r>
        <w:rPr>
          <w:rFonts w:ascii="Arial" w:cs="Arial" w:eastAsia="Arial" w:hAnsi="Arial"/>
          <w:b/>
          <w:bCs/>
          <w:color w:val="1F4E79"/>
          <w:sz w:val="24"/>
          <w:szCs w:val="24"/>
        </w:rPr>
        <w:t xml:space="preserve">3.1 Dataset Construction</w:t>
      </w:r>
    </w:p>
    <w:p>
      <w:pPr>
        <w:spacing w:before="80" w:after="80"/>
        <w:jc w:val="both"/>
      </w:pPr>
      <w:r>
        <w:rPr>
          <w:rFonts w:ascii="Arial" w:cs="Arial" w:eastAsia="Arial" w:hAnsi="Arial"/>
          <w:color w:val="1A1A1A"/>
          <w:sz w:val="22"/>
          <w:szCs w:val="22"/>
        </w:rPr>
        <w:t xml:space="preserve">The dataset covers 48 monthly observations (January 2020 to December 2023) and includes the following components:</w:t>
      </w:r>
    </w:p>
    <w:p>
      <w:pPr>
        <w:spacing w:before="80"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0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Base Trend</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Linear upward trend in monthly sales</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Start: 10,000; +50 per month</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Seasonal Pattern</w:t>
            </w:r>
          </w:p>
        </w:tc>
        <w:tc>
          <w:tcPr>
            <w:tcW w:type="dxa" w:w="3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Sinusoidal pattern mimicking Q4 peaks and Q1 troughs</w:t>
            </w:r>
          </w:p>
        </w:tc>
        <w:tc>
          <w:tcPr>
            <w:tcW w:type="dxa" w:w="3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Amplitude: 2,000 (annual) + 1,500 (semi-annual)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Random Noise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Gaussian noise to simulate natural variability</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Mean: 0, Std Dev: 500</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Promotional Effect</w:t>
            </w:r>
          </w:p>
        </w:tc>
        <w:tc>
          <w:tcPr>
            <w:tcW w:type="dxa" w:w="3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20% of months randomly flagged as promotional</w:t>
            </w:r>
          </w:p>
        </w:tc>
        <w:tc>
          <w:tcPr>
            <w:tcW w:type="dxa" w:w="3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Sales multiplied by 1.1–1.3x</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Holiday Effect</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December flagged as holiday month each year</w:t>
            </w:r>
          </w:p>
        </w:tc>
        <w:tc>
          <w:tcPr>
            <w:tcW w:type="dxa" w:w="3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Sales multiplied by 1.15–1.4x</w:t>
            </w:r>
          </w:p>
        </w:tc>
      </w:tr>
    </w:tbl>
    <w:p>
      <w:pPr>
        <w:spacing w:before="80" w:after="80"/>
      </w:pPr>
      <w:r>
        <w:t xml:space="preserve"/>
      </w:r>
    </w:p>
    <w:p>
      <w:pPr>
        <w:spacing w:before="80" w:after="80"/>
        <w:jc w:val="both"/>
      </w:pPr>
      <w:r>
        <w:rPr>
          <w:rFonts w:ascii="Arial" w:cs="Arial" w:eastAsia="Arial" w:hAnsi="Arial"/>
          <w:color w:val="1A1A1A"/>
          <w:sz w:val="22"/>
          <w:szCs w:val="22"/>
        </w:rPr>
        <w:t xml:space="preserve">The dataset contains three columns: SalesAmount (the target variable), Promotion (binary flag), and HolidayMonth (binary flag). There were no missing values across any of the 48 observations, making preprocessing straightforward.</w:t>
      </w:r>
    </w:p>
    <w:p>
      <w:pPr>
        <w:spacing w:before="80" w:after="80"/>
      </w:pPr>
      <w:r>
        <w:t xml:space="preserve"/>
      </w:r>
    </w:p>
    <w:p>
      <w:pPr>
        <w:pBdr>
          <w:bottom w:val="single" w:color="2E75B6" w:sz="8" w:space="1"/>
        </w:pBdr>
        <w:spacing w:before="360" w:after="160"/>
      </w:pPr>
      <w:r>
        <w:rPr>
          <w:rFonts w:ascii="Arial" w:cs="Arial" w:eastAsia="Arial" w:hAnsi="Arial"/>
          <w:b/>
          <w:bCs/>
          <w:color w:val="1F4E79"/>
          <w:sz w:val="36"/>
          <w:szCs w:val="36"/>
        </w:rPr>
        <w:t xml:space="preserve">4. Exploratory Data Analysis</w:t>
      </w:r>
    </w:p>
    <w:p>
      <w:pPr>
        <w:spacing w:before="200" w:after="80"/>
      </w:pPr>
      <w:r>
        <w:rPr>
          <w:rFonts w:ascii="Arial" w:cs="Arial" w:eastAsia="Arial" w:hAnsi="Arial"/>
          <w:b/>
          <w:bCs/>
          <w:color w:val="1F4E79"/>
          <w:sz w:val="24"/>
          <w:szCs w:val="24"/>
        </w:rPr>
        <w:t xml:space="preserve">4.1 Visual Inspection of the Time Series</w:t>
      </w:r>
    </w:p>
    <w:p>
      <w:pPr>
        <w:spacing w:before="80" w:after="80"/>
        <w:jc w:val="both"/>
      </w:pPr>
      <w:r>
        <w:rPr>
          <w:rFonts w:ascii="Arial" w:cs="Arial" w:eastAsia="Arial" w:hAnsi="Arial"/>
          <w:color w:val="1A1A1A"/>
          <w:sz w:val="22"/>
          <w:szCs w:val="22"/>
        </w:rPr>
        <w:t xml:space="preserve">The first step was simply plotting the sales series over time. The line chart of monthly SalesAmount from January 2020 to December 2023 immediately revealed a few things. First, there is a discernible upward drift across the four years, which is consistent with the base trend of 50 units per month built into the data. Second, there is a repeating wave-like pattern that suggests a seasonal cycle — peaks tend to appear toward the end of each year and troughs in the middle. Third, there are occasional sharp spikes that sit well above the surrounding values; these correspond to months where either a promotion or holiday effect was active.</w:t>
      </w:r>
    </w:p>
    <w:p>
      <w:pPr>
        <w:spacing w:before="80" w:after="80"/>
      </w:pPr>
      <w:r>
        <w:t xml:space="preserve"/>
      </w:r>
    </w:p>
    <w:p>
      <w:pPr>
        <w:spacing w:before="200" w:after="80"/>
      </w:pPr>
      <w:r>
        <w:rPr>
          <w:rFonts w:ascii="Arial" w:cs="Arial" w:eastAsia="Arial" w:hAnsi="Arial"/>
          <w:b/>
          <w:bCs/>
          <w:color w:val="1F4E79"/>
          <w:sz w:val="24"/>
          <w:szCs w:val="24"/>
        </w:rPr>
        <w:t xml:space="preserve">4.2 Seasonal Decomposition</w:t>
      </w:r>
    </w:p>
    <w:p>
      <w:pPr>
        <w:spacing w:before="80" w:after="80"/>
        <w:jc w:val="both"/>
      </w:pPr>
      <w:r>
        <w:rPr>
          <w:rFonts w:ascii="Arial" w:cs="Arial" w:eastAsia="Arial" w:hAnsi="Arial"/>
          <w:color w:val="1A1A1A"/>
          <w:sz w:val="22"/>
          <w:szCs w:val="22"/>
        </w:rPr>
        <w:t xml:space="preserve">To separate these components formally, an additive seasonal decomposition was applied using statsmodels' seasonal_decompose function with a period of 12 months. The decomposition plot broke the series into four panels: the original series, the extracted trend, the seasonal component, and the residuals.</w:t>
      </w:r>
    </w:p>
    <w:p>
      <w:pPr>
        <w:spacing w:before="80" w:after="80"/>
      </w:pPr>
      <w:r>
        <w:t xml:space="preserve"/>
      </w:r>
    </w:p>
    <w:p>
      <w:pPr>
        <w:spacing w:before="80" w:after="80"/>
        <w:jc w:val="both"/>
      </w:pPr>
      <w:r>
        <w:rPr>
          <w:rFonts w:ascii="Arial" w:cs="Arial" w:eastAsia="Arial" w:hAnsi="Arial"/>
          <w:color w:val="1A1A1A"/>
          <w:sz w:val="22"/>
          <w:szCs w:val="22"/>
        </w:rPr>
        <w:t xml:space="preserve">The trend component confirmed the steady upward movement from roughly 10,500 at the start of 2020 to around 12,500 by late 2023. The seasonal component showed a consistent pattern repeating each year, with amplitudes ranging from approximately -2,500 to +2,500 around the trend. The residuals appeared mostly random and centered around zero, with a few larger outliers likely corresponding to the promotional months that were not captured by the smooth seasonal component.</w:t>
      </w:r>
    </w:p>
    <w:p>
      <w:pPr>
        <w:spacing w:before="80" w:after="80"/>
      </w:pPr>
      <w:r>
        <w:t xml:space="preserve"/>
      </w:r>
    </w:p>
    <w:p>
      <w:pPr>
        <w:spacing w:before="200" w:after="80"/>
      </w:pPr>
      <w:r>
        <w:rPr>
          <w:rFonts w:ascii="Arial" w:cs="Arial" w:eastAsia="Arial" w:hAnsi="Arial"/>
          <w:b/>
          <w:bCs/>
          <w:color w:val="1F4E79"/>
          <w:sz w:val="24"/>
          <w:szCs w:val="24"/>
        </w:rPr>
        <w:t xml:space="preserve">4.3 Stationarity Testing — Augmented Dickey-Fuller Test</w:t>
      </w:r>
    </w:p>
    <w:p>
      <w:pPr>
        <w:spacing w:before="80" w:after="80"/>
        <w:jc w:val="both"/>
      </w:pPr>
      <w:r>
        <w:rPr>
          <w:rFonts w:ascii="Arial" w:cs="Arial" w:eastAsia="Arial" w:hAnsi="Arial"/>
          <w:color w:val="1A1A1A"/>
          <w:sz w:val="22"/>
          <w:szCs w:val="22"/>
        </w:rPr>
        <w:t xml:space="preserve">For ARIMA-family models to work correctly, the series should ideally be stationary. The Augmented Dickey-Fuller (ADF) test was run directly on the SalesAmount column.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Statistic</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−4.5142</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0.000185</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Reject null hypothesis — series is stationary</w:t>
            </w:r>
          </w:p>
        </w:tc>
      </w:tr>
    </w:tbl>
    <w:p>
      <w:pPr>
        <w:spacing w:before="80" w:after="80"/>
      </w:pPr>
      <w:r>
        <w:t xml:space="preserve"/>
      </w:r>
    </w:p>
    <w:p>
      <w:pPr>
        <w:spacing w:before="80" w:after="80"/>
        <w:jc w:val="both"/>
      </w:pPr>
      <w:r>
        <w:rPr>
          <w:rFonts w:ascii="Arial" w:cs="Arial" w:eastAsia="Arial" w:hAnsi="Arial"/>
          <w:color w:val="1A1A1A"/>
          <w:sz w:val="22"/>
          <w:szCs w:val="22"/>
        </w:rPr>
        <w:t xml:space="preserve">With a test statistic of -4.514 and a p-value of 0.000185, the null hypothesis of a unit root was firmly rejected. The series is stationary despite the visual trend, which suggests the trend component is relatively mild and the dominant variation is seasonal and stochastic rather than a persistent integrated process. This finding was factored into model specification — no differencing at the non-seasonal level was required (d = 0).</w:t>
      </w:r>
    </w:p>
    <w:p>
      <w:pPr>
        <w:spacing w:before="80" w:after="80"/>
      </w:pPr>
      <w:r>
        <w:t xml:space="preserve"/>
      </w:r>
    </w:p>
    <w:p>
      <w:pPr>
        <w:spacing w:before="200" w:after="80"/>
      </w:pPr>
      <w:r>
        <w:rPr>
          <w:rFonts w:ascii="Arial" w:cs="Arial" w:eastAsia="Arial" w:hAnsi="Arial"/>
          <w:b/>
          <w:bCs/>
          <w:color w:val="1F4E79"/>
          <w:sz w:val="24"/>
          <w:szCs w:val="24"/>
        </w:rPr>
        <w:t xml:space="preserve">4.4 ACF and PACF Analysis</w:t>
      </w:r>
    </w:p>
    <w:p>
      <w:pPr>
        <w:spacing w:before="80" w:after="80"/>
        <w:jc w:val="both"/>
      </w:pPr>
      <w:r>
        <w:rPr>
          <w:rFonts w:ascii="Arial" w:cs="Arial" w:eastAsia="Arial" w:hAnsi="Arial"/>
          <w:color w:val="1A1A1A"/>
          <w:sz w:val="22"/>
          <w:szCs w:val="22"/>
        </w:rPr>
        <w:t xml:space="preserve">The Autocorrelation Function (ACF) and Partial Autocorrelation Function (PACF) plots were examined to understand the lagged structure of the series and guide the choice of AR and MA orders.</w:t>
      </w:r>
    </w:p>
    <w:p>
      <w:pPr>
        <w:spacing w:before="80" w:after="80"/>
      </w:pPr>
      <w:r>
        <w:t xml:space="preserve"/>
      </w:r>
    </w:p>
    <w:p>
      <w:pPr>
        <w:spacing w:before="80" w:after="80"/>
        <w:jc w:val="both"/>
      </w:pPr>
      <w:r>
        <w:rPr>
          <w:rFonts w:ascii="Arial" w:cs="Arial" w:eastAsia="Arial" w:hAnsi="Arial"/>
          <w:color w:val="1A1A1A"/>
          <w:sz w:val="22"/>
          <w:szCs w:val="22"/>
        </w:rPr>
        <w:t xml:space="preserve">The ACF plot showed significant spikes at lags 1, 2, and around lag 12, which is a strong indicator of seasonal autocorrelation at a 12-month period. The PACF plot showed a sharp spike at lag 1 and then a cut-off, consistent with an AR(1) process at the non-seasonal level. The spike near lag 12 in both plots reinforced the need for seasonal AR and MA terms in the model.</w:t>
      </w:r>
    </w:p>
    <w:p>
      <w:pPr>
        <w:spacing w:before="80" w:after="80"/>
      </w:pPr>
      <w:r>
        <w:t xml:space="preserve"/>
      </w:r>
    </w:p>
    <w:p>
      <w:pPr>
        <w:pBdr>
          <w:bottom w:val="single" w:color="2E75B6" w:sz="8" w:space="1"/>
        </w:pBdr>
        <w:spacing w:before="360" w:after="160"/>
      </w:pPr>
      <w:r>
        <w:rPr>
          <w:rFonts w:ascii="Arial" w:cs="Arial" w:eastAsia="Arial" w:hAnsi="Arial"/>
          <w:b/>
          <w:bCs/>
          <w:color w:val="1F4E79"/>
          <w:sz w:val="36"/>
          <w:szCs w:val="36"/>
        </w:rPr>
        <w:t xml:space="preserve">5. Model Selection &amp; Specification</w:t>
      </w:r>
    </w:p>
    <w:p>
      <w:pPr>
        <w:spacing w:before="200" w:after="80"/>
      </w:pPr>
      <w:r>
        <w:rPr>
          <w:rFonts w:ascii="Arial" w:cs="Arial" w:eastAsia="Arial" w:hAnsi="Arial"/>
          <w:b/>
          <w:bCs/>
          <w:color w:val="1F4E79"/>
          <w:sz w:val="24"/>
          <w:szCs w:val="24"/>
        </w:rPr>
        <w:t xml:space="preserve">5.1 Why SARIMA?</w:t>
      </w:r>
    </w:p>
    <w:p>
      <w:pPr>
        <w:spacing w:before="80" w:after="80"/>
        <w:jc w:val="both"/>
      </w:pPr>
      <w:r>
        <w:rPr>
          <w:rFonts w:ascii="Arial" w:cs="Arial" w:eastAsia="Arial" w:hAnsi="Arial"/>
          <w:color w:val="1A1A1A"/>
          <w:sz w:val="22"/>
          <w:szCs w:val="22"/>
        </w:rPr>
        <w:t xml:space="preserve">Given the clear seasonal structure (period = 12 months), the confirmed stationarity, and the monthly frequency of the data, the Seasonal ARIMA (SARIMA) model was the natural choice. SARIMA extends the standard ARIMA framework by including seasonal autoregressive and moving average terms, making it well-suited to this kind of data.</w:t>
      </w:r>
    </w:p>
    <w:p>
      <w:pPr>
        <w:spacing w:before="80" w:after="80"/>
      </w:pPr>
      <w:r>
        <w:t xml:space="preserve"/>
      </w:r>
    </w:p>
    <w:p>
      <w:pPr>
        <w:spacing w:before="200" w:after="80"/>
      </w:pPr>
      <w:r>
        <w:rPr>
          <w:rFonts w:ascii="Arial" w:cs="Arial" w:eastAsia="Arial" w:hAnsi="Arial"/>
          <w:b/>
          <w:bCs/>
          <w:color w:val="1F4E79"/>
          <w:sz w:val="24"/>
          <w:szCs w:val="24"/>
        </w:rPr>
        <w:t xml:space="preserve">5.2 Model Parameters</w:t>
      </w:r>
    </w:p>
    <w:p>
      <w:pPr>
        <w:spacing w:before="80" w:after="80"/>
        <w:jc w:val="both"/>
      </w:pPr>
      <w:r>
        <w:rPr>
          <w:rFonts w:ascii="Arial" w:cs="Arial" w:eastAsia="Arial" w:hAnsi="Arial"/>
          <w:color w:val="1A1A1A"/>
          <w:sz w:val="22"/>
          <w:szCs w:val="22"/>
        </w:rPr>
        <w:t xml:space="preserve">Based on the ADF result and the ACF/PACF analysis, the following parameter configuration was selected: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p (AR order)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Single significant spike in PACF at lag 1</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d (differencing)</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0</w:t>
            </w:r>
          </w:p>
        </w:tc>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Series confirmed stationary by ADF test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q (MA order)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Residual autocorrelation at lag 1 in ACF</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P (Seasonal AR)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Seasonal spike in PACF around lag 12</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D (Seasonal diff)</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One seasonal difference to remove annual trend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Q (Seasonal MA)</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w:t>
            </w:r>
          </w:p>
        </w:tc>
        <w:tc>
          <w:tcPr>
            <w:tcW w:type="dxa" w:w="5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Seasonal spike in ACF around lag 12</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 (Period)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12</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Monthly data with annual seasonality</w:t>
            </w:r>
          </w:p>
        </w:tc>
      </w:tr>
    </w:tbl>
    <w:p>
      <w:pPr>
        <w:spacing w:before="80" w:after="80"/>
      </w:pPr>
      <w:r>
        <w:t xml:space="preserve"/>
      </w:r>
    </w:p>
    <w:p>
      <w:pPr>
        <w:spacing w:before="80" w:after="80"/>
        <w:jc w:val="both"/>
      </w:pPr>
      <w:r>
        <w:rPr>
          <w:rFonts w:ascii="Arial" w:cs="Arial" w:eastAsia="Arial" w:hAnsi="Arial"/>
          <w:color w:val="1A1A1A"/>
          <w:sz w:val="22"/>
          <w:szCs w:val="22"/>
        </w:rPr>
        <w:t xml:space="preserve">The final model notation is SARIMA(1,0,1)(1,1,1)[12]. Both enforce_stationarity and enforce_invertibility were set to False to allow the optimizer more flexibility during fitting.</w:t>
      </w:r>
    </w:p>
    <w:p>
      <w:pPr>
        <w:spacing w:before="80" w:after="80"/>
      </w:pPr>
      <w:r>
        <w:t xml:space="preserve"/>
      </w:r>
    </w:p>
    <w:p>
      <w:pPr>
        <w:spacing w:before="200" w:after="80"/>
      </w:pPr>
      <w:r>
        <w:rPr>
          <w:rFonts w:ascii="Arial" w:cs="Arial" w:eastAsia="Arial" w:hAnsi="Arial"/>
          <w:b/>
          <w:bCs/>
          <w:color w:val="1F4E79"/>
          <w:sz w:val="24"/>
          <w:szCs w:val="24"/>
        </w:rPr>
        <w:t xml:space="preserve">5.3 Train-Test Split</w:t>
      </w:r>
    </w:p>
    <w:p>
      <w:pPr>
        <w:spacing w:before="80" w:after="80"/>
        <w:jc w:val="both"/>
      </w:pPr>
      <w:r>
        <w:rPr>
          <w:rFonts w:ascii="Arial" w:cs="Arial" w:eastAsia="Arial" w:hAnsi="Arial"/>
          <w:color w:val="1A1A1A"/>
          <w:sz w:val="22"/>
          <w:szCs w:val="22"/>
        </w:rPr>
        <w:t xml:space="preserve">The dataset was split into 80% training (38 months: January 2020 to February 2023) and 20% test (10 months: March 2023 to December 2023). The test set was kept out of all fitting steps and used only for evaluating the model's out-of-sample performance.</w:t>
      </w:r>
    </w:p>
    <w:p>
      <w:pPr>
        <w:spacing w:before="80" w:after="80"/>
      </w:pPr>
      <w:r>
        <w:t xml:space="preserve"/>
      </w:r>
    </w:p>
    <w:p>
      <w:pPr>
        <w:pBdr>
          <w:bottom w:val="single" w:color="2E75B6" w:sz="8" w:space="1"/>
        </w:pBdr>
        <w:spacing w:before="360" w:after="160"/>
      </w:pPr>
      <w:r>
        <w:rPr>
          <w:rFonts w:ascii="Arial" w:cs="Arial" w:eastAsia="Arial" w:hAnsi="Arial"/>
          <w:b/>
          <w:bCs/>
          <w:color w:val="1F4E79"/>
          <w:sz w:val="36"/>
          <w:szCs w:val="36"/>
        </w:rPr>
        <w:t xml:space="preserve">6. Model Results &amp; Diagnostics</w:t>
      </w:r>
    </w:p>
    <w:p>
      <w:pPr>
        <w:spacing w:before="200" w:after="80"/>
      </w:pPr>
      <w:r>
        <w:rPr>
          <w:rFonts w:ascii="Arial" w:cs="Arial" w:eastAsia="Arial" w:hAnsi="Arial"/>
          <w:b/>
          <w:bCs/>
          <w:color w:val="1F4E79"/>
          <w:sz w:val="24"/>
          <w:szCs w:val="24"/>
        </w:rPr>
        <w:t xml:space="preserve">6.1 SARIMA Coefficients</w:t>
      </w:r>
    </w:p>
    <w:p>
      <w:pPr>
        <w:spacing w:before="80" w:after="80"/>
        <w:jc w:val="both"/>
      </w:pPr>
      <w:r>
        <w:rPr>
          <w:rFonts w:ascii="Arial" w:cs="Arial" w:eastAsia="Arial" w:hAnsi="Arial"/>
          <w:color w:val="1A1A1A"/>
          <w:sz w:val="22"/>
          <w:szCs w:val="22"/>
        </w:rPr>
        <w:t xml:space="preserve">The fitted SARIMA model produced the following coefficient estimates:</w:t>
      </w:r>
    </w:p>
    <w:p>
      <w:pPr>
        <w:spacing w:before="80" w:after="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0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Coefficient</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Std Error</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z-stat</w:t>
            </w:r>
          </w:p>
        </w:tc>
        <w:tc>
          <w:tcPr>
            <w:tcW w:type="dxa" w:w="2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p-value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ar.L1</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−0.0252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0.612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−0.041</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0.967</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ma.L1</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0.4271</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0.462</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0.924</w:t>
            </w:r>
          </w:p>
        </w:tc>
        <w:tc>
          <w:tcPr>
            <w:tcW w:type="dxa" w:w="2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0.355</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ar.S.L12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−0.6888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0.156</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−4.412</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0.000 ***</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ma.S.L12</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1.2100</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1.340</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0.903</w:t>
            </w:r>
          </w:p>
        </w:tc>
        <w:tc>
          <w:tcPr>
            <w:tcW w:type="dxa" w:w="20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0.367</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sigma²</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4.571e+05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8.31e+05</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0.550</w:t>
            </w:r>
          </w:p>
        </w:tc>
        <w:tc>
          <w:tcPr>
            <w:tcW w:type="dxa" w:w="2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0.582</w:t>
            </w:r>
          </w:p>
        </w:tc>
      </w:tr>
    </w:tbl>
    <w:p>
      <w:pPr>
        <w:spacing w:before="80" w:after="80"/>
      </w:pPr>
      <w:r>
        <w:t xml:space="preserve"/>
      </w:r>
    </w:p>
    <w:p>
      <w:pPr>
        <w:spacing w:before="80" w:after="80"/>
        <w:jc w:val="both"/>
      </w:pPr>
      <w:r>
        <w:rPr>
          <w:rFonts w:ascii="Arial" w:cs="Arial" w:eastAsia="Arial" w:hAnsi="Arial"/>
          <w:color w:val="1A1A1A"/>
          <w:sz w:val="22"/>
          <w:szCs w:val="22"/>
        </w:rPr>
        <w:t xml:space="preserve">The seasonal AR term (ar.S.L12) is the only parameter that is statistically significant at the 1% level (p &lt; 0.001), with a coefficient of -0.689. This negative seasonal AR coefficient is consistent with the oscillating seasonal pattern observed in the data — high sales in one December are partly followed by a correction in the next. The non-seasonal AR and MA terms are not significant, which suggests that the short-term dynamics of this series are largely captured by the seasonal component and the noise.</w:t>
      </w:r>
    </w:p>
    <w:p>
      <w:pPr>
        <w:spacing w:before="80" w:after="80"/>
      </w:pPr>
      <w:r>
        <w:t xml:space="preserve"/>
      </w:r>
    </w:p>
    <w:p>
      <w:pPr>
        <w:spacing w:before="200" w:after="80"/>
      </w:pPr>
      <w:r>
        <w:rPr>
          <w:rFonts w:ascii="Arial" w:cs="Arial" w:eastAsia="Arial" w:hAnsi="Arial"/>
          <w:b/>
          <w:bCs/>
          <w:color w:val="1F4E79"/>
          <w:sz w:val="24"/>
          <w:szCs w:val="24"/>
        </w:rPr>
        <w:t xml:space="preserve">6.2 Model Fit Diagnostics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Diagnostic</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Log Likelihood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−97.449</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Used for AIC/BIC comparison</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AIC</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204.898</w:t>
            </w:r>
          </w:p>
        </w:tc>
        <w:tc>
          <w:tcPr>
            <w:tcW w:type="dxa" w:w="4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Lower is better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BIC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207.323</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Lower is better</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Ljung-Box Q (p)</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0.50</w:t>
            </w:r>
          </w:p>
        </w:tc>
        <w:tc>
          <w:tcPr>
            <w:tcW w:type="dxa" w:w="4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No significant residual autocorrelation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Jarque-Bera (p)</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0.52</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Residuals are approximately normal</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Heteroskedasticity (p)</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0.45</w:t>
            </w:r>
          </w:p>
        </w:tc>
        <w:tc>
          <w:tcPr>
            <w:tcW w:type="dxa" w:w="4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No significant variance instability</w:t>
            </w:r>
          </w:p>
        </w:tc>
      </w:tr>
    </w:tbl>
    <w:p>
      <w:pPr>
        <w:spacing w:before="80" w:after="80"/>
      </w:pPr>
      <w:r>
        <w:t xml:space="preserve"/>
      </w:r>
    </w:p>
    <w:p>
      <w:pPr>
        <w:spacing w:before="80" w:after="80"/>
        <w:jc w:val="both"/>
      </w:pPr>
      <w:r>
        <w:rPr>
          <w:rFonts w:ascii="Arial" w:cs="Arial" w:eastAsia="Arial" w:hAnsi="Arial"/>
          <w:color w:val="1A1A1A"/>
          <w:sz w:val="22"/>
          <w:szCs w:val="22"/>
        </w:rPr>
        <w:t xml:space="preserve">The diagnostic statistics are generally reassuring. The Ljung-Box test for residual autocorrelation has a p-value of 0.50, meaning we cannot reject the null hypothesis that the residuals are white noise — a desirable outcome. The Jarque-Bera test p-value of 0.52 indicates that the residuals are reasonably normally distributed. The heteroskedasticity test also shows no significant issue.</w:t>
      </w:r>
    </w:p>
    <w:p>
      <w:pPr>
        <w:spacing w:before="80" w:after="80"/>
      </w:pPr>
      <w:r>
        <w:t xml:space="preserve"/>
      </w:r>
    </w:p>
    <w:p>
      <w:pPr>
        <w:spacing w:before="80" w:after="80"/>
        <w:jc w:val="both"/>
      </w:pPr>
      <w:r>
        <w:rPr>
          <w:rFonts w:ascii="Arial" w:cs="Arial" w:eastAsia="Arial" w:hAnsi="Arial"/>
          <w:color w:val="1A1A1A"/>
          <w:sz w:val="22"/>
          <w:szCs w:val="22"/>
        </w:rPr>
        <w:t xml:space="preserve">One warning worth noting: statsmodels flagged a convergence warning during Maximum Likelihood Estimation. This is likely a consequence of the small training sample (38 observations) relative to the complexity of the seasonal model, which left too few observations for reliable estimation of starting parameters for the seasonal ARMA component. In a production setting, a longer historical series would be preferable.</w:t>
      </w:r>
    </w:p>
    <w:p>
      <w:pPr>
        <w:spacing w:before="80" w:after="80"/>
      </w:pPr>
      <w:r>
        <w:t xml:space="preserve"/>
      </w:r>
    </w:p>
    <w:p>
      <w:pPr>
        <w:pBdr>
          <w:bottom w:val="single" w:color="2E75B6" w:sz="8" w:space="1"/>
        </w:pBdr>
        <w:spacing w:before="360" w:after="160"/>
      </w:pPr>
      <w:r>
        <w:rPr>
          <w:rFonts w:ascii="Arial" w:cs="Arial" w:eastAsia="Arial" w:hAnsi="Arial"/>
          <w:b/>
          <w:bCs/>
          <w:color w:val="1F4E79"/>
          <w:sz w:val="36"/>
          <w:szCs w:val="36"/>
        </w:rPr>
        <w:t xml:space="preserve">7. Forecast Performance on Test Set</w:t>
      </w:r>
    </w:p>
    <w:p>
      <w:pPr>
        <w:spacing w:before="80" w:after="80"/>
        <w:jc w:val="both"/>
      </w:pPr>
      <w:r>
        <w:rPr>
          <w:rFonts w:ascii="Arial" w:cs="Arial" w:eastAsia="Arial" w:hAnsi="Arial"/>
          <w:color w:val="1A1A1A"/>
          <w:sz w:val="22"/>
          <w:szCs w:val="22"/>
        </w:rPr>
        <w:t xml:space="preserve">After fitting on the training data, the model was used to forecast the 10-month test period (March to December 2023). The forecast values were then compared against the actual test observations.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Means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MAE (Mean Absolute Error)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1,319.75</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On average, forecasts were off by ~1,320 units per month</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RMSE (Root Mean Squared Error)</w:t>
            </w:r>
          </w:p>
        </w:tc>
        <w:tc>
          <w:tcPr>
            <w:tcW w:type="dxa" w:w="1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1,814.58</w:t>
            </w:r>
          </w:p>
        </w:tc>
        <w:tc>
          <w:tcPr>
            <w:tcW w:type="dxa" w:w="4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Penalises larger errors more heavily; ~1,815 units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MAPE (Mean Absolute % Error)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10.39%</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Forecasts deviate by ~10.4% from actuals on average</w:t>
            </w:r>
          </w:p>
        </w:tc>
      </w:tr>
    </w:tbl>
    <w:p>
      <w:pPr>
        <w:spacing w:before="80" w:after="80"/>
      </w:pPr>
      <w:r>
        <w:t xml:space="preserve"/>
      </w:r>
    </w:p>
    <w:p>
      <w:pPr>
        <w:spacing w:before="80" w:after="80"/>
        <w:jc w:val="both"/>
      </w:pPr>
      <w:r>
        <w:rPr>
          <w:rFonts w:ascii="Arial" w:cs="Arial" w:eastAsia="Arial" w:hAnsi="Arial"/>
          <w:color w:val="1A1A1A"/>
          <w:sz w:val="22"/>
          <w:szCs w:val="22"/>
        </w:rPr>
        <w:t xml:space="preserve">A MAPE of 10.39% is generally considered acceptable for monthly retail forecasting, particularly given that the data contains randomized promotional spikes that are by design unpredictable from the sales history alone. The MAE of ~1,320 units on a typical sales range of roughly 8,000–17,000 units implies a relative error in the 8–16% range depending on the magnitude of the month being forecast.</w:t>
      </w:r>
    </w:p>
    <w:p>
      <w:pPr>
        <w:spacing w:before="80" w:after="80"/>
      </w:pPr>
      <w:r>
        <w:t xml:space="preserve"/>
      </w:r>
    </w:p>
    <w:p>
      <w:pPr>
        <w:spacing w:before="80" w:after="80"/>
        <w:jc w:val="both"/>
      </w:pPr>
      <w:r>
        <w:rPr>
          <w:rFonts w:ascii="Arial" w:cs="Arial" w:eastAsia="Arial" w:hAnsi="Arial"/>
          <w:color w:val="1A1A1A"/>
          <w:sz w:val="22"/>
          <w:szCs w:val="22"/>
        </w:rPr>
        <w:t xml:space="preserve">The forecast vs. actual chart showed that the model captured the general directional movement of sales across the test period reasonably well, though it underestimated the sharp December 2023 spike — which was amplified by both a promotion and holiday multiplier in the simulated data and was therefore difficult to predict from historical patterns alone.</w:t>
      </w:r>
    </w:p>
    <w:p>
      <w:pPr>
        <w:spacing w:before="80" w:after="80"/>
      </w:pPr>
      <w:r>
        <w:t xml:space="preserve"/>
      </w:r>
    </w:p>
    <w:p>
      <w:pPr>
        <w:pBdr>
          <w:bottom w:val="single" w:color="2E75B6" w:sz="8" w:space="1"/>
        </w:pBdr>
        <w:spacing w:before="360" w:after="160"/>
      </w:pPr>
      <w:r>
        <w:rPr>
          <w:rFonts w:ascii="Arial" w:cs="Arial" w:eastAsia="Arial" w:hAnsi="Arial"/>
          <w:b/>
          <w:bCs/>
          <w:color w:val="1F4E79"/>
          <w:sz w:val="36"/>
          <w:szCs w:val="36"/>
        </w:rPr>
        <w:t xml:space="preserve">8. Six-Month Sales Forecast (Jan–Jun 2024)</w:t>
      </w:r>
    </w:p>
    <w:p>
      <w:pPr>
        <w:spacing w:before="80" w:after="80"/>
        <w:jc w:val="both"/>
      </w:pPr>
      <w:r>
        <w:rPr>
          <w:rFonts w:ascii="Arial" w:cs="Arial" w:eastAsia="Arial" w:hAnsi="Arial"/>
          <w:color w:val="1A1A1A"/>
          <w:sz w:val="22"/>
          <w:szCs w:val="22"/>
        </w:rPr>
        <w:t xml:space="preserve">The final SARIMA model was re-fitted on the complete 48-month dataset before generating the 6-month forward forecast. This ensures the model learns from all available historical information, including the patterns in the test period.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Forecasted Sales</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Lower Bound (95%)</w:t>
            </w:r>
          </w:p>
        </w:tc>
        <w:tc>
          <w:tcPr>
            <w:tcW w:type="dxa" w:w="2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Upper Bound (95%)</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January 2024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16,093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13,755</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18,430</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February 2024</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13,785</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11,286</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16,284</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March 2024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13,478</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10,964</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15,991</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April 2024</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11,875</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9,360</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14,390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May 2024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11,385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8,870</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color w:val="1A1A1A"/>
                <w:sz w:val="20"/>
                <w:szCs w:val="20"/>
              </w:rPr>
              <w:t xml:space="preserve">13,900</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June 2024</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8,810</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6,295</w:t>
            </w:r>
          </w:p>
        </w:tc>
        <w:tc>
          <w:tcPr>
            <w:tcW w:type="dxa" w:w="2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center"/>
            </w:pPr>
            <w:r>
              <w:rPr>
                <w:rFonts w:ascii="Arial" w:cs="Arial" w:eastAsia="Arial" w:hAnsi="Arial"/>
                <w:color w:val="1A1A1A"/>
                <w:sz w:val="20"/>
                <w:szCs w:val="20"/>
              </w:rPr>
              <w:t xml:space="preserve">11,325</w:t>
            </w:r>
          </w:p>
        </w:tc>
      </w:tr>
    </w:tbl>
    <w:p>
      <w:pPr>
        <w:spacing w:before="80" w:after="80"/>
      </w:pPr>
      <w:r>
        <w:t xml:space="preserve"/>
      </w:r>
    </w:p>
    <w:p>
      <w:pPr>
        <w:spacing w:before="200" w:after="80"/>
      </w:pPr>
      <w:r>
        <w:rPr>
          <w:rFonts w:ascii="Arial" w:cs="Arial" w:eastAsia="Arial" w:hAnsi="Arial"/>
          <w:b/>
          <w:bCs/>
          <w:color w:val="1F4E79"/>
          <w:sz w:val="24"/>
          <w:szCs w:val="24"/>
        </w:rPr>
        <w:t xml:space="preserve">8.1 Interpretation</w:t>
      </w:r>
    </w:p>
    <w:p>
      <w:pPr>
        <w:spacing w:before="80" w:after="80"/>
        <w:jc w:val="both"/>
      </w:pPr>
      <w:r>
        <w:rPr>
          <w:rFonts w:ascii="Arial" w:cs="Arial" w:eastAsia="Arial" w:hAnsi="Arial"/>
          <w:color w:val="1A1A1A"/>
          <w:sz w:val="22"/>
          <w:szCs w:val="22"/>
        </w:rPr>
        <w:t xml:space="preserve">The 6-month forecast follows a pattern entirely consistent with the historical seasonal behavior of this series. January 2024 comes off the December holiday peak and is forecast at a relatively elevated level of 16,093. From there, sales gradually decline through the first half of the year, reaching a trough of 8,810 in June 2024 — which aligns with the mid-year seasonal low observed in prior years.</w:t>
      </w:r>
    </w:p>
    <w:p>
      <w:pPr>
        <w:spacing w:before="80" w:after="80"/>
      </w:pPr>
      <w:r>
        <w:t xml:space="preserve"/>
      </w:r>
    </w:p>
    <w:p>
      <w:pPr>
        <w:spacing w:before="80" w:after="80"/>
        <w:jc w:val="both"/>
      </w:pPr>
      <w:r>
        <w:rPr>
          <w:rFonts w:ascii="Arial" w:cs="Arial" w:eastAsia="Arial" w:hAnsi="Arial"/>
          <w:color w:val="1A1A1A"/>
          <w:sz w:val="22"/>
          <w:szCs w:val="22"/>
        </w:rPr>
        <w:t xml:space="preserve">The confidence intervals widen progressively as the forecast horizon extends, which is the expected behavior of any time series model. By June 2024, the 95% confidence interval spans roughly 5,000 units on either side of the point estimate, reflecting the accumulated uncertainty over six forecasting steps. This is something to communicate clearly to any business stakeholders using these numbers for planning — the further out the forecast, the wider the margin of uncertainty.</w:t>
      </w:r>
    </w:p>
    <w:p>
      <w:pPr>
        <w:spacing w:before="80" w:after="80"/>
      </w:pPr>
      <w:r>
        <w:t xml:space="preserve"/>
      </w:r>
    </w:p>
    <w:p>
      <w:pPr>
        <w:spacing w:before="80" w:after="80"/>
        <w:jc w:val="both"/>
      </w:pPr>
      <w:r>
        <w:rPr>
          <w:rFonts w:ascii="Arial" w:cs="Arial" w:eastAsia="Arial" w:hAnsi="Arial"/>
          <w:color w:val="1A1A1A"/>
          <w:sz w:val="22"/>
          <w:szCs w:val="22"/>
        </w:rPr>
        <w:t xml:space="preserve">It is also worth noting that the forecast does not incorporate any forward-looking information about planned promotions or marketing activity. If a promotional campaign is already scheduled for, say, March or April 2024, the actual sales would likely exceed the model's point estimate for those months.</w:t>
      </w:r>
    </w:p>
    <w:p>
      <w:pPr>
        <w:spacing w:before="80" w:after="80"/>
      </w:pPr>
      <w:r>
        <w:t xml:space="preserve"/>
      </w:r>
    </w:p>
    <w:p>
      <w:pPr>
        <w:pBdr>
          <w:bottom w:val="single" w:color="2E75B6" w:sz="8" w:space="1"/>
        </w:pBdr>
        <w:spacing w:before="360" w:after="160"/>
      </w:pPr>
      <w:r>
        <w:rPr>
          <w:rFonts w:ascii="Arial" w:cs="Arial" w:eastAsia="Arial" w:hAnsi="Arial"/>
          <w:b/>
          <w:bCs/>
          <w:color w:val="1F4E79"/>
          <w:sz w:val="36"/>
          <w:szCs w:val="36"/>
        </w:rPr>
        <w:t xml:space="preserve">9. Limitations &amp; Potential Improvements</w:t>
      </w:r>
    </w:p>
    <w:p>
      <w:pPr>
        <w:spacing w:before="200" w:after="80"/>
      </w:pPr>
      <w:r>
        <w:rPr>
          <w:rFonts w:ascii="Arial" w:cs="Arial" w:eastAsia="Arial" w:hAnsi="Arial"/>
          <w:b/>
          <w:bCs/>
          <w:color w:val="1F4E79"/>
          <w:sz w:val="24"/>
          <w:szCs w:val="24"/>
        </w:rPr>
        <w:t xml:space="preserve">9.1 Limitations</w:t>
      </w:r>
    </w:p>
    <w:p>
      <w:pPr>
        <w:pStyle w:val="ListParagraph"/>
        <w:numPr>
          <w:ilvl w:val="0"/>
          <w:numId w:val="2"/>
        </w:numPr>
        <w:spacing w:before="40" w:after="40"/>
      </w:pPr>
      <w:r>
        <w:rPr>
          <w:rFonts w:ascii="Arial" w:cs="Arial" w:eastAsia="Arial" w:hAnsi="Arial"/>
          <w:color w:val="1A1A1A"/>
          <w:sz w:val="22"/>
          <w:szCs w:val="22"/>
        </w:rPr>
        <w:t xml:space="preserve">Small training sample (38 observations) for a model with seasonal order 12 — the statsmodels convergence warning is a direct consequence of this and would not occur with 5+ years of data</w:t>
      </w:r>
    </w:p>
    <w:p>
      <w:pPr>
        <w:pStyle w:val="ListParagraph"/>
        <w:numPr>
          <w:ilvl w:val="0"/>
          <w:numId w:val="2"/>
        </w:numPr>
        <w:spacing w:before="40" w:after="40"/>
      </w:pPr>
      <w:r>
        <w:rPr>
          <w:rFonts w:ascii="Arial" w:cs="Arial" w:eastAsia="Arial" w:hAnsi="Arial"/>
          <w:color w:val="1A1A1A"/>
          <w:sz w:val="22"/>
          <w:szCs w:val="22"/>
        </w:rPr>
        <w:t xml:space="preserve">The SARIMA model does not directly incorporate the Promotion and HolidayMonth variables as exogenous regressors; a SARIMAX specification would allow these to be used explicitly and would likely reduce the MAE</w:t>
      </w:r>
    </w:p>
    <w:p>
      <w:pPr>
        <w:pStyle w:val="ListParagraph"/>
        <w:numPr>
          <w:ilvl w:val="0"/>
          <w:numId w:val="2"/>
        </w:numPr>
        <w:spacing w:before="40" w:after="40"/>
      </w:pPr>
      <w:r>
        <w:rPr>
          <w:rFonts w:ascii="Arial" w:cs="Arial" w:eastAsia="Arial" w:hAnsi="Arial"/>
          <w:color w:val="1A1A1A"/>
          <w:sz w:val="22"/>
          <w:szCs w:val="22"/>
        </w:rPr>
        <w:t xml:space="preserve">Promotional effects in the data were randomly assigned, meaning no predictable signal exists in the history — this creates irreducible forecast error for promoted months</w:t>
      </w:r>
    </w:p>
    <w:p>
      <w:pPr>
        <w:pStyle w:val="ListParagraph"/>
        <w:numPr>
          <w:ilvl w:val="0"/>
          <w:numId w:val="2"/>
        </w:numPr>
        <w:spacing w:before="40" w:after="40"/>
      </w:pPr>
      <w:r>
        <w:rPr>
          <w:rFonts w:ascii="Arial" w:cs="Arial" w:eastAsia="Arial" w:hAnsi="Arial"/>
          <w:color w:val="1A1A1A"/>
          <w:sz w:val="22"/>
          <w:szCs w:val="22"/>
        </w:rPr>
        <w:t xml:space="preserve">The additive decomposition assumes that seasonal fluctuations are constant in magnitude; if sales grow significantly, a multiplicative model may be more appropriate</w:t>
      </w:r>
    </w:p>
    <w:p>
      <w:pPr>
        <w:spacing w:before="80" w:after="80"/>
      </w:pPr>
      <w:r>
        <w:t xml:space="preserve"/>
      </w:r>
    </w:p>
    <w:p>
      <w:pPr>
        <w:spacing w:before="200" w:after="80"/>
      </w:pPr>
      <w:r>
        <w:rPr>
          <w:rFonts w:ascii="Arial" w:cs="Arial" w:eastAsia="Arial" w:hAnsi="Arial"/>
          <w:b/>
          <w:bCs/>
          <w:color w:val="1F4E79"/>
          <w:sz w:val="24"/>
          <w:szCs w:val="24"/>
        </w:rPr>
        <w:t xml:space="preserve">9.2 Potential Improvements</w:t>
      </w:r>
    </w:p>
    <w:p>
      <w:pPr>
        <w:pStyle w:val="ListParagraph"/>
        <w:numPr>
          <w:ilvl w:val="0"/>
          <w:numId w:val="2"/>
        </w:numPr>
        <w:spacing w:before="40" w:after="40"/>
      </w:pPr>
      <w:r>
        <w:rPr>
          <w:rFonts w:ascii="Arial" w:cs="Arial" w:eastAsia="Arial" w:hAnsi="Arial"/>
          <w:color w:val="1A1A1A"/>
          <w:sz w:val="22"/>
          <w:szCs w:val="22"/>
        </w:rPr>
        <w:t xml:space="preserve">Extend the dataset to 5–7 years of monthly observations for more stable seasonal parameter estimation</w:t>
      </w:r>
    </w:p>
    <w:p>
      <w:pPr>
        <w:pStyle w:val="ListParagraph"/>
        <w:numPr>
          <w:ilvl w:val="0"/>
          <w:numId w:val="2"/>
        </w:numPr>
        <w:spacing w:before="40" w:after="40"/>
      </w:pPr>
      <w:r>
        <w:rPr>
          <w:rFonts w:ascii="Arial" w:cs="Arial" w:eastAsia="Arial" w:hAnsi="Arial"/>
          <w:color w:val="1A1A1A"/>
          <w:sz w:val="22"/>
          <w:szCs w:val="22"/>
        </w:rPr>
        <w:t xml:space="preserve">Use SARIMAX with Promotion and HolidayMonth as external regressors, which would allow the model to adjust forecasts when promotion schedules are known in advance</w:t>
      </w:r>
    </w:p>
    <w:p>
      <w:pPr>
        <w:pStyle w:val="ListParagraph"/>
        <w:numPr>
          <w:ilvl w:val="0"/>
          <w:numId w:val="2"/>
        </w:numPr>
        <w:spacing w:before="40" w:after="40"/>
      </w:pPr>
      <w:r>
        <w:rPr>
          <w:rFonts w:ascii="Arial" w:cs="Arial" w:eastAsia="Arial" w:hAnsi="Arial"/>
          <w:color w:val="1A1A1A"/>
          <w:sz w:val="22"/>
          <w:szCs w:val="22"/>
        </w:rPr>
        <w:t xml:space="preserve">Run an automated grid search or auto_arima to more rigorously select the optimal (p, d, q)(P, D, Q)[s] parameter combination</w:t>
      </w:r>
    </w:p>
    <w:p>
      <w:pPr>
        <w:pStyle w:val="ListParagraph"/>
        <w:numPr>
          <w:ilvl w:val="0"/>
          <w:numId w:val="2"/>
        </w:numPr>
        <w:spacing w:before="40" w:after="40"/>
      </w:pPr>
      <w:r>
        <w:rPr>
          <w:rFonts w:ascii="Arial" w:cs="Arial" w:eastAsia="Arial" w:hAnsi="Arial"/>
          <w:color w:val="1A1A1A"/>
          <w:sz w:val="22"/>
          <w:szCs w:val="22"/>
        </w:rPr>
        <w:t xml:space="preserve">Consider ensemble methods (e.g., averaging SARIMA with Prophet or Exponential Smoothing) to improve robustness</w:t>
      </w:r>
    </w:p>
    <w:p>
      <w:pPr>
        <w:spacing w:before="80" w:after="80"/>
      </w:pPr>
      <w:r>
        <w:t xml:space="preserve"/>
      </w:r>
    </w:p>
    <w:p>
      <w:pPr>
        <w:pBdr>
          <w:bottom w:val="single" w:color="2E75B6" w:sz="8" w:space="1"/>
        </w:pBdr>
        <w:spacing w:before="360" w:after="160"/>
      </w:pPr>
      <w:r>
        <w:rPr>
          <w:rFonts w:ascii="Arial" w:cs="Arial" w:eastAsia="Arial" w:hAnsi="Arial"/>
          <w:b/>
          <w:bCs/>
          <w:color w:val="1F4E79"/>
          <w:sz w:val="36"/>
          <w:szCs w:val="36"/>
        </w:rPr>
        <w:t xml:space="preserve">10. Conclusion</w:t>
      </w:r>
    </w:p>
    <w:p>
      <w:pPr>
        <w:spacing w:before="80" w:after="80"/>
        <w:jc w:val="both"/>
      </w:pPr>
      <w:r>
        <w:rPr>
          <w:rFonts w:ascii="Arial" w:cs="Arial" w:eastAsia="Arial" w:hAnsi="Arial"/>
          <w:color w:val="1A1A1A"/>
          <w:sz w:val="22"/>
          <w:szCs w:val="22"/>
        </w:rPr>
        <w:t xml:space="preserve">This project walked through the complete time series forecasting pipeline for a simulated retail sales dataset. Starting from synthetic data generation and exploratory analysis, the work progressed through stationarity testing, ACF/PACF inspection, SARIMA model fitting, test-set evaluation, and a final 6-month forward forecast.</w:t>
      </w:r>
    </w:p>
    <w:p>
      <w:pPr>
        <w:spacing w:before="80" w:after="80"/>
      </w:pPr>
      <w:r>
        <w:t xml:space="preserve"/>
      </w:r>
    </w:p>
    <w:p>
      <w:pPr>
        <w:spacing w:before="80" w:after="80"/>
        <w:jc w:val="both"/>
      </w:pPr>
      <w:r>
        <w:rPr>
          <w:rFonts w:ascii="Arial" w:cs="Arial" w:eastAsia="Arial" w:hAnsi="Arial"/>
          <w:color w:val="1A1A1A"/>
          <w:sz w:val="22"/>
          <w:szCs w:val="22"/>
        </w:rPr>
        <w:t xml:space="preserve">The key takeaways are as follows. The sales series exhibits a clear upward trend and strong annual seasonality, both of which were successfully captured by the SARIMA(1,0,1)(1,1,1)[12] model. The ADF test confirmed stationarity at the non-seasonal level, simplifying model specification. On the held-out test set, the model achieved a MAPE of 10.39%, which is reasonable performance for monthly retail data with embedded random promotional noise. The 6-month forecast projects a seasonal decline from January through June 2024, consistent with prior year patterns, with widening confidence intervals reflecting increasing uncertainty over the forecast horizon.</w:t>
      </w:r>
    </w:p>
    <w:p>
      <w:pPr>
        <w:spacing w:before="80" w:after="80"/>
      </w:pPr>
      <w:r>
        <w:t xml:space="preserve"/>
      </w:r>
    </w:p>
    <w:p>
      <w:pPr>
        <w:spacing w:before="80" w:after="80"/>
        <w:jc w:val="both"/>
      </w:pPr>
      <w:r>
        <w:rPr>
          <w:rFonts w:ascii="Arial" w:cs="Arial" w:eastAsia="Arial" w:hAnsi="Arial"/>
          <w:color w:val="1A1A1A"/>
          <w:sz w:val="22"/>
          <w:szCs w:val="22"/>
        </w:rPr>
        <w:t xml:space="preserve">The most meaningful improvement to this analysis going forward would be incorporating the promotional and holiday flags as exogenous inputs in a SARIMAX framework, which would give the model the ability to distinguish normal demand from event-driven demand and produce tighter forecasts for periods when promotional activity is already planned.</w:t>
      </w:r>
    </w:p>
    <w:p>
      <w:pPr>
        <w:spacing w:before="80" w:after="80"/>
      </w:pPr>
      <w:r>
        <w:t xml:space="preserve"/>
      </w:r>
    </w:p>
    <w:p>
      <w:pPr>
        <w:pBdr>
          <w:top w:val="single" w:color="2E75B6" w:sz="6" w:space="4"/>
        </w:pBdr>
        <w:spacing w:before="360" w:after="120"/>
      </w:pPr>
      <w:r>
        <w:rPr>
          <w:rFonts w:ascii="Arial" w:cs="Arial" w:eastAsia="Arial" w:hAnsi="Arial"/>
          <w:b/>
          <w:bCs/>
          <w:color w:val="1F4E79"/>
          <w:sz w:val="24"/>
          <w:szCs w:val="24"/>
        </w:rPr>
        <w:t xml:space="preserve">References</w:t>
      </w:r>
    </w:p>
    <w:p>
      <w:pPr>
        <w:spacing w:before="80" w:after="80"/>
        <w:jc w:val="both"/>
      </w:pPr>
      <w:r>
        <w:rPr>
          <w:rFonts w:ascii="Arial" w:cs="Arial" w:eastAsia="Arial" w:hAnsi="Arial"/>
          <w:color w:val="1A1A1A"/>
          <w:sz w:val="22"/>
          <w:szCs w:val="22"/>
        </w:rPr>
        <w:t xml:space="preserve">Box, G.E.P., Jenkins, G.M., &amp; Reinsel, G.C. (2015). Time Series Analysis: Forecasting and Control (5th ed.). Wiley.</w:t>
      </w:r>
    </w:p>
    <w:p>
      <w:pPr>
        <w:spacing w:before="80" w:after="80"/>
        <w:jc w:val="both"/>
      </w:pPr>
      <w:r>
        <w:rPr>
          <w:rFonts w:ascii="Arial" w:cs="Arial" w:eastAsia="Arial" w:hAnsi="Arial"/>
          <w:color w:val="1A1A1A"/>
          <w:sz w:val="22"/>
          <w:szCs w:val="22"/>
        </w:rPr>
        <w:t xml:space="preserve">Hyndman, R.J., &amp; Athanasopoulos, G. (2021). Forecasting: Principles and Practice (3rd ed.). OTexts. https://otexts.com/fpp3/</w:t>
      </w:r>
    </w:p>
    <w:p>
      <w:pPr>
        <w:spacing w:before="80" w:after="80"/>
        <w:jc w:val="both"/>
      </w:pPr>
      <w:r>
        <w:rPr>
          <w:rFonts w:ascii="Arial" w:cs="Arial" w:eastAsia="Arial" w:hAnsi="Arial"/>
          <w:color w:val="1A1A1A"/>
          <w:sz w:val="22"/>
          <w:szCs w:val="22"/>
        </w:rPr>
        <w:t xml:space="preserve">Seabold, S., &amp; Perktold, J. (2010). Statsmodels: Econometric and Statistical Modeling with Python. Proceedings of the 9th Python in Science Conference.</w:t>
      </w:r>
    </w:p>
    <w:p>
      <w:pPr>
        <w:spacing w:before="80" w:after="80"/>
        <w:jc w:val="both"/>
      </w:pPr>
      <w:r>
        <w:rPr>
          <w:rFonts w:ascii="Arial" w:cs="Arial" w:eastAsia="Arial" w:hAnsi="Arial"/>
          <w:color w:val="1A1A1A"/>
          <w:sz w:val="22"/>
          <w:szCs w:val="22"/>
        </w:rPr>
        <w:t xml:space="preserve">Pandas Development Team (2023). pandas: Powerful data structures for data analysis. https://pandas.pydata.org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2026-03-27T02:40:18.399Z</dcterms:created>
  <dcterms:modified xsi:type="dcterms:W3CDTF">2026-03-27T02:40:18.400Z</dcterms:modified>
</cp:coreProperties>
</file>

<file path=docProps/custom.xml><?xml version="1.0" encoding="utf-8"?>
<Properties xmlns="http://schemas.openxmlformats.org/officeDocument/2006/custom-properties" xmlns:vt="http://schemas.openxmlformats.org/officeDocument/2006/docPropsVTypes"/>
</file>