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trHeight w:val="59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8064a2" w:space="0" w:sz="8" w:val="single"/>
            </w:tcBorders>
            <w:shd w:fill="8064a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50"/>
                <w:szCs w:val="50"/>
                <w:rtl w:val="0"/>
              </w:rPr>
              <w:t xml:space="preserve">insight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b2a1c7" w:space="0" w:sz="8" w:val="single"/>
              <w:bottom w:color="b2a1c7" w:space="0" w:sz="8" w:val="single"/>
              <w:right w:color="b2a1c7" w:space="0" w:sz="8" w:val="single"/>
            </w:tcBorders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اعضای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تیم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سعی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کنند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طول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هفته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مستمر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انجام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بدهند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؛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burn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chart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متوازن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تری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باشیم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b2a1c7" w:space="0" w:sz="8" w:val="single"/>
              <w:bottom w:color="b2a1c7" w:space="0" w:sz="8" w:val="single"/>
              <w:right w:color="b2a1c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ساجده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درباره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مطالعه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باشد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بتواند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بعدی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مریم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کمک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کند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b2a1c7" w:space="0" w:sz="8" w:val="single"/>
              <w:bottom w:color="b2a1c7" w:space="0" w:sz="8" w:val="single"/>
              <w:right w:color="b2a1c7" w:space="0" w:sz="8" w:val="single"/>
            </w:tcBorders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مرضیه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درباره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اتصال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صفحه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پرداخت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بانک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مطالعه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کند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b2a1c7" w:space="0" w:sz="8" w:val="single"/>
              <w:bottom w:color="b2a1c7" w:space="0" w:sz="8" w:val="single"/>
              <w:right w:color="b2a1c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جای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کارکردن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شب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صبح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کار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کنیم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که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تمرکز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بیشتری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داشته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باشیم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b2a1c7" w:space="0" w:sz="8" w:val="single"/>
              <w:bottom w:color="b2a1c7" w:space="0" w:sz="8" w:val="single"/>
              <w:right w:color="b2a1c7" w:space="0" w:sz="8" w:val="single"/>
            </w:tcBorders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