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00566C"/>
          <w:sz w:val="52"/>
        </w:rPr>
        <w:t>Guion de la defensa</w:t>
      </w:r>
    </w:p>
    <w:p>
      <w:r>
        <w:rPr>
          <w:rFonts w:ascii="Arial" w:hAnsi="Arial"/>
          <w:i/>
          <w:color w:val="858591"/>
          <w:sz w:val="26"/>
        </w:rPr>
        <w:t>Evaluación comparativa de SVM y DenseNet201 para la clasificación automática de enfermedades dermatológicas</w:t>
      </w:r>
    </w:p>
    <w:p>
      <w:r>
        <w:rPr>
          <w:rFonts w:ascii="Arial" w:hAnsi="Arial"/>
          <w:color w:val="858591"/>
          <w:sz w:val="22"/>
        </w:rPr>
        <w:t>Christian Gutiérrez Gutiérrez · Alvaro Gutiérrez Burbano  —  Director: Víctor D. Díaz Suárez</w:t>
      </w:r>
    </w:p>
    <w:p>
      <w:pPr>
        <w:pBdr>
          <w:bottom w:val="single" w:sz="6" w:space="8" w:color="C0C0C8"/>
        </w:pBdr>
        <w:spacing w:after="320"/>
      </w:pPr>
      <w:r>
        <w:rPr>
          <w:rFonts w:ascii="Arial" w:hAnsi="Arial"/>
          <w:b/>
          <w:color w:val="219BC3"/>
          <w:sz w:val="23"/>
        </w:rPr>
        <w:t>26 diapositivas · duración total objetivo: ≈ 30 minutos</w:t>
      </w:r>
    </w:p>
    <w:p>
      <w:pPr>
        <w:spacing w:before="240" w:after="40"/>
      </w:pPr>
      <w:r>
        <w:rPr>
          <w:rFonts w:ascii="Arial" w:hAnsi="Arial"/>
          <w:b/>
          <w:color w:val="00566C"/>
          <w:sz w:val="27"/>
        </w:rPr>
        <w:t>1. Portada</w:t>
      </w:r>
    </w:p>
    <w:p>
      <w:pPr>
        <w:spacing w:after="80"/>
      </w:pPr>
      <w:r>
        <w:rPr>
          <w:rFonts w:ascii="Arial" w:hAnsi="Arial"/>
          <w:i/>
          <w:color w:val="858591"/>
          <w:sz w:val="20"/>
        </w:rPr>
        <w:t>Ambos  ·  0,5 min</w:t>
      </w:r>
    </w:p>
    <w:p>
      <w:pPr>
        <w:spacing w:after="120" w:line="276" w:lineRule="auto"/>
        <w:jc w:val="both"/>
      </w:pPr>
      <w:r>
        <w:rPr>
          <w:rFonts w:ascii="Arial" w:hAnsi="Arial"/>
          <w:sz w:val="22"/>
        </w:rPr>
        <w:t>Buenos días / buenas tardes. Somos Christian Gutiérrez Gutiérrez y Alvaro Gutiérrez Burbano, y vamos a presentar nuestro Trabajo Fin de Máster: «Evaluación comparativa de SVM y DenseNet201 para la clasificación automática de enfermedades dermatológicas», dirigido por el profesor Víctor D. Díaz Suárez, en el Máster Universitario en Análisis y Visualización de Datos Masivos de la UNIR. Antes de empezar, queremos agradecer al tribunal su tiempo y disposición.</w:t>
      </w:r>
    </w:p>
    <w:p>
      <w:pPr>
        <w:spacing w:before="240" w:after="40"/>
      </w:pPr>
      <w:r>
        <w:rPr>
          <w:rFonts w:ascii="Arial" w:hAnsi="Arial"/>
          <w:b/>
          <w:color w:val="00566C"/>
          <w:sz w:val="27"/>
        </w:rPr>
        <w:t>2. Índice</w:t>
      </w:r>
    </w:p>
    <w:p>
      <w:pPr>
        <w:spacing w:after="80"/>
      </w:pPr>
      <w:r>
        <w:rPr>
          <w:rFonts w:ascii="Arial" w:hAnsi="Arial"/>
          <w:i/>
          <w:color w:val="858591"/>
          <w:sz w:val="20"/>
        </w:rPr>
        <w:t>Alvaro  ·  0,75 min</w:t>
      </w:r>
    </w:p>
    <w:p>
      <w:pPr>
        <w:spacing w:after="120" w:line="276" w:lineRule="auto"/>
        <w:jc w:val="both"/>
      </w:pPr>
      <w:r>
        <w:rPr>
          <w:rFonts w:ascii="Arial" w:hAnsi="Arial"/>
          <w:sz w:val="22"/>
        </w:rPr>
        <w:t>La defensa se organiza en cuatro grandes bloques. Primero, introducción y objetivos, donde plantearemos la motivación clínica del trabajo y qué nos proponíamos conseguir. Segundo, normativa y datos, donde repasaremos el marco legal y el dataset HAM10000. Tercero, SVM y DenseNet201, donde explicaremos cómo hemos construido y entrenado los dos modelos. Y cuarto, resultados y conclusiones, donde compararemos su desempeño y cerraremos con las limitaciones y líneas futuras. En total son 26 diapositivas para 30 minutos.</w:t>
      </w:r>
    </w:p>
    <w:p>
      <w:pPr>
        <w:spacing w:before="360" w:after="160"/>
      </w:pPr>
      <w:r>
        <w:rPr>
          <w:rFonts w:ascii="Arial" w:hAnsi="Arial"/>
          <w:b/>
          <w:color w:val="219BC3"/>
          <w:sz w:val="32"/>
        </w:rPr>
        <w:t>Introducción y objetivos</w:t>
      </w:r>
    </w:p>
    <w:p>
      <w:pPr>
        <w:spacing w:before="240" w:after="40"/>
      </w:pPr>
      <w:r>
        <w:rPr>
          <w:rFonts w:ascii="Arial" w:hAnsi="Arial"/>
          <w:b/>
          <w:color w:val="00566C"/>
          <w:sz w:val="27"/>
        </w:rPr>
        <w:t>3. Motivación</w:t>
      </w:r>
    </w:p>
    <w:p>
      <w:pPr>
        <w:spacing w:after="80"/>
      </w:pPr>
      <w:r>
        <w:rPr>
          <w:rFonts w:ascii="Arial" w:hAnsi="Arial"/>
          <w:i/>
          <w:color w:val="858591"/>
          <w:sz w:val="20"/>
        </w:rPr>
        <w:t>Alvaro  ·  1,25 min</w:t>
      </w:r>
    </w:p>
    <w:p>
      <w:pPr>
        <w:spacing w:after="120" w:line="276" w:lineRule="auto"/>
        <w:jc w:val="both"/>
      </w:pPr>
      <w:r>
        <w:rPr>
          <w:rFonts w:ascii="Arial" w:hAnsi="Arial"/>
          <w:sz w:val="22"/>
        </w:rPr>
        <w:t>Empezamos por qué nos importa este problema. El cáncer de piel es una emergencia de salud pública en expansión: se diagnostican más de 330.000 nuevos casos de melanoma al año en el mundo, según datos de Langselius, Rumgay y de Vries de 2025. Y el tiempo, en este campo, es literalmente supervivencia: cuando el melanoma se detecta en fase localizada, la supervivencia relativa a 5 años supera el 99%, de acuerdo con la American Cancer Society de 2026. El problema es que existe un cuello de botella clínico severo: en España la espera media para una primera consulta de dermatología es de 131 días, y en contextos como Ecuador la saturación del sistema es todavía mayor. Ahí es donde entra la inteligencia artificial: no para sustituir al dermatólogo, sino para ayudar a priorizar quién necesita ser visto antes.</w:t>
      </w:r>
    </w:p>
    <w:p>
      <w:pPr>
        <w:spacing w:before="240" w:after="40"/>
      </w:pPr>
      <w:r>
        <w:rPr>
          <w:rFonts w:ascii="Arial" w:hAnsi="Arial"/>
          <w:b/>
          <w:color w:val="00566C"/>
          <w:sz w:val="27"/>
        </w:rPr>
        <w:t>4. Planteamiento del trabajo</w:t>
      </w:r>
    </w:p>
    <w:p>
      <w:pPr>
        <w:spacing w:after="80"/>
      </w:pPr>
      <w:r>
        <w:rPr>
          <w:rFonts w:ascii="Arial" w:hAnsi="Arial"/>
          <w:i/>
          <w:color w:val="858591"/>
          <w:sz w:val="20"/>
        </w:rPr>
        <w:t>Alvaro  ·  1,25 min</w:t>
      </w:r>
    </w:p>
    <w:p>
      <w:pPr>
        <w:spacing w:after="120" w:line="276" w:lineRule="auto"/>
        <w:jc w:val="both"/>
      </w:pPr>
      <w:r>
        <w:rPr>
          <w:rFonts w:ascii="Arial" w:hAnsi="Arial"/>
          <w:sz w:val="22"/>
        </w:rPr>
        <w:t>Con esa motivación, planteamos el trabajo como una comparativa, no como una carrera por el accuracy. El criterio de éxito que nos marcamos es clínico, no puramente estadístico. Enfrentamos dos paradigmas: Machine Learning tradicional, con SVM, frente a Deep Learning con Transfer Learning, con DenseNet201, sobre el mismo problema y el mismo dataset. Y la métrica que manda en todo el trabajo es la Sensibilidad, porque un falso negativo —una lesión maligna que el modelo etiqueta como benigna— tiene un coste clínico mucho mayor que un falso positivo. Como métricas de respaldo usamos F1-Score y AUC-ROC, dado el fuerte desbalance de clases que tiene HAM10000, que veremos enseguida.</w:t>
      </w:r>
    </w:p>
    <w:p>
      <w:pPr>
        <w:spacing w:before="360" w:after="160"/>
      </w:pPr>
      <w:r>
        <w:rPr>
          <w:rFonts w:ascii="Arial" w:hAnsi="Arial"/>
          <w:b/>
          <w:color w:val="219BC3"/>
          <w:sz w:val="32"/>
        </w:rPr>
        <w:t>Normativa y datos</w:t>
      </w:r>
    </w:p>
    <w:p>
      <w:pPr>
        <w:spacing w:before="240" w:after="40"/>
      </w:pPr>
      <w:r>
        <w:rPr>
          <w:rFonts w:ascii="Arial" w:hAnsi="Arial"/>
          <w:b/>
          <w:color w:val="00566C"/>
          <w:sz w:val="27"/>
        </w:rPr>
        <w:t>5. HAM10000</w:t>
      </w:r>
    </w:p>
    <w:p>
      <w:pPr>
        <w:spacing w:after="80"/>
      </w:pPr>
      <w:r>
        <w:rPr>
          <w:rFonts w:ascii="Arial" w:hAnsi="Arial"/>
          <w:i/>
          <w:color w:val="858591"/>
          <w:sz w:val="20"/>
        </w:rPr>
        <w:t>Christian  ·  1,25 min</w:t>
      </w:r>
    </w:p>
    <w:p>
      <w:pPr>
        <w:spacing w:after="120" w:line="276" w:lineRule="auto"/>
        <w:jc w:val="both"/>
      </w:pPr>
      <w:r>
        <w:rPr>
          <w:rFonts w:ascii="Arial" w:hAnsi="Arial"/>
          <w:sz w:val="22"/>
        </w:rPr>
        <w:t>Pasamos al dataset. Trabajamos con HAM10000: 10.015 imágenes dermatoscópicas correspondientes a 7.470 lesiones únicas, tomadas del ISIC Archive, y clasificadas en 7 categorías diagnósticas. Como pueden ver en la tabla, el nevus melanocítico, benigno, concentra el 66,9% de las imágenes. Las tres clases malignas —melanoma, carcinoma basocelular y queratosis actínica— suman entre las tres menos del 20% de las imágenes. Esto ya anticipa el problema central del trabajo: un desbalance de clases muy marcado, que trataremos en detalle más adelante.</w:t>
      </w:r>
    </w:p>
    <w:p>
      <w:pPr>
        <w:spacing w:before="240" w:after="40"/>
      </w:pPr>
      <w:r>
        <w:rPr>
          <w:rFonts w:ascii="Arial" w:hAnsi="Arial"/>
          <w:b/>
          <w:color w:val="00566C"/>
          <w:sz w:val="27"/>
        </w:rPr>
        <w:t>6. Trabajos relacionados</w:t>
      </w:r>
    </w:p>
    <w:p>
      <w:pPr>
        <w:spacing w:after="80"/>
      </w:pPr>
      <w:r>
        <w:rPr>
          <w:rFonts w:ascii="Arial" w:hAnsi="Arial"/>
          <w:i/>
          <w:color w:val="858591"/>
          <w:sz w:val="20"/>
        </w:rPr>
        <w:t>Christian  ·  1 min</w:t>
      </w:r>
    </w:p>
    <w:p>
      <w:pPr>
        <w:spacing w:after="120" w:line="276" w:lineRule="auto"/>
        <w:jc w:val="both"/>
      </w:pPr>
      <w:r>
        <w:rPr>
          <w:rFonts w:ascii="Arial" w:hAnsi="Arial"/>
          <w:sz w:val="22"/>
        </w:rPr>
        <w:t>Antes de entrar en nuestra propuesta, situamos el trabajo frente a la literatura reciente. Bechelli y Delhommelle, en 2022, comparan ResNet50 y VGG16 frente a Random Forest y SVM, y muestran que el Deep Learning supera al Machine Learning clásico en precisión global; nuestro TFM difiere en que prioriza la Sensibilidad sobre el Accuracy. Sönmez y colaboradores, en 2023, usan el mismo dataset con MobileNetV2 y aumento de datos, frente al balanceo por submuestreo que aplicamos nosotros. Çevik y Zengin, en 2019, validan sobre HAM10000 el uso de ReLU y Adam, que también empleamos. El antecedente más cercano es el TFG de Sánchez Sánchez, de 2024, en la Universidad de Salamanca, que ensambla EfficientNet, DenseNet-121 y NASNet y también prioriza el recall en clases malignas. Y Goceri, en 2021, usa nuestro mismo modelo base, DenseNet201, aplicado a segmentación previa de la lesión. Ningún estudio, sin embargo, prioriza la Sensibilidad clínica como criterio principal de éxito, que es exactamente el hueco que ocupa este TFM.</w:t>
      </w:r>
    </w:p>
    <w:p>
      <w:pPr>
        <w:spacing w:before="240" w:after="40"/>
      </w:pPr>
      <w:r>
        <w:rPr>
          <w:rFonts w:ascii="Arial" w:hAnsi="Arial"/>
          <w:b/>
          <w:color w:val="00566C"/>
          <w:sz w:val="27"/>
        </w:rPr>
        <w:t>7. Estado del arte</w:t>
      </w:r>
    </w:p>
    <w:p>
      <w:pPr>
        <w:spacing w:after="80"/>
      </w:pPr>
      <w:r>
        <w:rPr>
          <w:rFonts w:ascii="Arial" w:hAnsi="Arial"/>
          <w:i/>
          <w:color w:val="858591"/>
          <w:sz w:val="20"/>
        </w:rPr>
        <w:t>Christian  ·  1,25 min</w:t>
      </w:r>
    </w:p>
    <w:p>
      <w:pPr>
        <w:spacing w:after="120" w:line="276" w:lineRule="auto"/>
        <w:jc w:val="both"/>
      </w:pPr>
      <w:r>
        <w:rPr>
          <w:rFonts w:ascii="Arial" w:hAnsi="Arial"/>
          <w:sz w:val="22"/>
        </w:rPr>
        <w:t>Un apunte más sobre el estado del arte: el ojo clínico más entrenado también se equivoca. Existe variabilidad entre especialistas y fatiga diagnóstica, sobre todo en contextos de alta carga asistencial. La literatura documenta con claridad el tránsito del Machine Learning clásico hacia arquitecturas de Deep Learning en clasificación dermatoscópica. Pero la precisión no lo es todo: los sistemas deben ser interpretables y computacionalmente viables para poder integrarse en la práctica clínica real. Por eso enmarcamos este trabajo como un posible Sistema de Soporte a la Decisión Clínica, un CDSS: una herramienta de apoyo que no reemplaza al dermatólogo, sino que reduce tiempos y homogeneiza el cribado inicial.</w:t>
      </w:r>
    </w:p>
    <w:p>
      <w:pPr>
        <w:spacing w:before="240" w:after="40"/>
      </w:pPr>
      <w:r>
        <w:rPr>
          <w:rFonts w:ascii="Arial" w:hAnsi="Arial"/>
          <w:b/>
          <w:color w:val="00566C"/>
          <w:sz w:val="27"/>
        </w:rPr>
        <w:t>8. Objetivo general</w:t>
      </w:r>
    </w:p>
    <w:p>
      <w:pPr>
        <w:spacing w:after="80"/>
      </w:pPr>
      <w:r>
        <w:rPr>
          <w:rFonts w:ascii="Arial" w:hAnsi="Arial"/>
          <w:i/>
          <w:color w:val="858591"/>
          <w:sz w:val="20"/>
        </w:rPr>
        <w:t>Christian  ·  0,75 min</w:t>
      </w:r>
    </w:p>
    <w:p>
      <w:pPr>
        <w:spacing w:after="120" w:line="276" w:lineRule="auto"/>
        <w:jc w:val="both"/>
      </w:pPr>
      <w:r>
        <w:rPr>
          <w:rFonts w:ascii="Arial" w:hAnsi="Arial"/>
          <w:sz w:val="22"/>
        </w:rPr>
        <w:t>Con ese contexto, nuestro objetivo general es determinar cuál de los dos paradigmas —SVM o DenseNet201— ofrece el mejor equilibrio entre rendimiento clínico y viabilidad de despliegue. El alcance es la clasificación de los 7 tipos de lesiones cutáneas de HAM10000, evaluada en dos escenarios distintos de balanceo de clases que explicaremos más adelante. A partir de este objetivo general se desprenden los objetivos específicos, que agrupamos en cuatro bloques y que vemos en la siguiente diapositiva.</w:t>
      </w:r>
    </w:p>
    <w:p>
      <w:pPr>
        <w:spacing w:before="240" w:after="40"/>
      </w:pPr>
      <w:r>
        <w:rPr>
          <w:rFonts w:ascii="Arial" w:hAnsi="Arial"/>
          <w:b/>
          <w:color w:val="00566C"/>
          <w:sz w:val="27"/>
        </w:rPr>
        <w:t>9. Objetivos específicos</w:t>
      </w:r>
    </w:p>
    <w:p>
      <w:pPr>
        <w:spacing w:after="80"/>
      </w:pPr>
      <w:r>
        <w:rPr>
          <w:rFonts w:ascii="Arial" w:hAnsi="Arial"/>
          <w:i/>
          <w:color w:val="858591"/>
          <w:sz w:val="20"/>
        </w:rPr>
        <w:t>Christian  ·  1 min</w:t>
      </w:r>
    </w:p>
    <w:p>
      <w:pPr>
        <w:spacing w:after="120" w:line="276" w:lineRule="auto"/>
        <w:jc w:val="both"/>
      </w:pPr>
      <w:r>
        <w:rPr>
          <w:rFonts w:ascii="Arial" w:hAnsi="Arial"/>
          <w:sz w:val="22"/>
        </w:rPr>
        <w:t>Estos son los cuatro bloques de objetivos específicos. En Datos: hacer un análisis exploratorio de HAM10000 para identificar sesgos y distribución de clases, construir un pipeline de preprocesamiento y limpieza, aplicar balanceo por sobremuestreo con SMOTE y submuestreo, y particionar de forma estratificada por lesion_id. En SVM: extracción paramétrica de características con PCA, un clasificador SVC con kernel RBF como línea base de Machine Learning tradicional, con class_weight balanceado para las clases minoritarias. En DenseNet201: Transfer Learning sobre un backbone preentrenado, una arquitectura de doble cabeza para triaje y diagnóstico, aprendizaje profundo de jerarquías visuales y data augmentation. Y en Evaluación: métricas clínicas como Sensibilidad, F1-Score y AUC-ROC, la comparación entre ambos modelos en los dos escenarios, el contraste con los trabajos relacionados que ya vimos, y la verificación del cumplimiento de estos cinco objetivos.</w:t>
      </w:r>
    </w:p>
    <w:p>
      <w:pPr>
        <w:spacing w:before="240" w:after="40"/>
      </w:pPr>
      <w:r>
        <w:rPr>
          <w:rFonts w:ascii="Arial" w:hAnsi="Arial"/>
          <w:b/>
          <w:color w:val="00566C"/>
          <w:sz w:val="27"/>
        </w:rPr>
        <w:t>10. CRISP-DM adaptado a imágenes médicas</w:t>
      </w:r>
    </w:p>
    <w:p>
      <w:pPr>
        <w:spacing w:after="80"/>
      </w:pPr>
      <w:r>
        <w:rPr>
          <w:rFonts w:ascii="Arial" w:hAnsi="Arial"/>
          <w:i/>
          <w:color w:val="858591"/>
          <w:sz w:val="20"/>
        </w:rPr>
        <w:t>Alvaro / Christian  ·  1,25 min</w:t>
      </w:r>
    </w:p>
    <w:p>
      <w:pPr>
        <w:spacing w:after="120" w:line="276" w:lineRule="auto"/>
        <w:jc w:val="both"/>
      </w:pPr>
      <w:r>
        <w:rPr>
          <w:rFonts w:ascii="Arial" w:hAnsi="Arial"/>
          <w:sz w:val="22"/>
        </w:rPr>
        <w:t>Todo el trabajo sigue la metodología CRISP-DM, adaptada a imágenes médicas, en cinco fases. Primero, comprensión de datos: ingesta y análisis estadístico del dataset, tanto de los tensores de imágenes como de los metadatos clínicos. Segundo, preparación y limpieza: redimensionado, normalización de píxeles y balanceo de clases. Tercero, modelado comparativo: primero una línea base con Machine Learning clásico, SVM, y después Deep Learning, con DenseNet201. Cuarto, evaluación y validación: usamos conjuntos de prueba independientes para medir la generalización y evitar el overfitting. Y quinto, visualización y conclusiones: los resultados, gráficos comparativos y conclusiones que presentamos en la segunda mitad de esta defensa.</w:t>
      </w:r>
    </w:p>
    <w:p>
      <w:pPr>
        <w:spacing w:before="240" w:after="40"/>
      </w:pPr>
      <w:r>
        <w:rPr>
          <w:rFonts w:ascii="Arial" w:hAnsi="Arial"/>
          <w:b/>
          <w:color w:val="00566C"/>
          <w:sz w:val="27"/>
        </w:rPr>
        <w:t>11. Marco legal y ético</w:t>
      </w:r>
    </w:p>
    <w:p>
      <w:pPr>
        <w:spacing w:after="80"/>
      </w:pPr>
      <w:r>
        <w:rPr>
          <w:rFonts w:ascii="Arial" w:hAnsi="Arial"/>
          <w:i/>
          <w:color w:val="858591"/>
          <w:sz w:val="20"/>
        </w:rPr>
        <w:t>Alvaro  ·  1,25 min</w:t>
      </w:r>
    </w:p>
    <w:p>
      <w:pPr>
        <w:spacing w:after="120" w:line="276" w:lineRule="auto"/>
        <w:jc w:val="both"/>
      </w:pPr>
      <w:r>
        <w:rPr>
          <w:rFonts w:ascii="Arial" w:hAnsi="Arial"/>
          <w:sz w:val="22"/>
        </w:rPr>
        <w:t>Antes de entrar en los datos, un apunte normativo. En Ecuador, la Ley Orgánica de Protección de Datos Personales, de 2021, considera los datos de salud una categoría sensible, en su artículo 25. HAM10000 está anonimizado y se distribuye bajo licencia académica abierta, por lo que cumplimos ese requisito. Cualquier sistema de diagnóstico clínico recae bajo la supervisión de la ARCSA y el Ministerio de Salud Pública; por eso este TFM se plantea explícitamente como una Prueba de Concepto académica, y no como un CDSS certificado para uso clínico real. Este marco es también el punto de partida para evaluar la representatividad del dataset frente a la diversidad fenotípica ecuatoriana, algo que retomaremos en las limitaciones.</w:t>
      </w:r>
    </w:p>
    <w:p>
      <w:pPr>
        <w:spacing w:before="240" w:after="40"/>
      </w:pPr>
      <w:r>
        <w:rPr>
          <w:rFonts w:ascii="Arial" w:hAnsi="Arial"/>
          <w:b/>
          <w:color w:val="00566C"/>
          <w:sz w:val="27"/>
        </w:rPr>
        <w:t>12. El desbalance de clases</w:t>
      </w:r>
    </w:p>
    <w:p>
      <w:pPr>
        <w:spacing w:after="80"/>
      </w:pPr>
      <w:r>
        <w:rPr>
          <w:rFonts w:ascii="Arial" w:hAnsi="Arial"/>
          <w:i/>
          <w:color w:val="858591"/>
          <w:sz w:val="20"/>
        </w:rPr>
        <w:t>Christian  ·  1,25 min</w:t>
      </w:r>
    </w:p>
    <w:p>
      <w:pPr>
        <w:spacing w:after="120" w:line="276" w:lineRule="auto"/>
        <w:jc w:val="both"/>
      </w:pPr>
      <w:r>
        <w:rPr>
          <w:rFonts w:ascii="Arial" w:hAnsi="Arial"/>
          <w:sz w:val="22"/>
        </w:rPr>
        <w:t>Este es el hallazgo más determinante del análisis exploratorio: el 66,9% de las imágenes son nevus benignos, y ninguna de las otras 6 clases supera individualmente el 12%. En rojo están las tres clases malignas: melanoma, carcinoma basocelular y queratosis actínica. La proporción global benigno:maligno es de aproximadamente 4,1 a 1. Por eso el accuracy global es una métrica engañosa en este problema: un modelo que siempre prediga «nevus» tendría un accuracy alto y sería clínicamente inútil. Esto justifica que prioricemos el F1 por clase y el recall en las clases malignas.</w:t>
      </w:r>
    </w:p>
    <w:p>
      <w:pPr>
        <w:spacing w:before="240" w:after="40"/>
      </w:pPr>
      <w:r>
        <w:rPr>
          <w:rFonts w:ascii="Arial" w:hAnsi="Arial"/>
          <w:b/>
          <w:color w:val="00566C"/>
          <w:sz w:val="27"/>
        </w:rPr>
        <w:t>13. Variables demográficas</w:t>
      </w:r>
    </w:p>
    <w:p>
      <w:pPr>
        <w:spacing w:after="80"/>
      </w:pPr>
      <w:r>
        <w:rPr>
          <w:rFonts w:ascii="Arial" w:hAnsi="Arial"/>
          <w:i/>
          <w:color w:val="858591"/>
          <w:sz w:val="20"/>
        </w:rPr>
        <w:t>Alvaro  ·  1,25 min</w:t>
      </w:r>
    </w:p>
    <w:p>
      <w:pPr>
        <w:spacing w:after="120" w:line="276" w:lineRule="auto"/>
        <w:jc w:val="both"/>
      </w:pPr>
      <w:r>
        <w:rPr>
          <w:rFonts w:ascii="Arial" w:hAnsi="Arial"/>
          <w:sz w:val="22"/>
        </w:rPr>
        <w:t>El análisis exploratorio también incluyó los metadatos clínicos. En edad, la media es de 51,85 años, con una desviación estándar de 16,93 y una mediana de 50; la diferencia de edad entre diagnósticos es estadísticamente significativa, con un test de Kruskal-Wallis de H igual a 2295,31 y p menor que 0,0001. En sexo, hay un 54,0% de pacientes masculinos frente a un 45,4% femenino, una ligera sobrerrepresentación masculina. Y en localización anatómica, la espalda con un 21,9%, la extremidad inferior con un 20,7% y el tronco con un 14,0% concentran el 56,6% de las lesiones; en cambio, las localizaciones acrales están claramente infrarrepresentadas, algo que también retomaremos en limitaciones.</w:t>
      </w:r>
    </w:p>
    <w:p>
      <w:pPr>
        <w:spacing w:before="240" w:after="40"/>
      </w:pPr>
      <w:r>
        <w:rPr>
          <w:rFonts w:ascii="Arial" w:hAnsi="Arial"/>
          <w:b/>
          <w:color w:val="00566C"/>
          <w:sz w:val="27"/>
        </w:rPr>
        <w:t>14. Dos escenarios de datos</w:t>
      </w:r>
    </w:p>
    <w:p>
      <w:pPr>
        <w:spacing w:after="80"/>
      </w:pPr>
      <w:r>
        <w:rPr>
          <w:rFonts w:ascii="Arial" w:hAnsi="Arial"/>
          <w:i/>
          <w:color w:val="858591"/>
          <w:sz w:val="20"/>
        </w:rPr>
        <w:t>Alvaro  ·  1,25 min</w:t>
      </w:r>
    </w:p>
    <w:p>
      <w:pPr>
        <w:spacing w:after="120" w:line="276" w:lineRule="auto"/>
        <w:jc w:val="both"/>
      </w:pPr>
      <w:r>
        <w:rPr>
          <w:rFonts w:ascii="Arial" w:hAnsi="Arial"/>
          <w:sz w:val="22"/>
        </w:rPr>
        <w:t>Para construir los conjuntos de entrenamiento y prueba usamos siempre una partición estratificada por lesion_id, que evita la fuga de información entre distintas imágenes de una misma lesión. A partir de ahí definimos dos escenarios. El Escenario 1 mantiene las 7 clases originales, con el desbalance real de aproximadamente 4,1 a 1 entre benigno y maligno, y aplicamos SMOTE solo dentro de la validación cruzada. El Escenario 2 simplifica el problema a binario, benigno frente a maligno, con submuestreo estratificado por lesión hasta igualar ambas clases en 1.954 imágenes cada una. Trabajar con dos escenarios nos permite aislar el efecto del balanceo del dataset del efecto propio de cada algoritmo de clasificación.</w:t>
      </w:r>
    </w:p>
    <w:p>
      <w:pPr>
        <w:spacing w:before="360" w:after="160"/>
      </w:pPr>
      <w:r>
        <w:rPr>
          <w:rFonts w:ascii="Arial" w:hAnsi="Arial"/>
          <w:b/>
          <w:color w:val="219BC3"/>
          <w:sz w:val="32"/>
        </w:rPr>
        <w:t>SVM y DenseNet201</w:t>
      </w:r>
    </w:p>
    <w:p>
      <w:pPr>
        <w:spacing w:before="240" w:after="40"/>
      </w:pPr>
      <w:r>
        <w:rPr>
          <w:rFonts w:ascii="Arial" w:hAnsi="Arial"/>
          <w:b/>
          <w:color w:val="00566C"/>
          <w:sz w:val="27"/>
        </w:rPr>
        <w:t>15. SVM: pipeline tradicional</w:t>
      </w:r>
    </w:p>
    <w:p>
      <w:pPr>
        <w:spacing w:after="80"/>
      </w:pPr>
      <w:r>
        <w:rPr>
          <w:rFonts w:ascii="Arial" w:hAnsi="Arial"/>
          <w:i/>
          <w:color w:val="858591"/>
          <w:sz w:val="20"/>
        </w:rPr>
        <w:t>Alvaro  ·  1,5 min</w:t>
      </w:r>
    </w:p>
    <w:p>
      <w:pPr>
        <w:spacing w:after="120" w:line="276" w:lineRule="auto"/>
        <w:jc w:val="both"/>
      </w:pPr>
      <w:r>
        <w:rPr>
          <w:rFonts w:ascii="Arial" w:hAnsi="Arial"/>
          <w:sz w:val="22"/>
        </w:rPr>
        <w:t>Empezamos por el modelo tradicional. El preprocesamiento parte de imágenes de 64 por 64 píxeles en RGB, que aplanamos a vectores; después estandarizamos y aplicamos PCA, que reduce de 12.288 características a 84 componentes, reteniendo el 95% de la varianza —una reducción del 99,3%—. El clasificador es un SVC con kernel RBF, con C igual a 1.0, gamma en modo scale, class_weight balanceado, y probability activado para poder calcular un AUC calibrado. El balanceo se aplica de forma distinta según el escenario: en el Escenario 1 usamos SMOTE sobre el entrenamiento; en el Escenario 2, al no hacer falta, no aplicamos SMOTE, porque el dataset ya está balanceado por el submuestreo agrupado por lesión.</w:t>
      </w:r>
    </w:p>
    <w:p>
      <w:pPr>
        <w:spacing w:before="240" w:after="40"/>
      </w:pPr>
      <w:r>
        <w:rPr>
          <w:rFonts w:ascii="Arial" w:hAnsi="Arial"/>
          <w:b/>
          <w:color w:val="00566C"/>
          <w:sz w:val="27"/>
        </w:rPr>
        <w:t>16. Detalle SVM (por clase)</w:t>
      </w:r>
    </w:p>
    <w:p>
      <w:pPr>
        <w:spacing w:after="80"/>
      </w:pPr>
      <w:r>
        <w:rPr>
          <w:rFonts w:ascii="Arial" w:hAnsi="Arial"/>
          <w:i/>
          <w:color w:val="858591"/>
          <w:sz w:val="20"/>
        </w:rPr>
        <w:t>Alvaro  ·  1 min</w:t>
      </w:r>
    </w:p>
    <w:p>
      <w:pPr>
        <w:spacing w:after="120" w:line="276" w:lineRule="auto"/>
        <w:jc w:val="both"/>
      </w:pPr>
      <w:r>
        <w:rPr>
          <w:rFonts w:ascii="Arial" w:hAnsi="Arial"/>
          <w:sz w:val="22"/>
        </w:rPr>
        <w:t>Este es el desempeño del SVM de línea base, clase por clase, en el Escenario 1. El accuracy global esconde comportamientos muy heterogéneos. La clase nv, con el 67% del soporte, obtiene el mejor F1, 0,822, simplemente por su volumen, aunque su recall del 76,3% implica que casi uno de cada cuatro nevus se clasifica mal. En el otro extremo, mel y df tienen el peor desempeño: el melanoma, precisamente la clase maligna más importante, tiene un F1 de solo 0,395. Esto confirma que, sin balancear, el modelo tiende a favorecer la clase mayoritaria y falla en las clases raras y en las malignas.</w:t>
      </w:r>
    </w:p>
    <w:p>
      <w:pPr>
        <w:spacing w:before="240" w:after="40"/>
      </w:pPr>
      <w:r>
        <w:rPr>
          <w:rFonts w:ascii="Arial" w:hAnsi="Arial"/>
          <w:b/>
          <w:color w:val="00566C"/>
          <w:sz w:val="27"/>
        </w:rPr>
        <w:t>17. SVM (comparativa de escenarios)</w:t>
      </w:r>
    </w:p>
    <w:p>
      <w:pPr>
        <w:spacing w:after="80"/>
      </w:pPr>
      <w:r>
        <w:rPr>
          <w:rFonts w:ascii="Arial" w:hAnsi="Arial"/>
          <w:i/>
          <w:color w:val="858591"/>
          <w:sz w:val="20"/>
        </w:rPr>
        <w:t>Alvaro  ·  1,25 min</w:t>
      </w:r>
    </w:p>
    <w:p>
      <w:pPr>
        <w:spacing w:after="120" w:line="276" w:lineRule="auto"/>
        <w:jc w:val="both"/>
      </w:pPr>
      <w:r>
        <w:rPr>
          <w:rFonts w:ascii="Arial" w:hAnsi="Arial"/>
          <w:sz w:val="22"/>
        </w:rPr>
        <w:t>Aquí comparamos el SVM en los dos escenarios. El accuracy sube de 68,15% a 79,85%, casi 12 puntos. El F1 Macro mejora casi 31 puntos, de 48,34% a 79,30%, lo que confirma que el balanceo beneficia especialmente a las clases minoritarias. El AUC-ROC se mantiene estable, con una variación mínima de -1,3 puntos. Pero el dato clave, el que más citamos en las conclusiones, es la Sensibilidad a la malignidad: pasa de 64,5% a 92,9%, más de 28 puntos de mejora. Es decir: balancear el dataset dispara la capacidad del modelo para detectar lesiones malignas, sin sacrificar su capacidad de discriminación global.</w:t>
      </w:r>
    </w:p>
    <w:p>
      <w:pPr>
        <w:spacing w:before="240" w:after="40"/>
      </w:pPr>
      <w:r>
        <w:rPr>
          <w:rFonts w:ascii="Arial" w:hAnsi="Arial"/>
          <w:b/>
          <w:color w:val="00566C"/>
          <w:sz w:val="27"/>
        </w:rPr>
        <w:t>18. DenseNet201: arquitectura</w:t>
      </w:r>
    </w:p>
    <w:p>
      <w:pPr>
        <w:spacing w:after="80"/>
      </w:pPr>
      <w:r>
        <w:rPr>
          <w:rFonts w:ascii="Arial" w:hAnsi="Arial"/>
          <w:i/>
          <w:color w:val="858591"/>
          <w:sz w:val="20"/>
        </w:rPr>
        <w:t>Christian  ·  1,5 min</w:t>
      </w:r>
    </w:p>
    <w:p>
      <w:pPr>
        <w:spacing w:after="120" w:line="276" w:lineRule="auto"/>
        <w:jc w:val="both"/>
      </w:pPr>
      <w:r>
        <w:rPr>
          <w:rFonts w:ascii="Arial" w:hAnsi="Arial"/>
          <w:sz w:val="22"/>
        </w:rPr>
        <w:t>Pasamos al segundo modelo. DenseNet201 es un backbone preentrenado en ImageNet, con 18,1 millones de parámetros entrenables; sus Dense Blocks maximizan el flujo de gradientes y permiten reutilizar características entre capas. La aportación metodológica propia de este TFM es una arquitectura de doble cabeza sobre ese mismo backbone: la Cabeza A hace un triaje binario, benigno frente a maligno, y es la que prioriza la Sensibilidad clínica; la Cabeza B hace el diagnóstico específico de las 7 clases diagnósticas. Ambas cabezas se entrenan de forma simultánea, con una función de pérdida conjunta ponderada al 50/50.</w:t>
      </w:r>
    </w:p>
    <w:p>
      <w:pPr>
        <w:spacing w:before="240" w:after="40"/>
      </w:pPr>
      <w:r>
        <w:rPr>
          <w:rFonts w:ascii="Arial" w:hAnsi="Arial"/>
          <w:b/>
          <w:color w:val="00566C"/>
          <w:sz w:val="27"/>
        </w:rPr>
        <w:t>19. Entrenamiento del modelo</w:t>
      </w:r>
    </w:p>
    <w:p>
      <w:pPr>
        <w:spacing w:after="80"/>
      </w:pPr>
      <w:r>
        <w:rPr>
          <w:rFonts w:ascii="Arial" w:hAnsi="Arial"/>
          <w:i/>
          <w:color w:val="858591"/>
          <w:sz w:val="20"/>
        </w:rPr>
        <w:t>Christian  ·  1,25 min</w:t>
      </w:r>
    </w:p>
    <w:p>
      <w:pPr>
        <w:spacing w:after="120" w:line="276" w:lineRule="auto"/>
        <w:jc w:val="both"/>
      </w:pPr>
      <w:r>
        <w:rPr>
          <w:rFonts w:ascii="Arial" w:hAnsi="Arial"/>
          <w:sz w:val="22"/>
        </w:rPr>
        <w:t>En cuanto al entrenamiento, usamos el optimizador Adam, con una tasa de aprendizaje de 0,0001, durante 30 épocas, y Weighted Cross-Entropy en la Cabeza B para compensar el desbalance de clases. Aplicamos Data Augmentation con flips horizontales y verticales y rotaciones aleatorias de hasta 15 grados, para mejorar la generalización. El mejor punto de validación se alcanza en la época 16 del Escenario 1, con un 90,71% de accuracy en la Cabeza B, y a partir de la época 14 la pérdida de validación se estabiliza en una meseta entre 0,35 y 0,38.</w:t>
      </w:r>
    </w:p>
    <w:p>
      <w:pPr>
        <w:spacing w:before="240" w:after="40"/>
      </w:pPr>
      <w:r>
        <w:rPr>
          <w:rFonts w:ascii="Arial" w:hAnsi="Arial"/>
          <w:b/>
          <w:color w:val="00566C"/>
          <w:sz w:val="27"/>
        </w:rPr>
        <w:t>20. DenseNet201 (resultados)</w:t>
      </w:r>
    </w:p>
    <w:p>
      <w:pPr>
        <w:spacing w:after="80"/>
      </w:pPr>
      <w:r>
        <w:rPr>
          <w:rFonts w:ascii="Arial" w:hAnsi="Arial"/>
          <w:i/>
          <w:color w:val="858591"/>
          <w:sz w:val="20"/>
        </w:rPr>
        <w:t>Christian  ·  1,5 min</w:t>
      </w:r>
    </w:p>
    <w:p>
      <w:pPr>
        <w:spacing w:after="120" w:line="276" w:lineRule="auto"/>
        <w:jc w:val="both"/>
      </w:pPr>
      <w:r>
        <w:rPr>
          <w:rFonts w:ascii="Arial" w:hAnsi="Arial"/>
          <w:sz w:val="22"/>
        </w:rPr>
        <w:t>Estos son los resultados de DenseNet201 en los dos escenarios. En la Cabeza B, la de 7 clases, el balanceo del dataset por submuestreo empeora el rendimiento: el accuracy baja 3,4 puntos, el recall macro casi 10 puntos y el F1 macro 7 puntos; el submuestreo penaliza especialmente a Dermatofibroma y a Lesión Vascular, que tienen pocas muestras. Pero en la Cabeza A, la del triaje binario, ocurre justo lo contrario: la Sensibilidad a la malignidad mejora casi 9 puntos, de 81,07% a 90,03%, lo que en términos absolutos significa pasar de 74 a 39 falsos negativos sobre 391 lesiones malignas en validación. La especificidad baja algo, 3,5 puntos, pero el AUC-ROC se mantiene prácticamente estable. Es decir: el balanceo desplaza el punto de operación del clasificador hacia mayor sensibilidad, sin alterar su capacidad de discriminación de fondo.</w:t>
      </w:r>
    </w:p>
    <w:p>
      <w:pPr>
        <w:spacing w:before="240" w:after="40"/>
      </w:pPr>
      <w:r>
        <w:rPr>
          <w:rFonts w:ascii="Arial" w:hAnsi="Arial"/>
          <w:b/>
          <w:color w:val="00566C"/>
          <w:sz w:val="27"/>
        </w:rPr>
        <w:t>21. Comparativa global</w:t>
      </w:r>
    </w:p>
    <w:p>
      <w:pPr>
        <w:spacing w:after="80"/>
      </w:pPr>
      <w:r>
        <w:rPr>
          <w:rFonts w:ascii="Arial" w:hAnsi="Arial"/>
          <w:i/>
          <w:color w:val="858591"/>
          <w:sz w:val="20"/>
        </w:rPr>
        <w:t>Ambos  ·  2 min</w:t>
      </w:r>
    </w:p>
    <w:p>
      <w:pPr>
        <w:spacing w:after="120" w:line="276" w:lineRule="auto"/>
        <w:jc w:val="both"/>
      </w:pPr>
      <w:r>
        <w:rPr>
          <w:rFonts w:ascii="Arial" w:hAnsi="Arial"/>
          <w:sz w:val="22"/>
        </w:rPr>
        <w:t>Esta es la diapositiva bisagra de toda la defensa: comparamos el SVM del Escenario 2 frente a la Cabeza A de DenseNet201, también en Escenario 2. DenseNet201 gana en accuracy global, 91,43% frente a 79,85%. Gana también en especificidad: 92,84% frente a solo 65,9%, lo que significa que el SVM deriva a consulta a uno de cada tres pacientes sanos, mientras que DenseNet201 comete muchas menos falsas alarmas —su precisión en la clase maligna es del 92,63% frente al 74,5% del SVM—. Gana en AUC-ROC, 96,50% frente a 86,43%, y en fiabilidad global, con un Cohen's Kappa y un MCC de 0,829 frente a 0,593 y 0,614 del SVM. El único criterio donde gana el SVM es la Sensibilidad: 92,9% frente a 90,03%, apenas 2,87 puntos de diferencia. Pero el coste computacional es radicalmente distinto: el SVM entrena en 1,33 segundos y predice en 0,25 milisegundos por imagen; DenseNet201 necesita 62,3 minutos de entrenamiento y 13,35 milisegundos por imagen. La pregunta que dejamos abierta aquí es: ¿qué recurso escasea más en un despliegue real, el cómputo o la capacidad de atención especializada?</w:t>
      </w:r>
    </w:p>
    <w:p>
      <w:pPr>
        <w:spacing w:before="360" w:after="160"/>
      </w:pPr>
      <w:r>
        <w:rPr>
          <w:rFonts w:ascii="Arial" w:hAnsi="Arial"/>
          <w:b/>
          <w:color w:val="219BC3"/>
          <w:sz w:val="32"/>
        </w:rPr>
        <w:t>Resultados y conclusiones</w:t>
      </w:r>
    </w:p>
    <w:p>
      <w:pPr>
        <w:spacing w:before="240" w:after="40"/>
      </w:pPr>
      <w:r>
        <w:rPr>
          <w:rFonts w:ascii="Arial" w:hAnsi="Arial"/>
          <w:b/>
          <w:color w:val="00566C"/>
          <w:sz w:val="27"/>
        </w:rPr>
        <w:t>22. Implementación</w:t>
      </w:r>
    </w:p>
    <w:p>
      <w:pPr>
        <w:spacing w:after="80"/>
      </w:pPr>
      <w:r>
        <w:rPr>
          <w:rFonts w:ascii="Arial" w:hAnsi="Arial"/>
          <w:i/>
          <w:color w:val="858591"/>
          <w:sz w:val="20"/>
        </w:rPr>
        <w:t>Alvaro  ·  0,75 min</w:t>
      </w:r>
    </w:p>
    <w:p>
      <w:pPr>
        <w:spacing w:after="120" w:line="276" w:lineRule="auto"/>
        <w:jc w:val="both"/>
      </w:pPr>
      <w:r>
        <w:rPr>
          <w:rFonts w:ascii="Arial" w:hAnsi="Arial"/>
          <w:sz w:val="22"/>
        </w:rPr>
        <w:t>Todo el código y los resultados de este trabajo son abiertos y reproducibles. El repositorio está en GitHub, en github.com/marzo27/UNIR_TFM_HAM10000, con notebooks separados para el análisis exploratorio, el preprocesamiento, el SVM y DenseNet201. Un archivo, metricas.xlsx, centraliza en 7 hojas los resultados de cada experimento y escenario, para que cualquiera pueda auditar las cifras que hemos presentado. Y toda la reproducibilidad está documentada paso a paso: semillas aleatorias fijadas y la partición estratificada por lesion_id.</w:t>
      </w:r>
    </w:p>
    <w:p>
      <w:pPr>
        <w:spacing w:before="240" w:after="40"/>
      </w:pPr>
      <w:r>
        <w:rPr>
          <w:rFonts w:ascii="Arial" w:hAnsi="Arial"/>
          <w:b/>
          <w:color w:val="00566C"/>
          <w:sz w:val="27"/>
        </w:rPr>
        <w:t>23. Cumplimiento de objetivos</w:t>
      </w:r>
    </w:p>
    <w:p>
      <w:pPr>
        <w:spacing w:after="80"/>
      </w:pPr>
      <w:r>
        <w:rPr>
          <w:rFonts w:ascii="Arial" w:hAnsi="Arial"/>
          <w:i/>
          <w:color w:val="858591"/>
          <w:sz w:val="20"/>
        </w:rPr>
        <w:t>Christian  ·  0,75 min</w:t>
      </w:r>
    </w:p>
    <w:p>
      <w:pPr>
        <w:spacing w:after="120" w:line="276" w:lineRule="auto"/>
        <w:jc w:val="both"/>
      </w:pPr>
      <w:r>
        <w:rPr>
          <w:rFonts w:ascii="Arial" w:hAnsi="Arial"/>
          <w:sz w:val="22"/>
        </w:rPr>
        <w:t>Antes de pasar a las conclusiones, verificamos formalmente el cumplimiento de los cinco objetivos específicos que planteamos en el capítulo 3. Realizar el EDA: cumplido, en el capítulo 5.2. Preparar y balancear los datos: cumplido, en el 5.3. Implementar SVM: cumplido, con una Sensibilidad del 92,9% en el Escenario 2. Implementar DenseNet201: cumplido, con un AUC-ROC del 96,50% en el Escenario 2. Y comparar ambos modelos: cumplido, en el capítulo 5.5.6, contrastando seis métricas clínicas. Los cinco objetivos quedan, por tanto, acreditados con evidencia empírica en la memoria.</w:t>
      </w:r>
    </w:p>
    <w:p>
      <w:pPr>
        <w:spacing w:before="240" w:after="40"/>
      </w:pPr>
      <w:r>
        <w:rPr>
          <w:rFonts w:ascii="Arial" w:hAnsi="Arial"/>
          <w:b/>
          <w:color w:val="00566C"/>
          <w:sz w:val="27"/>
        </w:rPr>
        <w:t>24. Conclusiones</w:t>
      </w:r>
    </w:p>
    <w:p>
      <w:pPr>
        <w:spacing w:after="80"/>
      </w:pPr>
      <w:r>
        <w:rPr>
          <w:rFonts w:ascii="Arial" w:hAnsi="Arial"/>
          <w:i/>
          <w:color w:val="858591"/>
          <w:sz w:val="20"/>
        </w:rPr>
        <w:t>Christian  ·  1,5 min</w:t>
      </w:r>
    </w:p>
    <w:p>
      <w:pPr>
        <w:spacing w:after="120" w:line="276" w:lineRule="auto"/>
        <w:jc w:val="both"/>
      </w:pPr>
      <w:r>
        <w:rPr>
          <w:rFonts w:ascii="Arial" w:hAnsi="Arial"/>
          <w:sz w:val="22"/>
        </w:rPr>
        <w:t>Y llegamos a la conclusión central de este TFM: no existe un algoritmo absolutamente superior; la elección depende del recurso más escaso en el despliegue. El SVM en el Escenario 2 tiene la Sensibilidad más alta, 92,9%, a un coste computacional casi nulo; es la opción ideal cuando la capacidad de cómputo es escasa, aunque deriva a consulta a muchos pacientes sanos. DenseNet201 en el Escenario 2 tiene una Sensibilidad casi equivalente, 90,03%, pero con una especificidad, precisión, AUC-ROC, Kappa y MCC muy superiores; a cambio, requiere bastante más infraestructura. En resumen: si lo que escasea es el cómputo, el SVM es la opción razonable; si lo que escasea es la capacidad de atención especializada y hay que minimizar falsas alarmas, DenseNet201 es la opción superior.</w:t>
      </w:r>
    </w:p>
    <w:p>
      <w:pPr>
        <w:spacing w:before="240" w:after="40"/>
      </w:pPr>
      <w:r>
        <w:rPr>
          <w:rFonts w:ascii="Arial" w:hAnsi="Arial"/>
          <w:b/>
          <w:color w:val="00566C"/>
          <w:sz w:val="27"/>
        </w:rPr>
        <w:t>25. Limitaciones y futuro</w:t>
      </w:r>
    </w:p>
    <w:p>
      <w:pPr>
        <w:spacing w:after="80"/>
      </w:pPr>
      <w:r>
        <w:rPr>
          <w:rFonts w:ascii="Arial" w:hAnsi="Arial"/>
          <w:i/>
          <w:color w:val="858591"/>
          <w:sz w:val="20"/>
        </w:rPr>
        <w:t>Alvaro  ·  1,5 min</w:t>
      </w:r>
    </w:p>
    <w:p>
      <w:pPr>
        <w:spacing w:after="120" w:line="276" w:lineRule="auto"/>
        <w:jc w:val="both"/>
      </w:pPr>
      <w:r>
        <w:rPr>
          <w:rFonts w:ascii="Arial" w:hAnsi="Arial"/>
          <w:sz w:val="22"/>
        </w:rPr>
        <w:t>Para cerrar, queremos ser autocríticos. La limitación principal es que HAM10000 no refleja la diversidad fenotípica ecuatoriana: procede mayoritariamente de poblaciones europeas y australianas, con fototipos de Fitzpatrick I a III, mientras que Ecuador presenta predominancia de fototipos III a V. Además, DenseNet201 solo procesa imágenes; no integra variables clínicas como edad, sexo o localización, pese a que hemos visto que correlacionan con la malignidad. Por eso el trabajo futuro apunta en tres direcciones: primero, un modelado multimodal que fusione la imagen con esas variables clínicas; segundo, un muestreo asimétrico por cabeza en DenseNet201, que resolvería el trade-off que vimos entre las dos cabezas; y tercero, explorar arquitecturas alternativas, como EfficientNet o Vision Transformers, junto con una validación multicéntrica en población ecuatoriana, como paso previo a integrar todo esto en un CDSS real.</w:t>
      </w:r>
    </w:p>
    <w:p>
      <w:pPr>
        <w:spacing w:before="240" w:after="40"/>
      </w:pPr>
      <w:r>
        <w:rPr>
          <w:rFonts w:ascii="Arial" w:hAnsi="Arial"/>
          <w:b/>
          <w:color w:val="00566C"/>
          <w:sz w:val="27"/>
        </w:rPr>
        <w:t>26. Cierre</w:t>
      </w:r>
    </w:p>
    <w:p>
      <w:pPr>
        <w:spacing w:after="80"/>
      </w:pPr>
      <w:r>
        <w:rPr>
          <w:rFonts w:ascii="Arial" w:hAnsi="Arial"/>
          <w:i/>
          <w:color w:val="858591"/>
          <w:sz w:val="20"/>
        </w:rPr>
        <w:t>Ambos  ·  0,5 min</w:t>
      </w:r>
    </w:p>
    <w:p>
      <w:pPr>
        <w:spacing w:after="120" w:line="276" w:lineRule="auto"/>
        <w:jc w:val="both"/>
      </w:pPr>
      <w:r>
        <w:rPr>
          <w:rFonts w:ascii="Arial" w:hAnsi="Arial"/>
          <w:sz w:val="22"/>
        </w:rPr>
        <w:t>Con esto terminamos nuestra defensa. Muchas gracias al tribunal y a nuestro director, Víctor D. Díaz Suárez, por su tiempo y su acompañamiento durante este trabajo. Quedamos a su disposición para responder cualquier pregunta. El código completo está disponible en el repositorio que ven en pantalla.</w:t>
      </w:r>
    </w:p>
    <w:sectPr w:rsidR="00FC693F" w:rsidRPr="0006063C" w:rsidSect="00034616">
      <w:pgSz w:w="12240" w:h="15840"/>
      <w:pgMar w:top="1077" w:right="1247" w:bottom="107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