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i w:val="0"/>
          <w:color w:val="00566C"/>
          <w:sz w:val="44"/>
        </w:rPr>
        <w:t>GUION DE LA DEFENSA</w:t>
      </w:r>
    </w:p>
    <w:p>
      <w:pPr>
        <w:spacing w:before="0" w:after="80"/>
      </w:pPr>
      <w:r>
        <w:rPr>
          <w:rFonts w:ascii="Arial" w:hAnsi="Arial"/>
          <w:b w:val="0"/>
          <w:i w:val="0"/>
          <w:color w:val="1A1A1A"/>
          <w:sz w:val="24"/>
        </w:rPr>
        <w:t>Evaluación comparativa de SVM y DenseNet201 para la clasificación automática de enfermedades dermatológicas</w:t>
      </w:r>
    </w:p>
    <w:p>
      <w:pPr>
        <w:spacing w:before="0" w:after="40"/>
      </w:pPr>
      <w:r>
        <w:rPr>
          <w:rFonts w:ascii="Arial" w:hAnsi="Arial"/>
          <w:b w:val="0"/>
          <w:i w:val="0"/>
          <w:color w:val="858591"/>
          <w:sz w:val="20"/>
        </w:rPr>
        <w:t>Christian Marcelo Gutiérrez Gutiérrez  ·  Alvaro Marcelo Gutiérrez Burbano</w:t>
      </w:r>
    </w:p>
    <w:p>
      <w:pPr>
        <w:spacing w:before="0" w:after="200"/>
      </w:pPr>
      <w:r>
        <w:rPr>
          <w:rFonts w:ascii="Arial" w:hAnsi="Arial"/>
          <w:b w:val="0"/>
          <w:i w:val="0"/>
          <w:color w:val="858591"/>
          <w:sz w:val="18"/>
        </w:rPr>
        <w:t>Director: Víctor D. Díaz Suárez  ·  Máster Universitario en Análisis y Visualización de Datos Masivos / Visual Analytics and Big Data  ·  UNIR</w:t>
      </w:r>
    </w:p>
    <w:p>
      <w:pPr>
        <w:spacing w:before="0" w:after="160"/>
        <w:pBdr>
          <w:bottom w:val="single" w:sz="8" w:space="1" w:color="219BC3"/>
        </w:pBdr>
      </w:pPr>
    </w:p>
    <w:p>
      <w:pPr>
        <w:spacing w:before="120" w:after="120"/>
      </w:pPr>
      <w:r>
        <w:rPr>
          <w:rFonts w:ascii="Arial" w:hAnsi="Arial"/>
          <w:b/>
          <w:i w:val="0"/>
          <w:color w:val="00566C"/>
          <w:sz w:val="26"/>
        </w:rPr>
        <w:t>Reparto de tiempos</w:t>
      </w:r>
    </w:p>
    <w:p>
      <w:pPr>
        <w:spacing w:before="0" w:after="160"/>
      </w:pPr>
      <w:r>
        <w:rPr>
          <w:rFonts w:ascii="Arial" w:hAnsi="Arial"/>
          <w:b w:val="0"/>
          <w:i w:val="0"/>
          <w:color w:val="858591"/>
          <w:sz w:val="20"/>
        </w:rPr>
        <w:t>Exposición prevista: 28 minutos, con unos 2 minutos de margen sobre los 30 asignados. Ritmo de referencia: 145 palabras por minuto.</w:t>
      </w:r>
    </w:p>
    <w:tbl>
      <w:tblPr>
        <w:tblW w:type="auto" w:w="0"/>
        <w:jc w:val="center"/>
        <w:tblLook w:firstColumn="1" w:firstRow="1" w:lastColumn="0" w:lastRow="0" w:noHBand="0" w:noVBand="1" w:val="04A0"/>
        <w:tblBorders>
          <w:top w:val="single" w:sz="4" w:space="0" w:color="D9D9DE"/>
          <w:left w:val="single" w:sz="4" w:space="0" w:color="D9D9DE"/>
          <w:bottom w:val="single" w:sz="4" w:space="0" w:color="D9D9DE"/>
          <w:right w:val="single" w:sz="4" w:space="0" w:color="D9D9DE"/>
          <w:insideH w:val="single" w:sz="4" w:space="0" w:color="D9D9DE"/>
          <w:insideV w:val="single" w:sz="4" w:space="0" w:color="D9D9DE"/>
        </w:tblBorders>
      </w:tblPr>
      <w:tblGrid>
        <w:gridCol w:w="1949"/>
        <w:gridCol w:w="1949"/>
        <w:gridCol w:w="1949"/>
        <w:gridCol w:w="1949"/>
        <w:gridCol w:w="1949"/>
      </w:tblGrid>
      <w:tr>
        <w:tc>
          <w:tcPr>
            <w:tcW w:type="dxa" w:w="1020"/>
            <w:shd w:val="clear" w:color="auto" w:fill="219BC3"/>
          </w:tcPr>
          <w:p>
            <w:pPr>
              <w:spacing w:before="40" w:after="40"/>
            </w:pPr>
            <w:r/>
            <w:r>
              <w:rPr>
                <w:rFonts w:ascii="Arial" w:hAnsi="Arial"/>
                <w:b/>
                <w:color w:val="FFFFFF"/>
                <w:sz w:val="19"/>
              </w:rPr>
              <w:t>Bloque</w:t>
            </w:r>
          </w:p>
        </w:tc>
        <w:tc>
          <w:tcPr>
            <w:tcW w:type="dxa" w:w="4195"/>
            <w:shd w:val="clear" w:color="auto" w:fill="219BC3"/>
          </w:tcPr>
          <w:p>
            <w:pPr>
              <w:spacing w:before="40" w:after="40"/>
            </w:pPr>
            <w:r/>
            <w:r>
              <w:rPr>
                <w:rFonts w:ascii="Arial" w:hAnsi="Arial"/>
                <w:b/>
                <w:color w:val="FFFFFF"/>
                <w:sz w:val="19"/>
              </w:rPr>
              <w:t>Contenido</w:t>
            </w:r>
          </w:p>
        </w:tc>
        <w:tc>
          <w:tcPr>
            <w:tcW w:type="dxa" w:w="1134"/>
            <w:shd w:val="clear" w:color="auto" w:fill="219BC3"/>
          </w:tcPr>
          <w:p>
            <w:pPr>
              <w:spacing w:before="40" w:after="40"/>
            </w:pPr>
            <w:r/>
            <w:r>
              <w:rPr>
                <w:rFonts w:ascii="Arial" w:hAnsi="Arial"/>
                <w:b/>
                <w:color w:val="FFFFFF"/>
                <w:sz w:val="19"/>
              </w:rPr>
              <w:t>Inicio</w:t>
            </w:r>
          </w:p>
        </w:tc>
        <w:tc>
          <w:tcPr>
            <w:tcW w:type="dxa" w:w="1134"/>
            <w:shd w:val="clear" w:color="auto" w:fill="219BC3"/>
          </w:tcPr>
          <w:p>
            <w:pPr>
              <w:spacing w:before="40" w:after="40"/>
            </w:pPr>
            <w:r/>
            <w:r>
              <w:rPr>
                <w:rFonts w:ascii="Arial" w:hAnsi="Arial"/>
                <w:b/>
                <w:color w:val="FFFFFF"/>
                <w:sz w:val="19"/>
              </w:rPr>
              <w:t>Fin</w:t>
            </w:r>
          </w:p>
        </w:tc>
        <w:tc>
          <w:tcPr>
            <w:tcW w:type="dxa" w:w="1928"/>
            <w:shd w:val="clear" w:color="auto" w:fill="219BC3"/>
          </w:tcPr>
          <w:p>
            <w:pPr>
              <w:spacing w:before="40" w:after="40"/>
            </w:pPr>
            <w:r/>
            <w:r>
              <w:rPr>
                <w:rFonts w:ascii="Arial" w:hAnsi="Arial"/>
                <w:b/>
                <w:color w:val="FFFFFF"/>
                <w:sz w:val="19"/>
              </w:rPr>
              <w:t>Ponente</w:t>
            </w:r>
          </w:p>
        </w:tc>
      </w:tr>
      <w:tr>
        <w:tc>
          <w:tcPr>
            <w:tcW w:type="dxa" w:w="1020"/>
            <w:shd w:val="clear" w:color="auto" w:fill="F2F2F5"/>
          </w:tcPr>
          <w:p>
            <w:pPr>
              <w:spacing w:before="40" w:after="40"/>
            </w:pPr>
            <w:r/>
            <w:r>
              <w:rPr>
                <w:rFonts w:ascii="Arial" w:hAnsi="Arial"/>
                <w:b/>
                <w:color w:val="00566C"/>
                <w:sz w:val="19"/>
              </w:rPr>
              <w:t>—</w:t>
            </w:r>
          </w:p>
        </w:tc>
        <w:tc>
          <w:tcPr>
            <w:tcW w:type="dxa" w:w="4195"/>
            <w:shd w:val="clear" w:color="auto" w:fill="F2F2F5"/>
          </w:tcPr>
          <w:p>
            <w:pPr>
              <w:spacing w:before="40" w:after="40"/>
            </w:pPr>
            <w:r/>
            <w:r>
              <w:rPr>
                <w:rFonts w:ascii="Arial" w:hAnsi="Arial"/>
                <w:b/>
                <w:color w:val="00566C"/>
                <w:sz w:val="19"/>
              </w:rPr>
              <w:t>Apertura: portada e índice</w:t>
            </w:r>
          </w:p>
        </w:tc>
        <w:tc>
          <w:tcPr>
            <w:tcW w:type="dxa" w:w="1134"/>
            <w:shd w:val="clear" w:color="auto" w:fill="F2F2F5"/>
          </w:tcPr>
          <w:p>
            <w:pPr>
              <w:spacing w:before="40" w:after="40"/>
              <w:jc w:val="center"/>
            </w:pPr>
            <w:r/>
            <w:r>
              <w:rPr>
                <w:rFonts w:ascii="Arial" w:hAnsi="Arial"/>
                <w:b w:val="0"/>
                <w:color w:val="1A1A1A"/>
                <w:sz w:val="19"/>
              </w:rPr>
              <w:t>00:00</w:t>
            </w:r>
          </w:p>
        </w:tc>
        <w:tc>
          <w:tcPr>
            <w:tcW w:type="dxa" w:w="1134"/>
            <w:shd w:val="clear" w:color="auto" w:fill="F2F2F5"/>
          </w:tcPr>
          <w:p>
            <w:pPr>
              <w:spacing w:before="40" w:after="40"/>
              <w:jc w:val="center"/>
            </w:pPr>
            <w:r/>
            <w:r>
              <w:rPr>
                <w:rFonts w:ascii="Arial" w:hAnsi="Arial"/>
                <w:b w:val="0"/>
                <w:color w:val="1A1A1A"/>
                <w:sz w:val="19"/>
              </w:rPr>
              <w:t>01:00</w:t>
            </w:r>
          </w:p>
        </w:tc>
        <w:tc>
          <w:tcPr>
            <w:tcW w:type="dxa" w:w="1928"/>
            <w:shd w:val="clear" w:color="auto" w:fill="F2F2F5"/>
          </w:tcPr>
          <w:p>
            <w:pPr>
              <w:spacing w:before="40" w:after="40"/>
              <w:jc w:val="center"/>
            </w:pPr>
            <w:r/>
            <w:r>
              <w:rPr>
                <w:rFonts w:ascii="Arial" w:hAnsi="Arial"/>
                <w:b w:val="0"/>
                <w:color w:val="1A1A1A"/>
                <w:sz w:val="19"/>
              </w:rPr>
              <w:t>Christian</w:t>
            </w:r>
          </w:p>
        </w:tc>
      </w:tr>
      <w:tr>
        <w:tc>
          <w:tcPr>
            <w:tcW w:type="dxa" w:w="1020"/>
          </w:tcPr>
          <w:p>
            <w:pPr>
              <w:spacing w:before="40" w:after="40"/>
            </w:pPr>
            <w:r/>
            <w:r>
              <w:rPr>
                <w:rFonts w:ascii="Arial" w:hAnsi="Arial"/>
                <w:b/>
                <w:color w:val="00566C"/>
                <w:sz w:val="19"/>
              </w:rPr>
              <w:t>01</w:t>
            </w:r>
          </w:p>
        </w:tc>
        <w:tc>
          <w:tcPr>
            <w:tcW w:type="dxa" w:w="4195"/>
          </w:tcPr>
          <w:p>
            <w:pPr>
              <w:spacing w:before="40" w:after="40"/>
            </w:pPr>
            <w:r/>
            <w:r>
              <w:rPr>
                <w:rFonts w:ascii="Arial" w:hAnsi="Arial"/>
                <w:b/>
                <w:color w:val="00566C"/>
                <w:sz w:val="19"/>
              </w:rPr>
              <w:t>Introducción y contexto</w:t>
            </w:r>
          </w:p>
        </w:tc>
        <w:tc>
          <w:tcPr>
            <w:tcW w:type="dxa" w:w="1134"/>
          </w:tcPr>
          <w:p>
            <w:pPr>
              <w:spacing w:before="40" w:after="40"/>
              <w:jc w:val="center"/>
            </w:pPr>
            <w:r/>
            <w:r>
              <w:rPr>
                <w:rFonts w:ascii="Arial" w:hAnsi="Arial"/>
                <w:b w:val="0"/>
                <w:color w:val="1A1A1A"/>
                <w:sz w:val="19"/>
              </w:rPr>
              <w:t>01:00</w:t>
            </w:r>
          </w:p>
        </w:tc>
        <w:tc>
          <w:tcPr>
            <w:tcW w:type="dxa" w:w="1134"/>
          </w:tcPr>
          <w:p>
            <w:pPr>
              <w:spacing w:before="40" w:after="40"/>
              <w:jc w:val="center"/>
            </w:pPr>
            <w:r/>
            <w:r>
              <w:rPr>
                <w:rFonts w:ascii="Arial" w:hAnsi="Arial"/>
                <w:b w:val="0"/>
                <w:color w:val="1A1A1A"/>
                <w:sz w:val="19"/>
              </w:rPr>
              <w:t>05:00</w:t>
            </w:r>
          </w:p>
        </w:tc>
        <w:tc>
          <w:tcPr>
            <w:tcW w:type="dxa" w:w="1928"/>
          </w:tcPr>
          <w:p>
            <w:pPr>
              <w:spacing w:before="40" w:after="40"/>
              <w:jc w:val="center"/>
            </w:pPr>
            <w:r/>
            <w:r>
              <w:rPr>
                <w:rFonts w:ascii="Arial" w:hAnsi="Arial"/>
                <w:b w:val="0"/>
                <w:color w:val="1A1A1A"/>
                <w:sz w:val="19"/>
              </w:rPr>
              <w:t>Christian</w:t>
            </w:r>
          </w:p>
        </w:tc>
      </w:tr>
      <w:tr>
        <w:tc>
          <w:tcPr>
            <w:tcW w:type="dxa" w:w="1020"/>
            <w:shd w:val="clear" w:color="auto" w:fill="F2F2F5"/>
          </w:tcPr>
          <w:p>
            <w:pPr>
              <w:spacing w:before="40" w:after="40"/>
            </w:pPr>
            <w:r/>
            <w:r>
              <w:rPr>
                <w:rFonts w:ascii="Arial" w:hAnsi="Arial"/>
                <w:b/>
                <w:color w:val="00566C"/>
                <w:sz w:val="19"/>
              </w:rPr>
              <w:t>02</w:t>
            </w:r>
          </w:p>
        </w:tc>
        <w:tc>
          <w:tcPr>
            <w:tcW w:type="dxa" w:w="4195"/>
            <w:shd w:val="clear" w:color="auto" w:fill="F2F2F5"/>
          </w:tcPr>
          <w:p>
            <w:pPr>
              <w:spacing w:before="40" w:after="40"/>
            </w:pPr>
            <w:r/>
            <w:r>
              <w:rPr>
                <w:rFonts w:ascii="Arial" w:hAnsi="Arial"/>
                <w:b/>
                <w:color w:val="00566C"/>
                <w:sz w:val="19"/>
              </w:rPr>
              <w:t>Metodología</w:t>
            </w:r>
          </w:p>
        </w:tc>
        <w:tc>
          <w:tcPr>
            <w:tcW w:type="dxa" w:w="1134"/>
            <w:shd w:val="clear" w:color="auto" w:fill="F2F2F5"/>
          </w:tcPr>
          <w:p>
            <w:pPr>
              <w:spacing w:before="40" w:after="40"/>
              <w:jc w:val="center"/>
            </w:pPr>
            <w:r/>
            <w:r>
              <w:rPr>
                <w:rFonts w:ascii="Arial" w:hAnsi="Arial"/>
                <w:b w:val="0"/>
                <w:color w:val="1A1A1A"/>
                <w:sz w:val="19"/>
              </w:rPr>
              <w:t>05:00</w:t>
            </w:r>
          </w:p>
        </w:tc>
        <w:tc>
          <w:tcPr>
            <w:tcW w:type="dxa" w:w="1134"/>
            <w:shd w:val="clear" w:color="auto" w:fill="F2F2F5"/>
          </w:tcPr>
          <w:p>
            <w:pPr>
              <w:spacing w:before="40" w:after="40"/>
              <w:jc w:val="center"/>
            </w:pPr>
            <w:r/>
            <w:r>
              <w:rPr>
                <w:rFonts w:ascii="Arial" w:hAnsi="Arial"/>
                <w:b w:val="0"/>
                <w:color w:val="1A1A1A"/>
                <w:sz w:val="19"/>
              </w:rPr>
              <w:t>08:00</w:t>
            </w:r>
          </w:p>
        </w:tc>
        <w:tc>
          <w:tcPr>
            <w:tcW w:type="dxa" w:w="1928"/>
            <w:shd w:val="clear" w:color="auto" w:fill="F2F2F5"/>
          </w:tcPr>
          <w:p>
            <w:pPr>
              <w:spacing w:before="40" w:after="40"/>
              <w:jc w:val="center"/>
            </w:pPr>
            <w:r/>
            <w:r>
              <w:rPr>
                <w:rFonts w:ascii="Arial" w:hAnsi="Arial"/>
                <w:b w:val="0"/>
                <w:color w:val="1A1A1A"/>
                <w:sz w:val="19"/>
              </w:rPr>
              <w:t>Christian</w:t>
            </w:r>
          </w:p>
        </w:tc>
      </w:tr>
      <w:tr>
        <w:tc>
          <w:tcPr>
            <w:tcW w:type="dxa" w:w="1020"/>
          </w:tcPr>
          <w:p>
            <w:pPr>
              <w:spacing w:before="40" w:after="40"/>
            </w:pPr>
            <w:r/>
            <w:r>
              <w:rPr>
                <w:rFonts w:ascii="Arial" w:hAnsi="Arial"/>
                <w:b/>
                <w:color w:val="00566C"/>
                <w:sz w:val="19"/>
              </w:rPr>
              <w:t>03</w:t>
            </w:r>
          </w:p>
        </w:tc>
        <w:tc>
          <w:tcPr>
            <w:tcW w:type="dxa" w:w="4195"/>
          </w:tcPr>
          <w:p>
            <w:pPr>
              <w:spacing w:before="40" w:after="40"/>
            </w:pPr>
            <w:r/>
            <w:r>
              <w:rPr>
                <w:rFonts w:ascii="Arial" w:hAnsi="Arial"/>
                <w:b/>
                <w:color w:val="00566C"/>
                <w:sz w:val="19"/>
              </w:rPr>
              <w:t>Comprensión de los datos</w:t>
            </w:r>
          </w:p>
        </w:tc>
        <w:tc>
          <w:tcPr>
            <w:tcW w:type="dxa" w:w="1134"/>
          </w:tcPr>
          <w:p>
            <w:pPr>
              <w:spacing w:before="40" w:after="40"/>
              <w:jc w:val="center"/>
            </w:pPr>
            <w:r/>
            <w:r>
              <w:rPr>
                <w:rFonts w:ascii="Arial" w:hAnsi="Arial"/>
                <w:b w:val="0"/>
                <w:color w:val="1A1A1A"/>
                <w:sz w:val="19"/>
              </w:rPr>
              <w:t>08:00</w:t>
            </w:r>
          </w:p>
        </w:tc>
        <w:tc>
          <w:tcPr>
            <w:tcW w:type="dxa" w:w="1134"/>
          </w:tcPr>
          <w:p>
            <w:pPr>
              <w:spacing w:before="40" w:after="40"/>
              <w:jc w:val="center"/>
            </w:pPr>
            <w:r/>
            <w:r>
              <w:rPr>
                <w:rFonts w:ascii="Arial" w:hAnsi="Arial"/>
                <w:b w:val="0"/>
                <w:color w:val="1A1A1A"/>
                <w:sz w:val="19"/>
              </w:rPr>
              <w:t>13:00</w:t>
            </w:r>
          </w:p>
        </w:tc>
        <w:tc>
          <w:tcPr>
            <w:tcW w:type="dxa" w:w="1928"/>
          </w:tcPr>
          <w:p>
            <w:pPr>
              <w:spacing w:before="40" w:after="40"/>
              <w:jc w:val="center"/>
            </w:pPr>
            <w:r/>
            <w:r>
              <w:rPr>
                <w:rFonts w:ascii="Arial" w:hAnsi="Arial"/>
                <w:b w:val="0"/>
                <w:color w:val="1A1A1A"/>
                <w:sz w:val="19"/>
              </w:rPr>
              <w:t>Christian</w:t>
            </w:r>
          </w:p>
        </w:tc>
      </w:tr>
      <w:tr>
        <w:tc>
          <w:tcPr>
            <w:tcW w:type="dxa" w:w="1020"/>
            <w:shd w:val="clear" w:color="auto" w:fill="F2F2F5"/>
          </w:tcPr>
          <w:p>
            <w:pPr>
              <w:spacing w:before="40" w:after="40"/>
            </w:pPr>
            <w:r/>
            <w:r>
              <w:rPr>
                <w:rFonts w:ascii="Arial" w:hAnsi="Arial"/>
                <w:b/>
                <w:color w:val="00566C"/>
                <w:sz w:val="19"/>
              </w:rPr>
              <w:t>04</w:t>
            </w:r>
          </w:p>
        </w:tc>
        <w:tc>
          <w:tcPr>
            <w:tcW w:type="dxa" w:w="4195"/>
            <w:shd w:val="clear" w:color="auto" w:fill="F2F2F5"/>
          </w:tcPr>
          <w:p>
            <w:pPr>
              <w:spacing w:before="40" w:after="40"/>
            </w:pPr>
            <w:r/>
            <w:r>
              <w:rPr>
                <w:rFonts w:ascii="Arial" w:hAnsi="Arial"/>
                <w:b/>
                <w:color w:val="00566C"/>
                <w:sz w:val="19"/>
              </w:rPr>
              <w:t>Preparación de los datos</w:t>
            </w:r>
          </w:p>
        </w:tc>
        <w:tc>
          <w:tcPr>
            <w:tcW w:type="dxa" w:w="1134"/>
            <w:shd w:val="clear" w:color="auto" w:fill="F2F2F5"/>
          </w:tcPr>
          <w:p>
            <w:pPr>
              <w:spacing w:before="40" w:after="40"/>
              <w:jc w:val="center"/>
            </w:pPr>
            <w:r/>
            <w:r>
              <w:rPr>
                <w:rFonts w:ascii="Arial" w:hAnsi="Arial"/>
                <w:b w:val="0"/>
                <w:color w:val="1A1A1A"/>
                <w:sz w:val="19"/>
              </w:rPr>
              <w:t>13:00</w:t>
            </w:r>
          </w:p>
        </w:tc>
        <w:tc>
          <w:tcPr>
            <w:tcW w:type="dxa" w:w="1134"/>
            <w:shd w:val="clear" w:color="auto" w:fill="F2F2F5"/>
          </w:tcPr>
          <w:p>
            <w:pPr>
              <w:spacing w:before="40" w:after="40"/>
              <w:jc w:val="center"/>
            </w:pPr>
            <w:r/>
            <w:r>
              <w:rPr>
                <w:rFonts w:ascii="Arial" w:hAnsi="Arial"/>
                <w:b w:val="0"/>
                <w:color w:val="1A1A1A"/>
                <w:sz w:val="19"/>
              </w:rPr>
              <w:t>16:00</w:t>
            </w:r>
          </w:p>
        </w:tc>
        <w:tc>
          <w:tcPr>
            <w:tcW w:type="dxa" w:w="1928"/>
            <w:shd w:val="clear" w:color="auto" w:fill="F2F2F5"/>
          </w:tcPr>
          <w:p>
            <w:pPr>
              <w:spacing w:before="40" w:after="40"/>
              <w:jc w:val="center"/>
            </w:pPr>
            <w:r/>
            <w:r>
              <w:rPr>
                <w:rFonts w:ascii="Arial" w:hAnsi="Arial"/>
                <w:b w:val="0"/>
                <w:color w:val="1A1A1A"/>
                <w:sz w:val="19"/>
              </w:rPr>
              <w:t>Alvaro</w:t>
            </w:r>
          </w:p>
        </w:tc>
      </w:tr>
      <w:tr>
        <w:tc>
          <w:tcPr>
            <w:tcW w:type="dxa" w:w="1020"/>
          </w:tcPr>
          <w:p>
            <w:pPr>
              <w:spacing w:before="40" w:after="40"/>
            </w:pPr>
            <w:r/>
            <w:r>
              <w:rPr>
                <w:rFonts w:ascii="Arial" w:hAnsi="Arial"/>
                <w:b/>
                <w:color w:val="00566C"/>
                <w:sz w:val="19"/>
              </w:rPr>
              <w:t>05</w:t>
            </w:r>
          </w:p>
        </w:tc>
        <w:tc>
          <w:tcPr>
            <w:tcW w:type="dxa" w:w="4195"/>
          </w:tcPr>
          <w:p>
            <w:pPr>
              <w:spacing w:before="40" w:after="40"/>
            </w:pPr>
            <w:r/>
            <w:r>
              <w:rPr>
                <w:rFonts w:ascii="Arial" w:hAnsi="Arial"/>
                <w:b/>
                <w:color w:val="00566C"/>
                <w:sz w:val="19"/>
              </w:rPr>
              <w:t>Modelado</w:t>
            </w:r>
          </w:p>
        </w:tc>
        <w:tc>
          <w:tcPr>
            <w:tcW w:type="dxa" w:w="1134"/>
          </w:tcPr>
          <w:p>
            <w:pPr>
              <w:spacing w:before="40" w:after="40"/>
              <w:jc w:val="center"/>
            </w:pPr>
            <w:r/>
            <w:r>
              <w:rPr>
                <w:rFonts w:ascii="Arial" w:hAnsi="Arial"/>
                <w:b w:val="0"/>
                <w:color w:val="1A1A1A"/>
                <w:sz w:val="19"/>
              </w:rPr>
              <w:t>16:00</w:t>
            </w:r>
          </w:p>
        </w:tc>
        <w:tc>
          <w:tcPr>
            <w:tcW w:type="dxa" w:w="1134"/>
          </w:tcPr>
          <w:p>
            <w:pPr>
              <w:spacing w:before="40" w:after="40"/>
              <w:jc w:val="center"/>
            </w:pPr>
            <w:r/>
            <w:r>
              <w:rPr>
                <w:rFonts w:ascii="Arial" w:hAnsi="Arial"/>
                <w:b w:val="0"/>
                <w:color w:val="1A1A1A"/>
                <w:sz w:val="19"/>
              </w:rPr>
              <w:t>19:00</w:t>
            </w:r>
          </w:p>
        </w:tc>
        <w:tc>
          <w:tcPr>
            <w:tcW w:type="dxa" w:w="1928"/>
          </w:tcPr>
          <w:p>
            <w:pPr>
              <w:spacing w:before="40" w:after="40"/>
              <w:jc w:val="center"/>
            </w:pPr>
            <w:r/>
            <w:r>
              <w:rPr>
                <w:rFonts w:ascii="Arial" w:hAnsi="Arial"/>
                <w:b w:val="0"/>
                <w:color w:val="1A1A1A"/>
                <w:sz w:val="19"/>
              </w:rPr>
              <w:t>Alvaro</w:t>
            </w:r>
          </w:p>
        </w:tc>
      </w:tr>
      <w:tr>
        <w:tc>
          <w:tcPr>
            <w:tcW w:type="dxa" w:w="1020"/>
            <w:shd w:val="clear" w:color="auto" w:fill="F2F2F5"/>
          </w:tcPr>
          <w:p>
            <w:pPr>
              <w:spacing w:before="40" w:after="40"/>
            </w:pPr>
            <w:r/>
            <w:r>
              <w:rPr>
                <w:rFonts w:ascii="Arial" w:hAnsi="Arial"/>
                <w:b/>
                <w:color w:val="00566C"/>
                <w:sz w:val="19"/>
              </w:rPr>
              <w:t>06</w:t>
            </w:r>
          </w:p>
        </w:tc>
        <w:tc>
          <w:tcPr>
            <w:tcW w:type="dxa" w:w="4195"/>
            <w:shd w:val="clear" w:color="auto" w:fill="F2F2F5"/>
          </w:tcPr>
          <w:p>
            <w:pPr>
              <w:spacing w:before="40" w:after="40"/>
            </w:pPr>
            <w:r/>
            <w:r>
              <w:rPr>
                <w:rFonts w:ascii="Arial" w:hAnsi="Arial"/>
                <w:b/>
                <w:color w:val="00566C"/>
                <w:sz w:val="19"/>
              </w:rPr>
              <w:t>Evaluación y resultados</w:t>
            </w:r>
          </w:p>
        </w:tc>
        <w:tc>
          <w:tcPr>
            <w:tcW w:type="dxa" w:w="1134"/>
            <w:shd w:val="clear" w:color="auto" w:fill="F2F2F5"/>
          </w:tcPr>
          <w:p>
            <w:pPr>
              <w:spacing w:before="40" w:after="40"/>
              <w:jc w:val="center"/>
            </w:pPr>
            <w:r/>
            <w:r>
              <w:rPr>
                <w:rFonts w:ascii="Arial" w:hAnsi="Arial"/>
                <w:b w:val="0"/>
                <w:color w:val="1A1A1A"/>
                <w:sz w:val="19"/>
              </w:rPr>
              <w:t>19:00</w:t>
            </w:r>
          </w:p>
        </w:tc>
        <w:tc>
          <w:tcPr>
            <w:tcW w:type="dxa" w:w="1134"/>
            <w:shd w:val="clear" w:color="auto" w:fill="F2F2F5"/>
          </w:tcPr>
          <w:p>
            <w:pPr>
              <w:spacing w:before="40" w:after="40"/>
              <w:jc w:val="center"/>
            </w:pPr>
            <w:r/>
            <w:r>
              <w:rPr>
                <w:rFonts w:ascii="Arial" w:hAnsi="Arial"/>
                <w:b w:val="0"/>
                <w:color w:val="1A1A1A"/>
                <w:sz w:val="19"/>
              </w:rPr>
              <w:t>25:30</w:t>
            </w:r>
          </w:p>
        </w:tc>
        <w:tc>
          <w:tcPr>
            <w:tcW w:type="dxa" w:w="1928"/>
            <w:shd w:val="clear" w:color="auto" w:fill="F2F2F5"/>
          </w:tcPr>
          <w:p>
            <w:pPr>
              <w:spacing w:before="40" w:after="40"/>
              <w:jc w:val="center"/>
            </w:pPr>
            <w:r/>
            <w:r>
              <w:rPr>
                <w:rFonts w:ascii="Arial" w:hAnsi="Arial"/>
                <w:b w:val="0"/>
                <w:color w:val="1A1A1A"/>
                <w:sz w:val="19"/>
              </w:rPr>
              <w:t>Alvaro</w:t>
            </w:r>
          </w:p>
        </w:tc>
      </w:tr>
      <w:tr>
        <w:tc>
          <w:tcPr>
            <w:tcW w:type="dxa" w:w="1020"/>
          </w:tcPr>
          <w:p>
            <w:pPr>
              <w:spacing w:before="40" w:after="40"/>
            </w:pPr>
            <w:r/>
            <w:r>
              <w:rPr>
                <w:rFonts w:ascii="Arial" w:hAnsi="Arial"/>
                <w:b/>
                <w:color w:val="00566C"/>
                <w:sz w:val="19"/>
              </w:rPr>
              <w:t>07</w:t>
            </w:r>
          </w:p>
        </w:tc>
        <w:tc>
          <w:tcPr>
            <w:tcW w:type="dxa" w:w="4195"/>
          </w:tcPr>
          <w:p>
            <w:pPr>
              <w:spacing w:before="40" w:after="40"/>
            </w:pPr>
            <w:r/>
            <w:r>
              <w:rPr>
                <w:rFonts w:ascii="Arial" w:hAnsi="Arial"/>
                <w:b/>
                <w:color w:val="00566C"/>
                <w:sz w:val="19"/>
              </w:rPr>
              <w:t>Conclusiones y prospectiva</w:t>
            </w:r>
          </w:p>
        </w:tc>
        <w:tc>
          <w:tcPr>
            <w:tcW w:type="dxa" w:w="1134"/>
          </w:tcPr>
          <w:p>
            <w:pPr>
              <w:spacing w:before="40" w:after="40"/>
              <w:jc w:val="center"/>
            </w:pPr>
            <w:r/>
            <w:r>
              <w:rPr>
                <w:rFonts w:ascii="Arial" w:hAnsi="Arial"/>
                <w:b w:val="0"/>
                <w:color w:val="1A1A1A"/>
                <w:sz w:val="19"/>
              </w:rPr>
              <w:t>25:30</w:t>
            </w:r>
          </w:p>
        </w:tc>
        <w:tc>
          <w:tcPr>
            <w:tcW w:type="dxa" w:w="1134"/>
          </w:tcPr>
          <w:p>
            <w:pPr>
              <w:spacing w:before="40" w:after="40"/>
              <w:jc w:val="center"/>
            </w:pPr>
            <w:r/>
            <w:r>
              <w:rPr>
                <w:rFonts w:ascii="Arial" w:hAnsi="Arial"/>
                <w:b w:val="0"/>
                <w:color w:val="1A1A1A"/>
                <w:sz w:val="19"/>
              </w:rPr>
              <w:t>27:45</w:t>
            </w:r>
          </w:p>
        </w:tc>
        <w:tc>
          <w:tcPr>
            <w:tcW w:type="dxa" w:w="1928"/>
          </w:tcPr>
          <w:p>
            <w:pPr>
              <w:spacing w:before="40" w:after="40"/>
              <w:jc w:val="center"/>
            </w:pPr>
            <w:r/>
            <w:r>
              <w:rPr>
                <w:rFonts w:ascii="Arial" w:hAnsi="Arial"/>
                <w:b w:val="0"/>
                <w:color w:val="1A1A1A"/>
                <w:sz w:val="19"/>
              </w:rPr>
              <w:t>Alvaro</w:t>
            </w:r>
          </w:p>
        </w:tc>
      </w:tr>
      <w:tr>
        <w:tc>
          <w:tcPr>
            <w:tcW w:type="dxa" w:w="1020"/>
            <w:shd w:val="clear" w:color="auto" w:fill="F2F2F5"/>
          </w:tcPr>
          <w:p>
            <w:pPr>
              <w:spacing w:before="40" w:after="40"/>
            </w:pPr>
            <w:r/>
            <w:r>
              <w:rPr>
                <w:rFonts w:ascii="Arial" w:hAnsi="Arial"/>
                <w:b/>
                <w:color w:val="00566C"/>
                <w:sz w:val="19"/>
              </w:rPr>
              <w:t>—</w:t>
            </w:r>
          </w:p>
        </w:tc>
        <w:tc>
          <w:tcPr>
            <w:tcW w:type="dxa" w:w="4195"/>
            <w:shd w:val="clear" w:color="auto" w:fill="F2F2F5"/>
          </w:tcPr>
          <w:p>
            <w:pPr>
              <w:spacing w:before="40" w:after="40"/>
            </w:pPr>
            <w:r/>
            <w:r>
              <w:rPr>
                <w:rFonts w:ascii="Arial" w:hAnsi="Arial"/>
                <w:b/>
                <w:color w:val="00566C"/>
                <w:sz w:val="19"/>
              </w:rPr>
              <w:t>Cierre y agradecimiento</w:t>
            </w:r>
          </w:p>
        </w:tc>
        <w:tc>
          <w:tcPr>
            <w:tcW w:type="dxa" w:w="1134"/>
            <w:shd w:val="clear" w:color="auto" w:fill="F2F2F5"/>
          </w:tcPr>
          <w:p>
            <w:pPr>
              <w:spacing w:before="40" w:after="40"/>
              <w:jc w:val="center"/>
            </w:pPr>
            <w:r/>
            <w:r>
              <w:rPr>
                <w:rFonts w:ascii="Arial" w:hAnsi="Arial"/>
                <w:b w:val="0"/>
                <w:color w:val="1A1A1A"/>
                <w:sz w:val="19"/>
              </w:rPr>
              <w:t>27:45</w:t>
            </w:r>
          </w:p>
        </w:tc>
        <w:tc>
          <w:tcPr>
            <w:tcW w:type="dxa" w:w="1134"/>
            <w:shd w:val="clear" w:color="auto" w:fill="F2F2F5"/>
          </w:tcPr>
          <w:p>
            <w:pPr>
              <w:spacing w:before="40" w:after="40"/>
              <w:jc w:val="center"/>
            </w:pPr>
            <w:r/>
            <w:r>
              <w:rPr>
                <w:rFonts w:ascii="Arial" w:hAnsi="Arial"/>
                <w:b w:val="0"/>
                <w:color w:val="1A1A1A"/>
                <w:sz w:val="19"/>
              </w:rPr>
              <w:t>28:15</w:t>
            </w:r>
          </w:p>
        </w:tc>
        <w:tc>
          <w:tcPr>
            <w:tcW w:type="dxa" w:w="1928"/>
            <w:shd w:val="clear" w:color="auto" w:fill="F2F2F5"/>
          </w:tcPr>
          <w:p>
            <w:pPr>
              <w:spacing w:before="40" w:after="40"/>
              <w:jc w:val="center"/>
            </w:pPr>
            <w:r/>
            <w:r>
              <w:rPr>
                <w:rFonts w:ascii="Arial" w:hAnsi="Arial"/>
                <w:b w:val="0"/>
                <w:color w:val="1A1A1A"/>
                <w:sz w:val="19"/>
              </w:rPr>
              <w:t>Ambos</w:t>
            </w:r>
          </w:p>
        </w:tc>
      </w:tr>
    </w:tbl>
    <w:p/>
    <w:p>
      <w:pPr>
        <w:spacing w:before="160" w:after="120"/>
      </w:pPr>
      <w:r>
        <w:rPr>
          <w:rFonts w:ascii="Arial" w:hAnsi="Arial"/>
          <w:b/>
          <w:i w:val="0"/>
          <w:color w:val="00566C"/>
          <w:sz w:val="26"/>
        </w:rPr>
        <w:t>Cómo usar este guion</w:t>
      </w:r>
    </w:p>
    <w:p>
      <w:pPr>
        <w:pStyle w:val="ListBullet"/>
        <w:spacing w:after="80"/>
      </w:pPr>
      <w:r>
        <w:rPr>
          <w:rFonts w:ascii="Arial" w:hAnsi="Arial"/>
          <w:sz w:val="20"/>
        </w:rPr>
        <w:t>El texto está escrito para ser leído en voz alta: las cifras van desarrolladas en palabras donde conviene pronunciarlas despacio.</w:t>
      </w:r>
    </w:p>
    <w:p>
      <w:pPr>
        <w:pStyle w:val="ListBullet"/>
        <w:spacing w:after="80"/>
      </w:pPr>
      <w:r>
        <w:rPr>
          <w:rFonts w:ascii="Arial" w:hAnsi="Arial"/>
          <w:sz w:val="20"/>
        </w:rPr>
        <w:t>Los tiempos son orientativos. Si en el ensayo se va largo, los recortes menos dañinos son el estado del arte (dispositiva 6) y el marco normativo (11).</w:t>
      </w:r>
    </w:p>
    <w:p>
      <w:pPr>
        <w:pStyle w:val="ListBullet"/>
        <w:spacing w:after="80"/>
      </w:pPr>
      <w:r>
        <w:rPr>
          <w:rFonts w:ascii="Arial" w:hAnsi="Arial"/>
          <w:sz w:val="20"/>
        </w:rPr>
        <w:t>Los pasajes marcados «[Avanzar sin detenerse]» corresponden a las diapositivas separadoras: no requieren locución.</w:t>
      </w:r>
    </w:p>
    <w:p>
      <w:pPr>
        <w:pStyle w:val="ListBullet"/>
        <w:spacing w:after="80"/>
      </w:pPr>
      <w:r>
        <w:rPr>
          <w:rFonts w:ascii="Arial" w:hAnsi="Arial"/>
          <w:sz w:val="20"/>
        </w:rPr>
        <w:t>El reparto de ponentes es una propuesta; puede intercambiarse sin tocar el contenido.</w:t>
      </w:r>
    </w:p>
    <w:p>
      <w:r>
        <w:br w:type="page"/>
      </w:r>
    </w:p>
    <w:p>
      <w:pPr>
        <w:spacing w:before="280" w:after="40"/>
      </w:pPr>
      <w:r>
        <w:rPr>
          <w:rFonts w:ascii="Arial" w:hAnsi="Arial"/>
          <w:b/>
          <w:i w:val="0"/>
          <w:color w:val="219BC3"/>
          <w:sz w:val="28"/>
        </w:rPr>
        <w:t>APERTURA</w:t>
      </w:r>
    </w:p>
    <w:p>
      <w:pPr>
        <w:spacing w:before="0" w:after="200"/>
        <w:pBdr>
          <w:bottom w:val="single" w:sz="8" w:space="1" w:color="219BC3"/>
        </w:pBdr>
      </w:pPr>
    </w:p>
    <w:p>
      <w:pPr>
        <w:spacing w:before="160" w:after="80"/>
      </w:pPr>
      <w:r>
        <w:rPr>
          <w:rFonts w:ascii="Arial" w:hAnsi="Arial"/>
          <w:b/>
          <w:i w:val="0"/>
          <w:color w:val="00566C"/>
          <w:sz w:val="20"/>
        </w:rPr>
        <w:t>Diapositiva 1   ·   00:00 → 00:35   ·   35 s   ·   Christian</w:t>
      </w:r>
    </w:p>
    <w:p>
      <w:pPr>
        <w:spacing w:before="0" w:after="100"/>
        <w:jc w:val="both"/>
      </w:pPr>
      <w:r>
        <w:rPr>
          <w:rFonts w:ascii="Arial" w:hAnsi="Arial"/>
          <w:b w:val="0"/>
          <w:i w:val="0"/>
          <w:color w:val="1A1A1A"/>
          <w:sz w:val="21"/>
        </w:rPr>
        <w:t>Buenos días. Gracias, presidente, y gracias a los miembros del tribunal.</w:t>
      </w:r>
    </w:p>
    <w:p>
      <w:pPr>
        <w:spacing w:before="0" w:after="100"/>
        <w:jc w:val="both"/>
      </w:pPr>
      <w:r>
        <w:rPr>
          <w:rFonts w:ascii="Arial" w:hAnsi="Arial"/>
          <w:b w:val="0"/>
          <w:i w:val="0"/>
          <w:color w:val="1A1A1A"/>
          <w:sz w:val="21"/>
        </w:rPr>
        <w:t>Somos Christian Gutiérrez y Alvaro Gutiérrez. Defendemos nuestro Trabajo Fin de Máster en Análisis y Visualización de Datos Masivos, dirigido por el profesor Víctor D. Díaz Suárez: «Evaluación comparativa de SVM y DenseNet201 para la clasificación automática de enfermedades dermatológicas».</w:t>
      </w:r>
    </w:p>
    <w:p>
      <w:pPr>
        <w:spacing w:before="0" w:after="100"/>
        <w:jc w:val="both"/>
      </w:pPr>
      <w:r>
        <w:rPr>
          <w:rFonts w:ascii="Arial" w:hAnsi="Arial"/>
          <w:b w:val="0"/>
          <w:i w:val="0"/>
          <w:color w:val="1A1A1A"/>
          <w:sz w:val="21"/>
        </w:rPr>
        <w:t>La defensa es conjunta. Yo presento el contexto, la metodología y el análisis de los datos; Alvaro continúa con la preparación, el modelado, los resultados y las conclusiones.</w:t>
      </w:r>
    </w:p>
    <w:p>
      <w:pPr>
        <w:spacing w:before="160" w:after="80"/>
      </w:pPr>
      <w:r>
        <w:rPr>
          <w:rFonts w:ascii="Arial" w:hAnsi="Arial"/>
          <w:b/>
          <w:i w:val="0"/>
          <w:color w:val="00566C"/>
          <w:sz w:val="20"/>
        </w:rPr>
        <w:t>Diapositiva 2   ·   00:35 → 01:00   ·   25 s   ·   Christian</w:t>
      </w:r>
    </w:p>
    <w:p>
      <w:pPr>
        <w:spacing w:before="0" w:after="100"/>
        <w:jc w:val="both"/>
      </w:pPr>
      <w:r>
        <w:rPr>
          <w:rFonts w:ascii="Arial" w:hAnsi="Arial"/>
          <w:b w:val="0"/>
          <w:i w:val="0"/>
          <w:color w:val="1A1A1A"/>
          <w:sz w:val="21"/>
        </w:rPr>
        <w:t>Este es el recorrido, ajustado a los treinta minutos.</w:t>
      </w:r>
    </w:p>
    <w:p>
      <w:pPr>
        <w:spacing w:before="0" w:after="100"/>
        <w:jc w:val="both"/>
      </w:pPr>
      <w:r>
        <w:rPr>
          <w:rFonts w:ascii="Arial" w:hAnsi="Arial"/>
          <w:b w:val="0"/>
          <w:i w:val="0"/>
          <w:color w:val="1A1A1A"/>
          <w:sz w:val="21"/>
        </w:rPr>
        <w:t>Contexto clínico y estado del arte; objetivos y metodología CRISP-DM; y después las cuatro fases técnicas: comprensión de los datos, preparación, modelado y evaluación. Cerramos con conclusiones, limitaciones y trabajo futuro.</w:t>
      </w:r>
    </w:p>
    <w:p>
      <w:pPr>
        <w:spacing w:before="0" w:after="100"/>
        <w:jc w:val="both"/>
      </w:pPr>
      <w:r>
        <w:rPr>
          <w:rFonts w:ascii="Arial" w:hAnsi="Arial"/>
          <w:b w:val="0"/>
          <w:i w:val="0"/>
          <w:color w:val="1A1A1A"/>
          <w:sz w:val="21"/>
        </w:rPr>
        <w:t>Hemos repartido el tiempo entre las fases porque cada una aporta una decisión que condiciona el resultado final.</w:t>
      </w:r>
    </w:p>
    <w:p>
      <w:pPr>
        <w:spacing w:before="280" w:after="40"/>
      </w:pPr>
      <w:r>
        <w:rPr>
          <w:rFonts w:ascii="Arial" w:hAnsi="Arial"/>
          <w:b/>
          <w:i w:val="0"/>
          <w:color w:val="219BC3"/>
          <w:sz w:val="28"/>
        </w:rPr>
        <w:t>BLOQUE 01 — INTRODUCCIÓN Y CONTEXTO</w:t>
      </w:r>
    </w:p>
    <w:p>
      <w:pPr>
        <w:spacing w:before="0" w:after="200"/>
        <w:pBdr>
          <w:bottom w:val="single" w:sz="8" w:space="1" w:color="219BC3"/>
        </w:pBdr>
      </w:pPr>
    </w:p>
    <w:p>
      <w:pPr>
        <w:spacing w:before="160" w:after="80"/>
      </w:pPr>
      <w:r>
        <w:rPr>
          <w:rFonts w:ascii="Arial" w:hAnsi="Arial"/>
          <w:b/>
          <w:i w:val="0"/>
          <w:color w:val="00566C"/>
          <w:sz w:val="20"/>
        </w:rPr>
        <w:t>Diapositiva 3   ·   01:00 → 01:05   ·   5 s   ·   Christian</w:t>
      </w:r>
    </w:p>
    <w:p>
      <w:pPr>
        <w:spacing w:before="0" w:after="100"/>
        <w:jc w:val="both"/>
      </w:pPr>
      <w:r>
        <w:rPr>
          <w:rFonts w:ascii="Arial" w:hAnsi="Arial"/>
          <w:b w:val="0"/>
          <w:i w:val="0"/>
          <w:color w:val="1A1A1A"/>
          <w:sz w:val="21"/>
        </w:rPr>
        <w:t>Empezamos por el porqué del trabajo.</w:t>
      </w:r>
    </w:p>
    <w:p>
      <w:pPr>
        <w:spacing w:before="0" w:after="80"/>
      </w:pPr>
      <w:r>
        <w:rPr>
          <w:rFonts w:ascii="Arial" w:hAnsi="Arial"/>
          <w:b w:val="0"/>
          <w:i/>
          <w:color w:val="858591"/>
          <w:sz w:val="19"/>
        </w:rPr>
        <w:t>[Avanzar sin detenerse]</w:t>
      </w:r>
    </w:p>
    <w:p>
      <w:pPr>
        <w:spacing w:before="160" w:after="80"/>
      </w:pPr>
      <w:r>
        <w:rPr>
          <w:rFonts w:ascii="Arial" w:hAnsi="Arial"/>
          <w:b/>
          <w:i w:val="0"/>
          <w:color w:val="00566C"/>
          <w:sz w:val="20"/>
        </w:rPr>
        <w:t>Diapositiva 4   ·   01:05 → 02:05   ·   60 s   ·   Christian</w:t>
      </w:r>
    </w:p>
    <w:p>
      <w:pPr>
        <w:spacing w:before="0" w:after="100"/>
        <w:jc w:val="both"/>
      </w:pPr>
      <w:r>
        <w:rPr>
          <w:rFonts w:ascii="Arial" w:hAnsi="Arial"/>
          <w:b w:val="0"/>
          <w:i w:val="0"/>
          <w:color w:val="1A1A1A"/>
          <w:sz w:val="21"/>
        </w:rPr>
        <w:t>El cáncer de piel es un problema de salud pública creciente: más de trescientos treinta mil nuevos casos de melanoma al año en el mundo.</w:t>
      </w:r>
    </w:p>
    <w:p>
      <w:pPr>
        <w:spacing w:before="0" w:after="100"/>
        <w:jc w:val="both"/>
      </w:pPr>
      <w:r>
        <w:rPr>
          <w:rFonts w:ascii="Arial" w:hAnsi="Arial"/>
          <w:b w:val="0"/>
          <w:i w:val="0"/>
          <w:color w:val="1A1A1A"/>
          <w:sz w:val="21"/>
        </w:rPr>
        <w:t>La cifra clave es la segunda. Detectado en fase localizada, la supervivencia a cinco años supera el noventa y nueve por ciento. El diagnóstico temprano no mejora el pronóstico: lo determina.</w:t>
      </w:r>
    </w:p>
    <w:p>
      <w:pPr>
        <w:spacing w:before="0" w:after="100"/>
        <w:jc w:val="both"/>
      </w:pPr>
      <w:r>
        <w:rPr>
          <w:rFonts w:ascii="Arial" w:hAnsi="Arial"/>
          <w:b w:val="0"/>
          <w:i w:val="0"/>
          <w:color w:val="1A1A1A"/>
          <w:sz w:val="21"/>
        </w:rPr>
        <w:t>Pero el sistema no llega a tiempo. Ciento treinta y un días de espera media para una primera consulta de dermatología en el sistema público español. Y en la región andina, contexto de este trabajo, la incidencia de melanoma ha crecido más de un doscientos cincuenta por ciento.</w:t>
      </w:r>
    </w:p>
    <w:p>
      <w:pPr>
        <w:spacing w:before="0" w:after="100"/>
        <w:jc w:val="both"/>
      </w:pPr>
      <w:r>
        <w:rPr>
          <w:rFonts w:ascii="Arial" w:hAnsi="Arial"/>
          <w:b w:val="0"/>
          <w:i w:val="0"/>
          <w:color w:val="1A1A1A"/>
          <w:sz w:val="21"/>
        </w:rPr>
        <w:t>A ese cuello de botella se suma que el diagnóstico visual es subjetivo: variabilidad entre especialistas, solapamiento morfológico y degradación del rendimiento por fatiga.</w:t>
      </w:r>
    </w:p>
    <w:p>
      <w:pPr>
        <w:spacing w:before="0" w:after="100"/>
        <w:jc w:val="both"/>
      </w:pPr>
      <w:r>
        <w:rPr>
          <w:rFonts w:ascii="Arial" w:hAnsi="Arial"/>
          <w:b w:val="0"/>
          <w:i w:val="0"/>
          <w:color w:val="1A1A1A"/>
          <w:sz w:val="21"/>
        </w:rPr>
        <w:t>Ahí entra la inteligencia artificial. No para sustituir al dermatólogo, sino para darle una segunda opinión reproducible y disponible en segundos.</w:t>
      </w:r>
    </w:p>
    <w:p>
      <w:pPr>
        <w:spacing w:before="160" w:after="80"/>
      </w:pPr>
      <w:r>
        <w:rPr>
          <w:rFonts w:ascii="Arial" w:hAnsi="Arial"/>
          <w:b/>
          <w:i w:val="0"/>
          <w:color w:val="00566C"/>
          <w:sz w:val="20"/>
        </w:rPr>
        <w:t>Diapositiva 5   ·   02:05 → 03:05   ·   60 s   ·   Christian</w:t>
      </w:r>
    </w:p>
    <w:p>
      <w:pPr>
        <w:spacing w:before="0" w:after="100"/>
        <w:jc w:val="both"/>
      </w:pPr>
      <w:r>
        <w:rPr>
          <w:rFonts w:ascii="Arial" w:hAnsi="Arial"/>
          <w:b w:val="0"/>
          <w:i w:val="0"/>
          <w:color w:val="1A1A1A"/>
          <w:sz w:val="21"/>
        </w:rPr>
        <w:t>Antes de hablar de algoritmos queremos fijar el criterio con el que los juzgamos. Es la decisión de diseño más importante del trabajo.</w:t>
      </w:r>
    </w:p>
    <w:p>
      <w:pPr>
        <w:spacing w:before="0" w:after="100"/>
        <w:jc w:val="both"/>
      </w:pPr>
      <w:r>
        <w:rPr>
          <w:rFonts w:ascii="Arial" w:hAnsi="Arial"/>
          <w:b w:val="0"/>
          <w:i w:val="0"/>
          <w:color w:val="1A1A1A"/>
          <w:sz w:val="21"/>
        </w:rPr>
        <w:t>En un problema oncológico los dos errores no cuestan lo mismo. Un falso negativo —una lesión maligna clasificada como benigna— retrasa la intervención sobre un tumor que puede hacer metástasis. Es inasumible.</w:t>
      </w:r>
    </w:p>
    <w:p>
      <w:pPr>
        <w:spacing w:before="0" w:after="100"/>
        <w:jc w:val="both"/>
      </w:pPr>
      <w:r>
        <w:rPr>
          <w:rFonts w:ascii="Arial" w:hAnsi="Arial"/>
          <w:b w:val="0"/>
          <w:i w:val="0"/>
          <w:color w:val="1A1A1A"/>
          <w:sz w:val="21"/>
        </w:rPr>
        <w:t>Un falso positivo genera una derivación innecesaria. Consume recursos, pero es un coste recuperable.</w:t>
      </w:r>
    </w:p>
    <w:p>
      <w:pPr>
        <w:spacing w:before="0" w:after="100"/>
        <w:jc w:val="both"/>
      </w:pPr>
      <w:r>
        <w:rPr>
          <w:rFonts w:ascii="Arial" w:hAnsi="Arial"/>
          <w:b w:val="0"/>
          <w:i w:val="0"/>
          <w:color w:val="1A1A1A"/>
          <w:sz w:val="21"/>
        </w:rPr>
        <w:t>Consecuencia directa: nuestra métrica principal no puede ser el accuracy. Es la Sensibilidad, el recall sobre la clase maligna, acompañada del F1 macro y del AUC-ROC, que son robustos frente al desbalance. El accuracy queda como referencia secundaria.</w:t>
      </w:r>
    </w:p>
    <w:p>
      <w:pPr>
        <w:spacing w:before="0" w:after="100"/>
        <w:jc w:val="both"/>
      </w:pPr>
      <w:r>
        <w:rPr>
          <w:rFonts w:ascii="Arial" w:hAnsi="Arial"/>
          <w:b w:val="0"/>
          <w:i w:val="0"/>
          <w:color w:val="1A1A1A"/>
          <w:sz w:val="21"/>
        </w:rPr>
        <w:t>Con ese criterio, la pregunta de investigación es: ¿qué paradigma detecta más lesiones malignas sin degradar de forma inaceptable el resto de métricas?</w:t>
      </w:r>
    </w:p>
    <w:p>
      <w:pPr>
        <w:spacing w:before="160" w:after="80"/>
      </w:pPr>
      <w:r>
        <w:rPr>
          <w:rFonts w:ascii="Arial" w:hAnsi="Arial"/>
          <w:b/>
          <w:i w:val="0"/>
          <w:color w:val="00566C"/>
          <w:sz w:val="20"/>
        </w:rPr>
        <w:t>Diapositiva 6   ·   03:05 → 04:05   ·   60 s   ·   Christian</w:t>
      </w:r>
    </w:p>
    <w:p>
      <w:pPr>
        <w:spacing w:before="0" w:after="100"/>
        <w:jc w:val="both"/>
      </w:pPr>
      <w:r>
        <w:rPr>
          <w:rFonts w:ascii="Arial" w:hAnsi="Arial"/>
          <w:b w:val="0"/>
          <w:i w:val="0"/>
          <w:color w:val="1A1A1A"/>
          <w:sz w:val="21"/>
        </w:rPr>
        <w:t>Del estado del arte seleccionamos cinco trabajos de referencia.</w:t>
      </w:r>
    </w:p>
    <w:p>
      <w:pPr>
        <w:spacing w:before="0" w:after="100"/>
        <w:jc w:val="both"/>
      </w:pPr>
      <w:r>
        <w:rPr>
          <w:rFonts w:ascii="Arial" w:hAnsi="Arial"/>
          <w:b w:val="0"/>
          <w:i w:val="0"/>
          <w:color w:val="1A1A1A"/>
          <w:sz w:val="21"/>
        </w:rPr>
        <w:t>Bechelli y Delhommelle plantean en 2022 la misma comparativa de paradigmas que nosotros y concluyen que el Deep Learning gana en precisión, con un ochenta y tres coma seis por ciento.</w:t>
      </w:r>
    </w:p>
    <w:p>
      <w:pPr>
        <w:spacing w:before="0" w:after="100"/>
        <w:jc w:val="both"/>
      </w:pPr>
      <w:r>
        <w:rPr>
          <w:rFonts w:ascii="Arial" w:hAnsi="Arial"/>
          <w:b w:val="0"/>
          <w:i w:val="0"/>
          <w:color w:val="1A1A1A"/>
          <w:sz w:val="21"/>
        </w:rPr>
        <w:t>Sönmez y colaboradores, sobre nuestro mismo dataset, obtienen ochenta coma setenta y nueve con MobileNetV2. Çevik y Zengin llegan al ochenta y cinco coma sesenta y dos con una CNN personalizada.</w:t>
      </w:r>
    </w:p>
    <w:p>
      <w:pPr>
        <w:spacing w:before="0" w:after="100"/>
        <w:jc w:val="both"/>
      </w:pPr>
      <w:r>
        <w:rPr>
          <w:rFonts w:ascii="Arial" w:hAnsi="Arial"/>
          <w:b w:val="0"/>
          <w:i w:val="0"/>
          <w:color w:val="1A1A1A"/>
          <w:sz w:val="21"/>
        </w:rPr>
        <w:t>El antecedente más cercano es el TFG de Sánchez Sánchez, de 2024: mismo dataset y, sobre todo, mismo criterio que nosotros, priorizar el recall en clases cancerígenas.</w:t>
      </w:r>
    </w:p>
    <w:p>
      <w:pPr>
        <w:spacing w:before="0" w:after="100"/>
        <w:jc w:val="both"/>
      </w:pPr>
      <w:r>
        <w:rPr>
          <w:rFonts w:ascii="Arial" w:hAnsi="Arial"/>
          <w:b w:val="0"/>
          <w:i w:val="0"/>
          <w:color w:val="1A1A1A"/>
          <w:sz w:val="21"/>
        </w:rPr>
        <w:t>Y Goceri usa nuestro mismo backbone, DenseNet201, sobre imágenes previamente segmentadas.</w:t>
      </w:r>
    </w:p>
    <w:p>
      <w:pPr>
        <w:spacing w:before="0" w:after="100"/>
        <w:jc w:val="both"/>
      </w:pPr>
      <w:r>
        <w:rPr>
          <w:rFonts w:ascii="Arial" w:hAnsi="Arial"/>
          <w:b w:val="0"/>
          <w:i w:val="0"/>
          <w:color w:val="1A1A1A"/>
          <w:sz w:val="21"/>
        </w:rPr>
        <w:t>¿Qué hueco deja esta revisión? Casi todos optimizan accuracy sobre siete clases, y ninguno compara el mismo modelo bajo dos estrategias de datos poniendo la sensibilidad clínica por delante.</w:t>
      </w:r>
    </w:p>
    <w:p>
      <w:pPr>
        <w:spacing w:before="160" w:after="80"/>
      </w:pPr>
      <w:r>
        <w:rPr>
          <w:rFonts w:ascii="Arial" w:hAnsi="Arial"/>
          <w:b/>
          <w:i w:val="0"/>
          <w:color w:val="00566C"/>
          <w:sz w:val="20"/>
        </w:rPr>
        <w:t>Diapositiva 7   ·   04:05 → 05:00   ·   55 s   ·   Christian</w:t>
      </w:r>
    </w:p>
    <w:p>
      <w:pPr>
        <w:spacing w:before="0" w:after="100"/>
        <w:jc w:val="both"/>
      </w:pPr>
      <w:r>
        <w:rPr>
          <w:rFonts w:ascii="Arial" w:hAnsi="Arial"/>
          <w:b w:val="0"/>
          <w:i w:val="0"/>
          <w:color w:val="1A1A1A"/>
          <w:sz w:val="21"/>
        </w:rPr>
        <w:t>El objetivo general es desarrollar y evaluar una comparativa de soluciones de Inteligencia Artificial para clasificar lesiones dermatológicas, contrastando Support Vector Machine frente a DenseNet201, para determinar el modelo óptimo y escalable en un entorno sanitario.</w:t>
      </w:r>
    </w:p>
    <w:p>
      <w:pPr>
        <w:spacing w:before="0" w:after="100"/>
        <w:jc w:val="both"/>
      </w:pPr>
      <w:r>
        <w:rPr>
          <w:rFonts w:ascii="Arial" w:hAnsi="Arial"/>
          <w:b w:val="0"/>
          <w:i w:val="0"/>
          <w:color w:val="1A1A1A"/>
          <w:sz w:val="21"/>
        </w:rPr>
        <w:t>Se desglosa en cinco objetivos específicos que se corresponden uno a uno con las fases del trabajo.</w:t>
      </w:r>
    </w:p>
    <w:p>
      <w:pPr>
        <w:spacing w:before="0" w:after="100"/>
        <w:jc w:val="both"/>
      </w:pPr>
      <w:r>
        <w:rPr>
          <w:rFonts w:ascii="Arial" w:hAnsi="Arial"/>
          <w:b w:val="0"/>
          <w:i w:val="0"/>
          <w:color w:val="1A1A1A"/>
          <w:sz w:val="21"/>
        </w:rPr>
        <w:t>Análisis exploratorio para identificar sesgos. Pipeline de preprocesamiento con balanceo de clases. Pipeline de Machine Learning tradicional con SVM. Pipeline de Deep Learning con Transfer Learning. Y la comparativa con métricas clínicas, contrastada con los trabajos relacionados.</w:t>
      </w:r>
    </w:p>
    <w:p>
      <w:pPr>
        <w:spacing w:before="0" w:after="100"/>
        <w:jc w:val="both"/>
      </w:pPr>
      <w:r>
        <w:rPr>
          <w:rFonts w:ascii="Arial" w:hAnsi="Arial"/>
          <w:b w:val="0"/>
          <w:i w:val="0"/>
          <w:color w:val="1A1A1A"/>
          <w:sz w:val="21"/>
        </w:rPr>
        <w:t>En las conclusiones volveremos sobre esta lista para verificar su cumplimiento.</w:t>
      </w:r>
    </w:p>
    <w:p>
      <w:pPr>
        <w:spacing w:before="280" w:after="40"/>
      </w:pPr>
      <w:r>
        <w:rPr>
          <w:rFonts w:ascii="Arial" w:hAnsi="Arial"/>
          <w:b/>
          <w:i w:val="0"/>
          <w:color w:val="219BC3"/>
          <w:sz w:val="28"/>
        </w:rPr>
        <w:t>BLOQUE 02 — METODOLOGÍA</w:t>
      </w:r>
    </w:p>
    <w:p>
      <w:pPr>
        <w:spacing w:before="0" w:after="200"/>
        <w:pBdr>
          <w:bottom w:val="single" w:sz="8" w:space="1" w:color="219BC3"/>
        </w:pBdr>
      </w:pPr>
    </w:p>
    <w:p>
      <w:pPr>
        <w:spacing w:before="160" w:after="80"/>
      </w:pPr>
      <w:r>
        <w:rPr>
          <w:rFonts w:ascii="Arial" w:hAnsi="Arial"/>
          <w:b/>
          <w:i w:val="0"/>
          <w:color w:val="00566C"/>
          <w:sz w:val="20"/>
        </w:rPr>
        <w:t>Diapositiva 8   ·   05:00 → 05:05   ·   5 s   ·   Christian</w:t>
      </w:r>
    </w:p>
    <w:p>
      <w:pPr>
        <w:spacing w:before="0" w:after="100"/>
        <w:jc w:val="both"/>
      </w:pPr>
      <w:r>
        <w:rPr>
          <w:rFonts w:ascii="Arial" w:hAnsi="Arial"/>
          <w:b w:val="0"/>
          <w:i w:val="0"/>
          <w:color w:val="1A1A1A"/>
          <w:sz w:val="21"/>
        </w:rPr>
        <w:t>Pasamos a la metodología.</w:t>
      </w:r>
    </w:p>
    <w:p>
      <w:pPr>
        <w:spacing w:before="0" w:after="80"/>
      </w:pPr>
      <w:r>
        <w:rPr>
          <w:rFonts w:ascii="Arial" w:hAnsi="Arial"/>
          <w:b w:val="0"/>
          <w:i/>
          <w:color w:val="858591"/>
          <w:sz w:val="19"/>
        </w:rPr>
        <w:t>[Avanzar sin detenerse]</w:t>
      </w:r>
    </w:p>
    <w:p>
      <w:pPr>
        <w:spacing w:before="160" w:after="80"/>
      </w:pPr>
      <w:r>
        <w:rPr>
          <w:rFonts w:ascii="Arial" w:hAnsi="Arial"/>
          <w:b/>
          <w:i w:val="0"/>
          <w:color w:val="00566C"/>
          <w:sz w:val="20"/>
        </w:rPr>
        <w:t>Diapositiva 9   ·   05:05 → 06:05   ·   60 s   ·   Christian</w:t>
      </w:r>
    </w:p>
    <w:p>
      <w:pPr>
        <w:spacing w:before="0" w:after="100"/>
        <w:jc w:val="both"/>
      </w:pPr>
      <w:r>
        <w:rPr>
          <w:rFonts w:ascii="Arial" w:hAnsi="Arial"/>
          <w:b w:val="0"/>
          <w:i w:val="0"/>
          <w:color w:val="1A1A1A"/>
          <w:sz w:val="21"/>
        </w:rPr>
        <w:t>El proyecto sigue el ciclo CRISP-DM, estándar en minería de datos, adaptado a imágenes médicas.</w:t>
      </w:r>
    </w:p>
    <w:p>
      <w:pPr>
        <w:spacing w:before="0" w:after="100"/>
        <w:jc w:val="both"/>
      </w:pPr>
      <w:r>
        <w:rPr>
          <w:rFonts w:ascii="Arial" w:hAnsi="Arial"/>
          <w:b w:val="0"/>
          <w:i w:val="0"/>
          <w:color w:val="1A1A1A"/>
          <w:sz w:val="21"/>
        </w:rPr>
        <w:t>En la comprensión del negocio fijamos los criterios de éxito clínicos que acabamos de ver. En la comprensión de los datos hacemos el análisis exploratorio. En la preparación aplicamos limpieza, partición agrupada por lesión y balanceo.</w:t>
      </w:r>
    </w:p>
    <w:p>
      <w:pPr>
        <w:spacing w:before="0" w:after="100"/>
        <w:jc w:val="both"/>
      </w:pPr>
      <w:r>
        <w:rPr>
          <w:rFonts w:ascii="Arial" w:hAnsi="Arial"/>
          <w:b w:val="0"/>
          <w:i w:val="0"/>
          <w:color w:val="1A1A1A"/>
          <w:sz w:val="21"/>
        </w:rPr>
        <w:t>El modelado desarrolla los dos algoritmos, cada uno en dos escenarios de datos. La evaluación aplica las métricas clínicas y la validación cruzada. Y la implementación cierra con código reproducible y conformidad normativa.</w:t>
      </w:r>
    </w:p>
    <w:p>
      <w:pPr>
        <w:spacing w:before="0" w:after="100"/>
        <w:jc w:val="both"/>
      </w:pPr>
      <w:r>
        <w:rPr>
          <w:rFonts w:ascii="Arial" w:hAnsi="Arial"/>
          <w:b w:val="0"/>
          <w:i w:val="0"/>
          <w:color w:val="1A1A1A"/>
          <w:sz w:val="21"/>
        </w:rPr>
        <w:t>Un detalle importante: todos los experimentos comparten semilla, equipo y criterios de evaluación. Eso nos permite atribuir las diferencias a la estrategia de datos y no al azar.</w:t>
      </w:r>
    </w:p>
    <w:p>
      <w:pPr>
        <w:spacing w:before="160" w:after="80"/>
      </w:pPr>
      <w:r>
        <w:rPr>
          <w:rFonts w:ascii="Arial" w:hAnsi="Arial"/>
          <w:b/>
          <w:i w:val="0"/>
          <w:color w:val="00566C"/>
          <w:sz w:val="20"/>
        </w:rPr>
        <w:t>Diapositiva 10   ·   06:05 → 07:05   ·   60 s   ·   Christian</w:t>
      </w:r>
    </w:p>
    <w:p>
      <w:pPr>
        <w:spacing w:before="0" w:after="100"/>
        <w:jc w:val="both"/>
      </w:pPr>
      <w:r>
        <w:rPr>
          <w:rFonts w:ascii="Arial" w:hAnsi="Arial"/>
          <w:b w:val="0"/>
          <w:i w:val="0"/>
          <w:color w:val="1A1A1A"/>
          <w:sz w:val="21"/>
        </w:rPr>
        <w:t>El diseño experimental es una matriz de dos por dos: cuatro experimentos.</w:t>
      </w:r>
    </w:p>
    <w:p>
      <w:pPr>
        <w:spacing w:before="0" w:after="100"/>
        <w:jc w:val="both"/>
      </w:pPr>
      <w:r>
        <w:rPr>
          <w:rFonts w:ascii="Arial" w:hAnsi="Arial"/>
          <w:b w:val="0"/>
          <w:i w:val="0"/>
          <w:color w:val="1A1A1A"/>
          <w:sz w:val="21"/>
        </w:rPr>
        <w:t>Las filas son los algoritmos: arriba el SVM, línea base de Machine Learning clásico; abajo DenseNet201, entrenada mediante Transfer Learning.</w:t>
      </w:r>
    </w:p>
    <w:p>
      <w:pPr>
        <w:spacing w:before="0" w:after="100"/>
        <w:jc w:val="both"/>
      </w:pPr>
      <w:r>
        <w:rPr>
          <w:rFonts w:ascii="Arial" w:hAnsi="Arial"/>
          <w:b w:val="0"/>
          <w:i w:val="0"/>
          <w:color w:val="1A1A1A"/>
          <w:sz w:val="21"/>
        </w:rPr>
        <w:t>Las columnas son las estrategias de datos. El Escenario 1 usa el dataset multiclase original: siete clases, diez mil quince imágenes, con el desbalance real de cuatro a uno. El Escenario 2 reformula el problema en binario y equilibra las clases por submuestreo: tres mil novecientas ocho imágenes, mitad y mitad.</w:t>
      </w:r>
    </w:p>
    <w:p>
      <w:pPr>
        <w:spacing w:before="0" w:after="100"/>
        <w:jc w:val="both"/>
      </w:pPr>
      <w:r>
        <w:rPr>
          <w:rFonts w:ascii="Arial" w:hAnsi="Arial"/>
          <w:b w:val="0"/>
          <w:i w:val="0"/>
          <w:color w:val="1A1A1A"/>
          <w:sz w:val="21"/>
        </w:rPr>
        <w:t>Este diseño aísla dos efectos por separado: el del algoritmo, comparando filas; y el de la estrategia de datos, comparando columnas.</w:t>
      </w:r>
    </w:p>
    <w:p>
      <w:pPr>
        <w:spacing w:before="0" w:after="100"/>
        <w:jc w:val="both"/>
      </w:pPr>
      <w:r>
        <w:rPr>
          <w:rFonts w:ascii="Arial" w:hAnsi="Arial"/>
          <w:b w:val="0"/>
          <w:i w:val="0"/>
          <w:color w:val="1A1A1A"/>
          <w:sz w:val="21"/>
        </w:rPr>
        <w:t>La comparación decisiva se hace sobre la misma tarea binaria: el SVM del Escenario 2 frente a la Cabeza A de DenseNet201, que ahora explicaremos.</w:t>
      </w:r>
    </w:p>
    <w:p>
      <w:pPr>
        <w:spacing w:before="160" w:after="80"/>
      </w:pPr>
      <w:r>
        <w:rPr>
          <w:rFonts w:ascii="Arial" w:hAnsi="Arial"/>
          <w:b/>
          <w:i w:val="0"/>
          <w:color w:val="00566C"/>
          <w:sz w:val="20"/>
        </w:rPr>
        <w:t>Diapositiva 11   ·   07:05 → 08:00   ·   55 s   ·   Christian</w:t>
      </w:r>
    </w:p>
    <w:p>
      <w:pPr>
        <w:spacing w:before="0" w:after="100"/>
        <w:jc w:val="both"/>
      </w:pPr>
      <w:r>
        <w:rPr>
          <w:rFonts w:ascii="Arial" w:hAnsi="Arial"/>
          <w:b w:val="0"/>
          <w:i w:val="0"/>
          <w:color w:val="1A1A1A"/>
          <w:sz w:val="21"/>
        </w:rPr>
        <w:t>El trabajo se enmarca en la normativa ecuatoriana, porque lo orientamos a su viabilidad real allí.</w:t>
      </w:r>
    </w:p>
    <w:p>
      <w:pPr>
        <w:spacing w:before="0" w:after="100"/>
        <w:jc w:val="both"/>
      </w:pPr>
      <w:r>
        <w:rPr>
          <w:rFonts w:ascii="Arial" w:hAnsi="Arial"/>
          <w:b w:val="0"/>
          <w:i w:val="0"/>
          <w:color w:val="1A1A1A"/>
          <w:sz w:val="21"/>
        </w:rPr>
        <w:t>En privacidad aplica la LOPDP. Su artículo veinticinco clasifica los datos de salud como sensibles. Usamos HAM10000, que se distribuye con licencia académica abierta y está anonimizado, así que el riesgo de reidentificación queda prácticamente eliminado.</w:t>
      </w:r>
    </w:p>
    <w:p>
      <w:pPr>
        <w:spacing w:before="0" w:after="100"/>
        <w:jc w:val="both"/>
      </w:pPr>
      <w:r>
        <w:rPr>
          <w:rFonts w:ascii="Arial" w:hAnsi="Arial"/>
          <w:b w:val="0"/>
          <w:i w:val="0"/>
          <w:color w:val="1A1A1A"/>
          <w:sz w:val="21"/>
        </w:rPr>
        <w:t>En regulación sanitaria, cualquier software diagnóstico cae bajo el Ministerio de Salud Pública y la ARCSA. Esto es una Prueba de Concepto académica, pero queremos dejar claro qué haría falta para un despliegue real: Registro Sanitario de Dispositivo Médico y, sobre todo, que el sistema nunca opere de forma autónoma. Siempre human-in-the-loop.</w:t>
      </w:r>
    </w:p>
    <w:p>
      <w:pPr>
        <w:spacing w:before="0" w:after="100"/>
        <w:jc w:val="both"/>
      </w:pPr>
      <w:r>
        <w:rPr>
          <w:rFonts w:ascii="Arial" w:hAnsi="Arial"/>
          <w:b w:val="0"/>
          <w:i w:val="0"/>
          <w:color w:val="1A1A1A"/>
          <w:sz w:val="21"/>
        </w:rPr>
        <w:t>Y el punto ético más incómodo, que preferimos poner por delante: HAM10000 procede de poblaciones de piel clara, y la demografía ecuatoriana no lo es. Volveremos sobre ello en las limitaciones.</w:t>
      </w:r>
    </w:p>
    <w:p>
      <w:pPr>
        <w:spacing w:before="280" w:after="40"/>
      </w:pPr>
      <w:r>
        <w:rPr>
          <w:rFonts w:ascii="Arial" w:hAnsi="Arial"/>
          <w:b/>
          <w:i w:val="0"/>
          <w:color w:val="219BC3"/>
          <w:sz w:val="28"/>
        </w:rPr>
        <w:t>BLOQUE 03 — COMPRENSIÓN DE LOS DATOS</w:t>
      </w:r>
    </w:p>
    <w:p>
      <w:pPr>
        <w:spacing w:before="0" w:after="200"/>
        <w:pBdr>
          <w:bottom w:val="single" w:sz="8" w:space="1" w:color="219BC3"/>
        </w:pBdr>
      </w:pPr>
    </w:p>
    <w:p>
      <w:pPr>
        <w:spacing w:before="160" w:after="80"/>
      </w:pPr>
      <w:r>
        <w:rPr>
          <w:rFonts w:ascii="Arial" w:hAnsi="Arial"/>
          <w:b/>
          <w:i w:val="0"/>
          <w:color w:val="00566C"/>
          <w:sz w:val="20"/>
        </w:rPr>
        <w:t>Diapositiva 12   ·   08:00 → 08:05   ·   5 s   ·   Christian</w:t>
      </w:r>
    </w:p>
    <w:p>
      <w:pPr>
        <w:spacing w:before="0" w:after="100"/>
        <w:jc w:val="both"/>
      </w:pPr>
      <w:r>
        <w:rPr>
          <w:rFonts w:ascii="Arial" w:hAnsi="Arial"/>
          <w:b w:val="0"/>
          <w:i w:val="0"/>
          <w:color w:val="1A1A1A"/>
          <w:sz w:val="21"/>
        </w:rPr>
        <w:t>Entramos en la primera fase técnica: la comprensión de los datos.</w:t>
      </w:r>
    </w:p>
    <w:p>
      <w:pPr>
        <w:spacing w:before="0" w:after="80"/>
      </w:pPr>
      <w:r>
        <w:rPr>
          <w:rFonts w:ascii="Arial" w:hAnsi="Arial"/>
          <w:b w:val="0"/>
          <w:i/>
          <w:color w:val="858591"/>
          <w:sz w:val="19"/>
        </w:rPr>
        <w:t>[Avanzar sin detenerse]</w:t>
      </w:r>
    </w:p>
    <w:p>
      <w:pPr>
        <w:spacing w:before="160" w:after="80"/>
      </w:pPr>
      <w:r>
        <w:rPr>
          <w:rFonts w:ascii="Arial" w:hAnsi="Arial"/>
          <w:b/>
          <w:i w:val="0"/>
          <w:color w:val="00566C"/>
          <w:sz w:val="20"/>
        </w:rPr>
        <w:t>Diapositiva 13   ·   08:05 → 09:00   ·   55 s   ·   Christian</w:t>
      </w:r>
    </w:p>
    <w:p>
      <w:pPr>
        <w:spacing w:before="0" w:after="100"/>
        <w:jc w:val="both"/>
      </w:pPr>
      <w:r>
        <w:rPr>
          <w:rFonts w:ascii="Arial" w:hAnsi="Arial"/>
          <w:b w:val="0"/>
          <w:i w:val="0"/>
          <w:color w:val="1A1A1A"/>
          <w:sz w:val="21"/>
        </w:rPr>
        <w:t>Trabajamos sobre HAM10000, el repositorio dermatoscópico de referencia y base del reto ISIC 2018.</w:t>
      </w:r>
    </w:p>
    <w:p>
      <w:pPr>
        <w:spacing w:before="0" w:after="100"/>
        <w:jc w:val="both"/>
      </w:pPr>
      <w:r>
        <w:rPr>
          <w:rFonts w:ascii="Arial" w:hAnsi="Arial"/>
          <w:b w:val="0"/>
          <w:i w:val="0"/>
          <w:color w:val="1A1A1A"/>
          <w:sz w:val="21"/>
        </w:rPr>
        <w:t>Diez mil quince imágenes en alta resolución, siete clases diagnósticas y cuatro metadatos clínicos: edad, sexo, localización anatómica y método de confirmación del diagnóstico.</w:t>
      </w:r>
    </w:p>
    <w:p>
      <w:pPr>
        <w:spacing w:before="0" w:after="100"/>
        <w:jc w:val="both"/>
      </w:pPr>
      <w:r>
        <w:rPr>
          <w:rFonts w:ascii="Arial" w:hAnsi="Arial"/>
          <w:b w:val="0"/>
          <w:i w:val="0"/>
          <w:color w:val="1A1A1A"/>
          <w:sz w:val="21"/>
        </w:rPr>
        <w:t>Se recopiló durante veinte años en la Universidad Médica de Viena y en una consulta privada de Queensland. Las etiquetas proceden de histopatología, seguimiento clínico, confocal o consenso de expertos, y la variable dx_type registra cuál se usó en cada caso.</w:t>
      </w:r>
    </w:p>
    <w:p>
      <w:pPr>
        <w:spacing w:before="0" w:after="100"/>
        <w:jc w:val="both"/>
      </w:pPr>
      <w:r>
        <w:rPr>
          <w:rFonts w:ascii="Arial" w:hAnsi="Arial"/>
          <w:b w:val="0"/>
          <w:i w:val="0"/>
          <w:color w:val="1A1A1A"/>
          <w:sz w:val="21"/>
        </w:rPr>
        <w:t>Un detalle estructural que resultará determinante: una misma lesión puede aparecer con varias imágenes. Mil novecientas cincuenta y seis lesiones están en esa situación. Es una relación uno-a-muchos que, sin controlar, provoca fuga de información.</w:t>
      </w:r>
    </w:p>
    <w:p>
      <w:pPr>
        <w:spacing w:before="160" w:after="80"/>
      </w:pPr>
      <w:r>
        <w:rPr>
          <w:rFonts w:ascii="Arial" w:hAnsi="Arial"/>
          <w:b/>
          <w:i w:val="0"/>
          <w:color w:val="00566C"/>
          <w:sz w:val="20"/>
        </w:rPr>
        <w:t>Diapositiva 14   ·   09:00 → 10:05   ·   65 s   ·   Christian</w:t>
      </w:r>
    </w:p>
    <w:p>
      <w:pPr>
        <w:spacing w:before="0" w:after="100"/>
        <w:jc w:val="both"/>
      </w:pPr>
      <w:r>
        <w:rPr>
          <w:rFonts w:ascii="Arial" w:hAnsi="Arial"/>
          <w:b w:val="0"/>
          <w:i w:val="0"/>
          <w:color w:val="1A1A1A"/>
          <w:sz w:val="21"/>
        </w:rPr>
        <w:t>Este es el hallazgo más determinante del análisis exploratorio.</w:t>
      </w:r>
    </w:p>
    <w:p>
      <w:pPr>
        <w:spacing w:before="0" w:after="100"/>
        <w:jc w:val="both"/>
      </w:pPr>
      <w:r>
        <w:rPr>
          <w:rFonts w:ascii="Arial" w:hAnsi="Arial"/>
          <w:b w:val="0"/>
          <w:i w:val="0"/>
          <w:color w:val="1A1A1A"/>
          <w:sz w:val="21"/>
        </w:rPr>
        <w:t>El nevus melanocítico representa el sesenta y seis coma nueve por ciento de todas las imágenes. En el extremo opuesto, dermatofibroma y lesión vascular apenas superan el uno por ciento.</w:t>
      </w:r>
    </w:p>
    <w:p>
      <w:pPr>
        <w:spacing w:before="0" w:after="100"/>
        <w:jc w:val="both"/>
      </w:pPr>
      <w:r>
        <w:rPr>
          <w:rFonts w:ascii="Arial" w:hAnsi="Arial"/>
          <w:b w:val="0"/>
          <w:i w:val="0"/>
          <w:color w:val="1A1A1A"/>
          <w:sz w:val="21"/>
        </w:rPr>
        <w:t>Y aquí está lo perverso: en rojo tienen las clases malignas o premalignas. Melanoma, once coma uno por ciento; carcinoma basocelular, cinco coma uno; queratosis actínica, tres coma tres. Las clases menos representadas son precisamente las de mayor relevancia clínica. En total, mil novecientas cincuenta y cuatro imágenes malignas frente a ocho mil sesenta y una benignas: cuatro coma uno a uno.</w:t>
      </w:r>
    </w:p>
    <w:p>
      <w:pPr>
        <w:spacing w:before="0" w:after="100"/>
        <w:jc w:val="both"/>
      </w:pPr>
      <w:r>
        <w:rPr>
          <w:rFonts w:ascii="Arial" w:hAnsi="Arial"/>
          <w:b w:val="0"/>
          <w:i w:val="0"/>
          <w:color w:val="1A1A1A"/>
          <w:sz w:val="21"/>
        </w:rPr>
        <w:t>La consecuencia es inmediata: un clasificador que etiquetase todo como «nevus» obtendría un sesenta y seis coma nueve por ciento de accuracy sin haber aprendido nada. Por eso el accuracy engaña aquí.</w:t>
      </w:r>
    </w:p>
    <w:p>
      <w:pPr>
        <w:spacing w:before="0" w:after="100"/>
        <w:jc w:val="both"/>
      </w:pPr>
      <w:r>
        <w:rPr>
          <w:rFonts w:ascii="Arial" w:hAnsi="Arial"/>
          <w:b w:val="0"/>
          <w:i w:val="0"/>
          <w:color w:val="1A1A1A"/>
          <w:sz w:val="21"/>
        </w:rPr>
        <w:t>Conviene señalar que esta distribución no es un error de recopilación: refleja la prevalencia clínica real. Pero desde el aprendizaje automático hay que corregirla.</w:t>
      </w:r>
    </w:p>
    <w:p>
      <w:pPr>
        <w:spacing w:before="160" w:after="80"/>
      </w:pPr>
      <w:r>
        <w:rPr>
          <w:rFonts w:ascii="Arial" w:hAnsi="Arial"/>
          <w:b/>
          <w:i w:val="0"/>
          <w:color w:val="00566C"/>
          <w:sz w:val="20"/>
        </w:rPr>
        <w:t>Diapositiva 15   ·   10:05 → 11:00   ·   55 s   ·   Christian</w:t>
      </w:r>
    </w:p>
    <w:p>
      <w:pPr>
        <w:spacing w:before="0" w:after="100"/>
        <w:jc w:val="both"/>
      </w:pPr>
      <w:r>
        <w:rPr>
          <w:rFonts w:ascii="Arial" w:hAnsi="Arial"/>
          <w:b w:val="0"/>
          <w:i w:val="0"/>
          <w:color w:val="1A1A1A"/>
          <w:sz w:val="21"/>
        </w:rPr>
        <w:t>El segundo hallazgo viene de los metadatos.</w:t>
      </w:r>
    </w:p>
    <w:p>
      <w:pPr>
        <w:spacing w:before="0" w:after="100"/>
        <w:jc w:val="both"/>
      </w:pPr>
      <w:r>
        <w:rPr>
          <w:rFonts w:ascii="Arial" w:hAnsi="Arial"/>
          <w:b w:val="0"/>
          <w:i w:val="0"/>
          <w:color w:val="1A1A1A"/>
          <w:sz w:val="21"/>
        </w:rPr>
        <w:t>La edad es la covariable más informativa. Media de cincuenta y uno coma ocho cinco años, mediana de cincuenta. Pero lo relevante es la diferencia entre clases: el test de Kruskal-Wallis da un estadístico de dos mil doscientos noventa y cinco, con p menor que cero coma cero cero cero uno.</w:t>
      </w:r>
    </w:p>
    <w:p>
      <w:pPr>
        <w:spacing w:before="0" w:after="100"/>
        <w:jc w:val="both"/>
      </w:pPr>
      <w:r>
        <w:rPr>
          <w:rFonts w:ascii="Arial" w:hAnsi="Arial"/>
          <w:b w:val="0"/>
          <w:i w:val="0"/>
          <w:color w:val="1A1A1A"/>
          <w:sz w:val="21"/>
        </w:rPr>
        <w:t>En los gráficos se ve con claridad: las clases malignas por daño solar crónico —basocelular y queratosis actínica— tienen mediana de setenta años, frente a los cuarenta y cinco del nevus. Y la correlación de la edad con la malignidad es de cero coma treinta y tres.</w:t>
      </w:r>
    </w:p>
    <w:p>
      <w:pPr>
        <w:spacing w:before="0" w:after="100"/>
        <w:jc w:val="both"/>
      </w:pPr>
      <w:r>
        <w:rPr>
          <w:rFonts w:ascii="Arial" w:hAnsi="Arial"/>
          <w:b w:val="0"/>
          <w:i w:val="0"/>
          <w:color w:val="1A1A1A"/>
          <w:sz w:val="21"/>
        </w:rPr>
        <w:t>Clínicamente tiene sentido: la exposición ultravioleta acumulada es un factor de riesgo bien documentado.</w:t>
      </w:r>
    </w:p>
    <w:p>
      <w:pPr>
        <w:spacing w:before="0" w:after="100"/>
        <w:jc w:val="both"/>
      </w:pPr>
      <w:r>
        <w:rPr>
          <w:rFonts w:ascii="Arial" w:hAnsi="Arial"/>
          <w:b w:val="0"/>
          <w:i w:val="0"/>
          <w:color w:val="1A1A1A"/>
          <w:sz w:val="21"/>
        </w:rPr>
        <w:t>Esto nos deja una consecuencia que reconocemos como limitación: nuestra red procesa solo píxeles. Deja sin explotar información diagnóstica que sí tenemos.</w:t>
      </w:r>
    </w:p>
    <w:p>
      <w:pPr>
        <w:spacing w:before="160" w:after="80"/>
      </w:pPr>
      <w:r>
        <w:rPr>
          <w:rFonts w:ascii="Arial" w:hAnsi="Arial"/>
          <w:b/>
          <w:i w:val="0"/>
          <w:color w:val="00566C"/>
          <w:sz w:val="20"/>
        </w:rPr>
        <w:t>Diapositiva 16   ·   11:00 → 12:00   ·   60 s   ·   Christian</w:t>
      </w:r>
    </w:p>
    <w:p>
      <w:pPr>
        <w:spacing w:before="0" w:after="100"/>
        <w:jc w:val="both"/>
      </w:pPr>
      <w:r>
        <w:rPr>
          <w:rFonts w:ascii="Arial" w:hAnsi="Arial"/>
          <w:b w:val="0"/>
          <w:i w:val="0"/>
          <w:color w:val="1A1A1A"/>
          <w:sz w:val="21"/>
        </w:rPr>
        <w:t>El tercer hallazgo procede del análisis de correlaciones. Como todas las variables son categóricas, usamos la V de Cramér.</w:t>
      </w:r>
    </w:p>
    <w:p>
      <w:pPr>
        <w:spacing w:before="0" w:after="100"/>
        <w:jc w:val="both"/>
      </w:pPr>
      <w:r>
        <w:rPr>
          <w:rFonts w:ascii="Arial" w:hAnsi="Arial"/>
          <w:b w:val="0"/>
          <w:i w:val="0"/>
          <w:color w:val="1A1A1A"/>
          <w:sz w:val="21"/>
        </w:rPr>
        <w:t>El valor más alto, y el más incómodo, es cero coma cuarenta y seis entre malignidad y método diagnóstico. Las clases malignas se confirman casi siempre por histopatología, mientras que las benignas se etiquetan a menudo por seguimiento o consenso. La calidad de las etiquetas no es homogénea entre clases. Lo recogemos en las limitaciones.</w:t>
      </w:r>
    </w:p>
    <w:p>
      <w:pPr>
        <w:spacing w:before="0" w:after="100"/>
        <w:jc w:val="both"/>
      </w:pPr>
      <w:r>
        <w:rPr>
          <w:rFonts w:ascii="Arial" w:hAnsi="Arial"/>
          <w:b w:val="0"/>
          <w:i w:val="0"/>
          <w:color w:val="1A1A1A"/>
          <w:sz w:val="21"/>
        </w:rPr>
        <w:t>La localización muestra asociación moderada, coherente con la etiología. El sexo resulta prácticamente irrelevante.</w:t>
      </w:r>
    </w:p>
    <w:p>
      <w:pPr>
        <w:spacing w:before="0" w:after="100"/>
        <w:jc w:val="both"/>
      </w:pPr>
      <w:r>
        <w:rPr>
          <w:rFonts w:ascii="Arial" w:hAnsi="Arial"/>
          <w:b w:val="0"/>
          <w:i w:val="0"/>
          <w:color w:val="1A1A1A"/>
          <w:sz w:val="21"/>
        </w:rPr>
        <w:t>Pero la conclusión operativa está abajo. Mil novecientas cincuenta y seis lesiones tienen más de una imagen. Si se reparten entre entrenamiento y test, el modelo reconoce la lesión que memorizó y las métricas se inflan. La solución es particionar agrupando por lesion_id.</w:t>
      </w:r>
    </w:p>
    <w:p>
      <w:pPr>
        <w:spacing w:before="160" w:after="80"/>
      </w:pPr>
      <w:r>
        <w:rPr>
          <w:rFonts w:ascii="Arial" w:hAnsi="Arial"/>
          <w:b/>
          <w:i w:val="0"/>
          <w:color w:val="00566C"/>
          <w:sz w:val="20"/>
        </w:rPr>
        <w:t>Diapositiva 17   ·   12:00 → 13:00   ·   60 s   ·   Christian</w:t>
      </w:r>
    </w:p>
    <w:p>
      <w:pPr>
        <w:spacing w:before="0" w:after="100"/>
        <w:jc w:val="both"/>
      </w:pPr>
      <w:r>
        <w:rPr>
          <w:rFonts w:ascii="Arial" w:hAnsi="Arial"/>
          <w:b w:val="0"/>
          <w:i w:val="0"/>
          <w:color w:val="1A1A1A"/>
          <w:sz w:val="21"/>
        </w:rPr>
        <w:t>Cerramos la fase traduciendo cada hallazgo en una decisión concreta. Esta diapositiva es la bisagra entre el análisis y el modelado.</w:t>
      </w:r>
    </w:p>
    <w:p>
      <w:pPr>
        <w:spacing w:before="0" w:after="100"/>
        <w:jc w:val="both"/>
      </w:pPr>
      <w:r>
        <w:rPr>
          <w:rFonts w:ascii="Arial" w:hAnsi="Arial"/>
          <w:b w:val="0"/>
          <w:i w:val="0"/>
          <w:color w:val="1A1A1A"/>
          <w:sz w:val="21"/>
        </w:rPr>
        <w:t>Primera: partición agrupada por lesion_id, con GroupShuffleSplit y StratifiedGroupKFold.</w:t>
      </w:r>
    </w:p>
    <w:p>
      <w:pPr>
        <w:spacing w:before="0" w:after="100"/>
        <w:jc w:val="both"/>
      </w:pPr>
      <w:r>
        <w:rPr>
          <w:rFonts w:ascii="Arial" w:hAnsi="Arial"/>
          <w:b w:val="0"/>
          <w:i w:val="0"/>
          <w:color w:val="1A1A1A"/>
          <w:sz w:val="21"/>
        </w:rPr>
        <w:t>Segunda: corregir el desbalance de forma explícita. SMOTE sobre el entrenamiento en el Escenario 1, submuestreo previo en el Escenario 2, y pesos de clase en la red neuronal.</w:t>
      </w:r>
    </w:p>
    <w:p>
      <w:pPr>
        <w:spacing w:before="0" w:after="100"/>
        <w:jc w:val="both"/>
      </w:pPr>
      <w:r>
        <w:rPr>
          <w:rFonts w:ascii="Arial" w:hAnsi="Arial"/>
          <w:b w:val="0"/>
          <w:i w:val="0"/>
          <w:color w:val="1A1A1A"/>
          <w:sz w:val="21"/>
        </w:rPr>
        <w:t>Tercera: evaluar con criterio clínico. Recall por clase —sobre todo melanoma, basocelular y queratosis actínica—, F1 macro y AUC-ROC.</w:t>
      </w:r>
    </w:p>
    <w:p>
      <w:pPr>
        <w:spacing w:before="0" w:after="100"/>
        <w:jc w:val="both"/>
      </w:pPr>
      <w:r>
        <w:rPr>
          <w:rFonts w:ascii="Arial" w:hAnsi="Arial"/>
          <w:b w:val="0"/>
          <w:i w:val="0"/>
          <w:color w:val="1A1A1A"/>
          <w:sz w:val="21"/>
        </w:rPr>
        <w:t>Y cuarta: documentar las limitaciones del dataset como parte del resultado, no como nota al pie.</w:t>
      </w:r>
    </w:p>
    <w:p>
      <w:pPr>
        <w:spacing w:before="0" w:after="100"/>
        <w:jc w:val="both"/>
      </w:pPr>
      <w:r>
        <w:rPr>
          <w:rFonts w:ascii="Arial" w:hAnsi="Arial"/>
          <w:b w:val="0"/>
          <w:i w:val="0"/>
          <w:color w:val="1A1A1A"/>
          <w:sz w:val="21"/>
        </w:rPr>
        <w:t>Estas decisiones explican por qué el trabajo construye dos escenarios de datos en lugar de uno. Con esto le paso la palabra a Alvaro.</w:t>
      </w:r>
    </w:p>
    <w:p>
      <w:pPr>
        <w:spacing w:before="280" w:after="40"/>
      </w:pPr>
      <w:r>
        <w:rPr>
          <w:rFonts w:ascii="Arial" w:hAnsi="Arial"/>
          <w:b/>
          <w:i w:val="0"/>
          <w:color w:val="219BC3"/>
          <w:sz w:val="28"/>
        </w:rPr>
        <w:t>BLOQUE 04 — PREPARACIÓN DE LOS DATOS</w:t>
      </w:r>
    </w:p>
    <w:p>
      <w:pPr>
        <w:spacing w:before="0" w:after="200"/>
        <w:pBdr>
          <w:bottom w:val="single" w:sz="8" w:space="1" w:color="219BC3"/>
        </w:pBdr>
      </w:pPr>
    </w:p>
    <w:p>
      <w:pPr>
        <w:spacing w:before="160" w:after="80"/>
      </w:pPr>
      <w:r>
        <w:rPr>
          <w:rFonts w:ascii="Arial" w:hAnsi="Arial"/>
          <w:b/>
          <w:i w:val="0"/>
          <w:color w:val="00566C"/>
          <w:sz w:val="20"/>
        </w:rPr>
        <w:t>Diapositiva 18   ·   13:00 → 13:10   ·   10 s   ·   Alvaro</w:t>
      </w:r>
    </w:p>
    <w:p>
      <w:pPr>
        <w:spacing w:before="0" w:after="80"/>
      </w:pPr>
      <w:r>
        <w:rPr>
          <w:rFonts w:ascii="Arial" w:hAnsi="Arial"/>
          <w:b w:val="0"/>
          <w:i/>
          <w:color w:val="858591"/>
          <w:sz w:val="19"/>
        </w:rPr>
        <w:t>[CAMBIO DE PONENTE]</w:t>
      </w:r>
    </w:p>
    <w:p>
      <w:pPr>
        <w:spacing w:before="0" w:after="100"/>
        <w:jc w:val="both"/>
      </w:pPr>
      <w:r>
        <w:rPr>
          <w:rFonts w:ascii="Arial" w:hAnsi="Arial"/>
          <w:b w:val="0"/>
          <w:i w:val="0"/>
          <w:color w:val="1A1A1A"/>
          <w:sz w:val="21"/>
        </w:rPr>
        <w:t>Gracias, Christian. Buenos días de nuevo.</w:t>
      </w:r>
    </w:p>
    <w:p>
      <w:pPr>
        <w:spacing w:before="0" w:after="100"/>
        <w:jc w:val="both"/>
      </w:pPr>
      <w:r>
        <w:rPr>
          <w:rFonts w:ascii="Arial" w:hAnsi="Arial"/>
          <w:b w:val="0"/>
          <w:i w:val="0"/>
          <w:color w:val="1A1A1A"/>
          <w:sz w:val="21"/>
        </w:rPr>
        <w:t>Retomo en la fase de preparación de los datos, que es donde esas cuatro decisiones se convierten en código.</w:t>
      </w:r>
    </w:p>
    <w:p>
      <w:pPr>
        <w:spacing w:before="160" w:after="80"/>
      </w:pPr>
      <w:r>
        <w:rPr>
          <w:rFonts w:ascii="Arial" w:hAnsi="Arial"/>
          <w:b/>
          <w:i w:val="0"/>
          <w:color w:val="00566C"/>
          <w:sz w:val="20"/>
        </w:rPr>
        <w:t>Diapositiva 19   ·   13:10 → 14:35   ·   85 s   ·   Alvaro</w:t>
      </w:r>
    </w:p>
    <w:p>
      <w:pPr>
        <w:spacing w:before="0" w:after="100"/>
        <w:jc w:val="both"/>
      </w:pPr>
      <w:r>
        <w:rPr>
          <w:rFonts w:ascii="Arial" w:hAnsi="Arial"/>
          <w:b w:val="0"/>
          <w:i w:val="0"/>
          <w:color w:val="1A1A1A"/>
          <w:sz w:val="21"/>
        </w:rPr>
        <w:t>El pipeline de preparación tiene cuatro pasos comunes a los dos escenarios.</w:t>
      </w:r>
    </w:p>
    <w:p>
      <w:pPr>
        <w:spacing w:before="0" w:after="100"/>
        <w:jc w:val="both"/>
      </w:pPr>
      <w:r>
        <w:rPr>
          <w:rFonts w:ascii="Arial" w:hAnsi="Arial"/>
          <w:b w:val="0"/>
          <w:i w:val="0"/>
          <w:color w:val="1A1A1A"/>
          <w:sz w:val="21"/>
        </w:rPr>
        <w:t>Limpieza y estandarización de las variables categóricas, y verificación del rango de edades.</w:t>
      </w:r>
    </w:p>
    <w:p>
      <w:pPr>
        <w:spacing w:before="0" w:after="100"/>
        <w:jc w:val="both"/>
      </w:pPr>
      <w:r>
        <w:rPr>
          <w:rFonts w:ascii="Arial" w:hAnsi="Arial"/>
          <w:b w:val="0"/>
          <w:i w:val="0"/>
          <w:color w:val="1A1A1A"/>
          <w:sz w:val="21"/>
        </w:rPr>
        <w:t>Imputación: la edad es la única variable con ausencias relevantes, y la imputamos preservando la distribución por clase diagnóstica, para no aplanar la señal que el EDA había identificado.</w:t>
      </w:r>
    </w:p>
    <w:p>
      <w:pPr>
        <w:spacing w:before="0" w:after="100"/>
        <w:jc w:val="both"/>
      </w:pPr>
      <w:r>
        <w:rPr>
          <w:rFonts w:ascii="Arial" w:hAnsi="Arial"/>
          <w:b w:val="0"/>
          <w:i w:val="0"/>
          <w:color w:val="1A1A1A"/>
          <w:sz w:val="21"/>
        </w:rPr>
        <w:t>Tercero, la partición, que es la decisión de la que estamos más satisfechos: GroupShuffleSplit ochenta-veinte agrupando por lesion_id. En el Escenario 2 son dos mil cuatrocientas noventa y ocho lesiones en entrenamiento y seiscientas veinticinco en test, sin solapamiento.</w:t>
      </w:r>
    </w:p>
    <w:p>
      <w:pPr>
        <w:spacing w:before="0" w:after="100"/>
        <w:jc w:val="both"/>
      </w:pPr>
      <w:r>
        <w:rPr>
          <w:rFonts w:ascii="Arial" w:hAnsi="Arial"/>
          <w:b w:val="0"/>
          <w:i w:val="0"/>
          <w:color w:val="1A1A1A"/>
          <w:sz w:val="21"/>
        </w:rPr>
        <w:t>¿Por qué insistimos? Porque con una partición convencional, imágenes casi idénticas de la misma lesión acaban en entrenamiento y en test a la vez. El modelo reconoce la lesión que memorizó, no la patología. Las métricas suben, pero son falsas.</w:t>
      </w:r>
    </w:p>
    <w:p>
      <w:pPr>
        <w:spacing w:before="0" w:after="100"/>
        <w:jc w:val="both"/>
      </w:pPr>
      <w:r>
        <w:rPr>
          <w:rFonts w:ascii="Arial" w:hAnsi="Arial"/>
          <w:b w:val="0"/>
          <w:i w:val="0"/>
          <w:color w:val="1A1A1A"/>
          <w:sz w:val="21"/>
        </w:rPr>
        <w:t>Y cuarto, el preprocesamiento de imagen: sesenta y cuatro por sesenta y cuatro en RGB, aplanado a doce mil doscientas ochenta y ocho características y normalización.</w:t>
      </w:r>
    </w:p>
    <w:p>
      <w:pPr>
        <w:spacing w:before="160" w:after="80"/>
      </w:pPr>
      <w:r>
        <w:rPr>
          <w:rFonts w:ascii="Arial" w:hAnsi="Arial"/>
          <w:b/>
          <w:i w:val="0"/>
          <w:color w:val="00566C"/>
          <w:sz w:val="20"/>
        </w:rPr>
        <w:t>Diapositiva 20   ·   14:35 → 16:00   ·   85 s   ·   Alvaro</w:t>
      </w:r>
    </w:p>
    <w:p>
      <w:pPr>
        <w:spacing w:before="0" w:after="100"/>
        <w:jc w:val="both"/>
      </w:pPr>
      <w:r>
        <w:rPr>
          <w:rFonts w:ascii="Arial" w:hAnsi="Arial"/>
          <w:b w:val="0"/>
          <w:i w:val="0"/>
          <w:color w:val="1A1A1A"/>
          <w:sz w:val="21"/>
        </w:rPr>
        <w:t>Con ese pipeline construimos los dos escenarios.</w:t>
      </w:r>
    </w:p>
    <w:p>
      <w:pPr>
        <w:spacing w:before="0" w:after="100"/>
        <w:jc w:val="both"/>
      </w:pPr>
      <w:r>
        <w:rPr>
          <w:rFonts w:ascii="Arial" w:hAnsi="Arial"/>
          <w:b w:val="0"/>
          <w:i w:val="0"/>
          <w:color w:val="1A1A1A"/>
          <w:sz w:val="21"/>
        </w:rPr>
        <w:t>El Escenario 1 es la línea base: dataset multiclase original completo, siete clases, diez mil quince imágenes con el desbalance real. Partición estratificada por clase y corrección mediante SMOTE sobre el entrenamiento, que lo expande a treinta y siete mil quinientas cuarenta y ocho muestras.</w:t>
      </w:r>
    </w:p>
    <w:p>
      <w:pPr>
        <w:spacing w:before="0" w:after="100"/>
        <w:jc w:val="both"/>
      </w:pPr>
      <w:r>
        <w:rPr>
          <w:rFonts w:ascii="Arial" w:hAnsi="Arial"/>
          <w:b w:val="0"/>
          <w:i w:val="0"/>
          <w:color w:val="1A1A1A"/>
          <w:sz w:val="21"/>
        </w:rPr>
        <w:t>El Escenario 2 reformula el problema. Agrupamos las siete clases en dos —maligno reúne queratosis actínica, basocelular y melanoma— y equilibramos por submuestreo: mil novecientas cincuenta y cuatro imágenes de cada tipo. El gráfico de la izquierda muestra ese antes y después.</w:t>
      </w:r>
    </w:p>
    <w:p>
      <w:pPr>
        <w:spacing w:before="0" w:after="100"/>
        <w:jc w:val="both"/>
      </w:pPr>
      <w:r>
        <w:rPr>
          <w:rFonts w:ascii="Arial" w:hAnsi="Arial"/>
          <w:b w:val="0"/>
          <w:i w:val="0"/>
          <w:color w:val="1A1A1A"/>
          <w:sz w:val="21"/>
        </w:rPr>
        <w:t>Aquí eliminamos SMOTE deliberadamente, porque el dataset ya llega equilibrado. Aplicarlo encima generaría muestras sintéticas innecesarias e introduciría interpolaciones entre lesiones que clínicamente no existen.</w:t>
      </w:r>
    </w:p>
    <w:p>
      <w:pPr>
        <w:spacing w:before="0" w:after="100"/>
        <w:jc w:val="both"/>
      </w:pPr>
      <w:r>
        <w:rPr>
          <w:rFonts w:ascii="Arial" w:hAnsi="Arial"/>
          <w:b w:val="0"/>
          <w:i w:val="0"/>
          <w:color w:val="1A1A1A"/>
          <w:sz w:val="21"/>
        </w:rPr>
        <w:t>Quiero subrayarlo: el Escenario 2 no es una versión más pequeña del Escenario 1. Es una reformulación alineada con la decisión clínica real de un triaje: ¿esta lesión es sospechosa?</w:t>
      </w:r>
    </w:p>
    <w:p>
      <w:pPr>
        <w:spacing w:before="280" w:after="40"/>
      </w:pPr>
      <w:r>
        <w:rPr>
          <w:rFonts w:ascii="Arial" w:hAnsi="Arial"/>
          <w:b/>
          <w:i w:val="0"/>
          <w:color w:val="219BC3"/>
          <w:sz w:val="28"/>
        </w:rPr>
        <w:t>BLOQUE 05 — MODELADO</w:t>
      </w:r>
    </w:p>
    <w:p>
      <w:pPr>
        <w:spacing w:before="0" w:after="200"/>
        <w:pBdr>
          <w:bottom w:val="single" w:sz="8" w:space="1" w:color="219BC3"/>
        </w:pBdr>
      </w:pPr>
    </w:p>
    <w:p>
      <w:pPr>
        <w:spacing w:before="160" w:after="80"/>
      </w:pPr>
      <w:r>
        <w:rPr>
          <w:rFonts w:ascii="Arial" w:hAnsi="Arial"/>
          <w:b/>
          <w:i w:val="0"/>
          <w:color w:val="00566C"/>
          <w:sz w:val="20"/>
        </w:rPr>
        <w:t>Diapositiva 21   ·   16:00 → 16:05   ·   5 s   ·   Alvaro</w:t>
      </w:r>
    </w:p>
    <w:p>
      <w:pPr>
        <w:spacing w:before="0" w:after="100"/>
        <w:jc w:val="both"/>
      </w:pPr>
      <w:r>
        <w:rPr>
          <w:rFonts w:ascii="Arial" w:hAnsi="Arial"/>
          <w:b w:val="0"/>
          <w:i w:val="0"/>
          <w:color w:val="1A1A1A"/>
          <w:sz w:val="21"/>
        </w:rPr>
        <w:t>Pasamos al modelado.</w:t>
      </w:r>
    </w:p>
    <w:p>
      <w:pPr>
        <w:spacing w:before="0" w:after="80"/>
      </w:pPr>
      <w:r>
        <w:rPr>
          <w:rFonts w:ascii="Arial" w:hAnsi="Arial"/>
          <w:b w:val="0"/>
          <w:i/>
          <w:color w:val="858591"/>
          <w:sz w:val="19"/>
        </w:rPr>
        <w:t>[Avanzar sin detenerse]</w:t>
      </w:r>
    </w:p>
    <w:p>
      <w:pPr>
        <w:spacing w:before="160" w:after="80"/>
      </w:pPr>
      <w:r>
        <w:rPr>
          <w:rFonts w:ascii="Arial" w:hAnsi="Arial"/>
          <w:b/>
          <w:i w:val="0"/>
          <w:color w:val="00566C"/>
          <w:sz w:val="20"/>
        </w:rPr>
        <w:t>Diapositiva 22   ·   16:05 → 17:30   ·   85 s   ·   Alvaro</w:t>
      </w:r>
    </w:p>
    <w:p>
      <w:pPr>
        <w:spacing w:before="0" w:after="100"/>
        <w:jc w:val="both"/>
      </w:pPr>
      <w:r>
        <w:rPr>
          <w:rFonts w:ascii="Arial" w:hAnsi="Arial"/>
          <w:b w:val="0"/>
          <w:i w:val="0"/>
          <w:color w:val="1A1A1A"/>
          <w:sz w:val="21"/>
        </w:rPr>
        <w:t>Empezamos por el SVM, que actúa como línea base.</w:t>
      </w:r>
    </w:p>
    <w:p>
      <w:pPr>
        <w:spacing w:before="0" w:after="100"/>
        <w:jc w:val="both"/>
      </w:pPr>
      <w:r>
        <w:rPr>
          <w:rFonts w:ascii="Arial" w:hAnsi="Arial"/>
          <w:b w:val="0"/>
          <w:i w:val="0"/>
          <w:color w:val="1A1A1A"/>
          <w:sz w:val="21"/>
        </w:rPr>
        <w:t>El pipeline tiene nueve pasos secuenciales. He destacado en azul los tres donde se concentran las decisiones de diseño: escalado y PCA, balanceo y entrenamiento.</w:t>
      </w:r>
    </w:p>
    <w:p>
      <w:pPr>
        <w:spacing w:before="0" w:after="100"/>
        <w:jc w:val="both"/>
      </w:pPr>
      <w:r>
        <w:rPr>
          <w:rFonts w:ascii="Arial" w:hAnsi="Arial"/>
          <w:b w:val="0"/>
          <w:i w:val="0"/>
          <w:color w:val="1A1A1A"/>
          <w:sz w:val="21"/>
        </w:rPr>
        <w:t>Cada imagen se representa como sesenta y cuatro por sesenta y cuatro píxeles en RGB, aplanados a doce mil doscientas ochenta y ocho características. Es un espacio inmanejable, así que aplicamos StandardScaler y PCA reteniendo el noventa y cinco por ciento de la varianza.</w:t>
      </w:r>
    </w:p>
    <w:p>
      <w:pPr>
        <w:spacing w:before="0" w:after="100"/>
        <w:jc w:val="both"/>
      </w:pPr>
      <w:r>
        <w:rPr>
          <w:rFonts w:ascii="Arial" w:hAnsi="Arial"/>
          <w:b w:val="0"/>
          <w:i w:val="0"/>
          <w:color w:val="1A1A1A"/>
          <w:sz w:val="21"/>
        </w:rPr>
        <w:t>El gráfico muestra el resultado: bastan ochenta y cuatro componentes en el Escenario 1 —ciento cuatro en el Escenario 2— para capturar ese noventa y cinco por ciento. Una reducción del noventa y nueve coma tres por ciento.</w:t>
      </w:r>
    </w:p>
    <w:p>
      <w:pPr>
        <w:spacing w:before="0" w:after="100"/>
        <w:jc w:val="both"/>
      </w:pPr>
      <w:r>
        <w:rPr>
          <w:rFonts w:ascii="Arial" w:hAnsi="Arial"/>
          <w:b w:val="0"/>
          <w:i w:val="0"/>
          <w:color w:val="1A1A1A"/>
          <w:sz w:val="21"/>
        </w:rPr>
        <w:t>Sobre ese espacio entrenamos un SVC con kernel de base radial, C igual a uno, gamma «scale» y pesos de clase balanceados, con Platt scaling para poder calcular el AUC.</w:t>
      </w:r>
    </w:p>
    <w:p>
      <w:pPr>
        <w:spacing w:before="0" w:after="100"/>
        <w:jc w:val="both"/>
      </w:pPr>
      <w:r>
        <w:rPr>
          <w:rFonts w:ascii="Arial" w:hAnsi="Arial"/>
          <w:b w:val="0"/>
          <w:i w:val="0"/>
          <w:color w:val="1A1A1A"/>
          <w:sz w:val="21"/>
        </w:rPr>
        <w:t>¿Por qué SVM? Porque fue el estado del arte en imagen médica antes del Deep Learning, es eficiente en alta dimensión gracias al truco del kernel, y su comportamiento documentado facilita interpretar cuánto mejora realmente la red.</w:t>
      </w:r>
    </w:p>
    <w:p>
      <w:pPr>
        <w:spacing w:before="160" w:after="80"/>
      </w:pPr>
      <w:r>
        <w:rPr>
          <w:rFonts w:ascii="Arial" w:hAnsi="Arial"/>
          <w:b/>
          <w:i w:val="0"/>
          <w:color w:val="00566C"/>
          <w:sz w:val="20"/>
        </w:rPr>
        <w:t>Diapositiva 23   ·   17:30 → 19:00   ·   90 s   ·   Alvaro</w:t>
      </w:r>
    </w:p>
    <w:p>
      <w:pPr>
        <w:spacing w:before="0" w:after="100"/>
        <w:jc w:val="both"/>
      </w:pPr>
      <w:r>
        <w:rPr>
          <w:rFonts w:ascii="Arial" w:hAnsi="Arial"/>
          <w:b w:val="0"/>
          <w:i w:val="0"/>
          <w:color w:val="1A1A1A"/>
          <w:sz w:val="21"/>
        </w:rPr>
        <w:t>La segunda familia es DenseNet201, preentrenada en ImageNet mediante Transfer Learning.</w:t>
      </w:r>
    </w:p>
    <w:p>
      <w:pPr>
        <w:spacing w:before="0" w:after="100"/>
        <w:jc w:val="both"/>
      </w:pPr>
      <w:r>
        <w:rPr>
          <w:rFonts w:ascii="Arial" w:hAnsi="Arial"/>
          <w:b w:val="0"/>
          <w:i w:val="0"/>
          <w:color w:val="1A1A1A"/>
          <w:sz w:val="21"/>
        </w:rPr>
        <w:t>La elegimos por sus bloques densos, en los que cada capa recibe los mapas de características de todas las precedentes. Eso maximiza el flujo de gradientes, mitiga el desvanecimiento y reutiliza características sin disparar el número de parámetros.</w:t>
      </w:r>
    </w:p>
    <w:p>
      <w:pPr>
        <w:spacing w:before="0" w:after="100"/>
        <w:jc w:val="both"/>
      </w:pPr>
      <w:r>
        <w:rPr>
          <w:rFonts w:ascii="Arial" w:hAnsi="Arial"/>
          <w:b w:val="0"/>
          <w:i w:val="0"/>
          <w:color w:val="1A1A1A"/>
          <w:sz w:val="21"/>
        </w:rPr>
        <w:t>Pero la aportación propia del trabajo es la arquitectura de dos cabezas del diagrama. Sobre el vector que sale del Global Average Pooling acoplamos dos cabezas lineales en paralelo. La Cabeza A, de triaje binario: benigno frente a maligno. Y la Cabeza B, de diagnóstico específico, con siete salidas.</w:t>
      </w:r>
    </w:p>
    <w:p>
      <w:pPr>
        <w:spacing w:before="0" w:after="100"/>
        <w:jc w:val="both"/>
      </w:pPr>
      <w:r>
        <w:rPr>
          <w:rFonts w:ascii="Arial" w:hAnsi="Arial"/>
          <w:b w:val="0"/>
          <w:i w:val="0"/>
          <w:color w:val="1A1A1A"/>
          <w:sz w:val="21"/>
        </w:rPr>
        <w:t>Ambas se entrenan a la vez con una pérdida conjunta ponderada al cincuenta por ciento. La Cabeza A con entropía cruzada estándar; la Cabeza B con pesos por clase.</w:t>
      </w:r>
    </w:p>
    <w:p>
      <w:pPr>
        <w:spacing w:before="0" w:after="100"/>
        <w:jc w:val="both"/>
      </w:pPr>
      <w:r>
        <w:rPr>
          <w:rFonts w:ascii="Arial" w:hAnsi="Arial"/>
          <w:b w:val="0"/>
          <w:i w:val="0"/>
          <w:color w:val="1A1A1A"/>
          <w:sz w:val="21"/>
        </w:rPr>
        <w:t>¿Por qué dos cabezas y no dos modelos? Porque así respondemos simultáneamente a la pregunta de triaje —¿es sospechosa?— y a la de diagnóstico —¿qué patología es?— con un único coste de entrenamiento y un backbone que aprende de ambas señales.</w:t>
      </w:r>
    </w:p>
    <w:p>
      <w:pPr>
        <w:spacing w:before="0" w:after="100"/>
        <w:jc w:val="both"/>
      </w:pPr>
      <w:r>
        <w:rPr>
          <w:rFonts w:ascii="Arial" w:hAnsi="Arial"/>
          <w:b w:val="0"/>
          <w:i w:val="0"/>
          <w:color w:val="1A1A1A"/>
          <w:sz w:val="21"/>
        </w:rPr>
        <w:t>Dieciocho millones de parámetros entrenables, treinta épocas, lote de treinta y dos y optimizador Adam. Las curvas muestran una meseta estable de la pérdida de validación desde la época catorce.</w:t>
      </w:r>
    </w:p>
    <w:p>
      <w:pPr>
        <w:spacing w:before="280" w:after="40"/>
      </w:pPr>
      <w:r>
        <w:rPr>
          <w:rFonts w:ascii="Arial" w:hAnsi="Arial"/>
          <w:b/>
          <w:i w:val="0"/>
          <w:color w:val="219BC3"/>
          <w:sz w:val="28"/>
        </w:rPr>
        <w:t>BLOQUE 06 — EVALUACIÓN Y RESULTADOS</w:t>
      </w:r>
    </w:p>
    <w:p>
      <w:pPr>
        <w:spacing w:before="0" w:after="200"/>
        <w:pBdr>
          <w:bottom w:val="single" w:sz="8" w:space="1" w:color="219BC3"/>
        </w:pBdr>
      </w:pPr>
    </w:p>
    <w:p>
      <w:pPr>
        <w:spacing w:before="160" w:after="80"/>
      </w:pPr>
      <w:r>
        <w:rPr>
          <w:rFonts w:ascii="Arial" w:hAnsi="Arial"/>
          <w:b/>
          <w:i w:val="0"/>
          <w:color w:val="00566C"/>
          <w:sz w:val="20"/>
        </w:rPr>
        <w:t>Diapositiva 24   ·   19:00 → 19:05   ·   5 s   ·   Alvaro</w:t>
      </w:r>
    </w:p>
    <w:p>
      <w:pPr>
        <w:spacing w:before="0" w:after="100"/>
        <w:jc w:val="both"/>
      </w:pPr>
      <w:r>
        <w:rPr>
          <w:rFonts w:ascii="Arial" w:hAnsi="Arial"/>
          <w:b w:val="0"/>
          <w:i w:val="0"/>
          <w:color w:val="1A1A1A"/>
          <w:sz w:val="21"/>
        </w:rPr>
        <w:t>Llegamos a los resultados, el núcleo del trabajo.</w:t>
      </w:r>
    </w:p>
    <w:p>
      <w:pPr>
        <w:spacing w:before="0" w:after="80"/>
      </w:pPr>
      <w:r>
        <w:rPr>
          <w:rFonts w:ascii="Arial" w:hAnsi="Arial"/>
          <w:b w:val="0"/>
          <w:i/>
          <w:color w:val="858591"/>
          <w:sz w:val="19"/>
        </w:rPr>
        <w:t>[Avanzar sin detenerse]</w:t>
      </w:r>
    </w:p>
    <w:p>
      <w:pPr>
        <w:spacing w:before="160" w:after="80"/>
      </w:pPr>
      <w:r>
        <w:rPr>
          <w:rFonts w:ascii="Arial" w:hAnsi="Arial"/>
          <w:b/>
          <w:i w:val="0"/>
          <w:color w:val="00566C"/>
          <w:sz w:val="20"/>
        </w:rPr>
        <w:t>Diapositiva 25   ·   19:05 → 20:10   ·   65 s   ·   Alvaro</w:t>
      </w:r>
    </w:p>
    <w:p>
      <w:pPr>
        <w:spacing w:before="0" w:after="100"/>
        <w:jc w:val="both"/>
      </w:pPr>
      <w:r>
        <w:rPr>
          <w:rFonts w:ascii="Arial" w:hAnsi="Arial"/>
          <w:b w:val="0"/>
          <w:i w:val="0"/>
          <w:color w:val="1A1A1A"/>
          <w:sz w:val="21"/>
        </w:rPr>
        <w:t>Empezamos por el efecto del balanceo dentro de la familia SVM. Mismo algoritmo, mismos hiperparámetros, mismo preprocesamiento: solo cambia la estrategia de datos.</w:t>
      </w:r>
    </w:p>
    <w:p>
      <w:pPr>
        <w:spacing w:before="0" w:after="100"/>
        <w:jc w:val="both"/>
      </w:pPr>
      <w:r>
        <w:rPr>
          <w:rFonts w:ascii="Arial" w:hAnsi="Arial"/>
          <w:b w:val="0"/>
          <w:i w:val="0"/>
          <w:color w:val="1A1A1A"/>
          <w:sz w:val="21"/>
        </w:rPr>
        <w:t>Prácticamente todas las métricas mejoran. La exactitud balanceada pasa de cero coma cinco uno siete a cero coma siete nueve cuatro. El F1 macro, de cero coma cuatro ocho tres a cero coma siete nueve tres. El Kappa y el MCC también suben con claridad.</w:t>
      </w:r>
    </w:p>
    <w:p>
      <w:pPr>
        <w:spacing w:before="0" w:after="100"/>
        <w:jc w:val="both"/>
      </w:pPr>
      <w:r>
        <w:rPr>
          <w:rFonts w:ascii="Arial" w:hAnsi="Arial"/>
          <w:b w:val="0"/>
          <w:i w:val="0"/>
          <w:color w:val="1A1A1A"/>
          <w:sz w:val="21"/>
        </w:rPr>
        <w:t>Hay una excepción: el AUC macro baja ligeramente. Y queremos explicarlo, porque no es contradictorio.</w:t>
      </w:r>
    </w:p>
    <w:p>
      <w:pPr>
        <w:spacing w:before="0" w:after="100"/>
        <w:jc w:val="both"/>
      </w:pPr>
      <w:r>
        <w:rPr>
          <w:rFonts w:ascii="Arial" w:hAnsi="Arial"/>
          <w:b w:val="0"/>
          <w:i w:val="0"/>
          <w:color w:val="1A1A1A"/>
          <w:sz w:val="21"/>
        </w:rPr>
        <w:t>El AUC mide la capacidad de ordenar los casos a lo largo de todos los umbrales posibles, y se mantiene alto aunque en el umbral real de decisión —el cero coma cinco que se usa para clasificar— el modelo falle en la clase minoritaria. Un AUC alto puede convivir con una detección muy pobre de la patología que importa.</w:t>
      </w:r>
    </w:p>
    <w:p>
      <w:pPr>
        <w:spacing w:before="0" w:after="100"/>
        <w:jc w:val="both"/>
      </w:pPr>
      <w:r>
        <w:rPr>
          <w:rFonts w:ascii="Arial" w:hAnsi="Arial"/>
          <w:b w:val="0"/>
          <w:i w:val="0"/>
          <w:color w:val="1A1A1A"/>
          <w:sz w:val="21"/>
        </w:rPr>
        <w:t>Un apunte de robustez: la validación cruzada de cinco folds confirma que esto no depende de una partición afortunada, con desviaciones típicas muy bajas.</w:t>
      </w:r>
    </w:p>
    <w:p>
      <w:pPr>
        <w:spacing w:before="160" w:after="80"/>
      </w:pPr>
      <w:r>
        <w:rPr>
          <w:rFonts w:ascii="Arial" w:hAnsi="Arial"/>
          <w:b/>
          <w:i w:val="0"/>
          <w:color w:val="00566C"/>
          <w:sz w:val="20"/>
        </w:rPr>
        <w:t>Diapositiva 26   ·   20:10 → 21:15   ·   65 s   ·   Alvaro</w:t>
      </w:r>
    </w:p>
    <w:p>
      <w:pPr>
        <w:spacing w:before="0" w:after="100"/>
        <w:jc w:val="both"/>
      </w:pPr>
      <w:r>
        <w:rPr>
          <w:rFonts w:ascii="Arial" w:hAnsi="Arial"/>
          <w:b w:val="0"/>
          <w:i w:val="0"/>
          <w:color w:val="1A1A1A"/>
          <w:sz w:val="21"/>
        </w:rPr>
        <w:t>Vamos a la comparación que de verdad importa: la detección de malignidad.</w:t>
      </w:r>
    </w:p>
    <w:p>
      <w:pPr>
        <w:spacing w:before="0" w:after="100"/>
        <w:jc w:val="both"/>
      </w:pPr>
      <w:r>
        <w:rPr>
          <w:rFonts w:ascii="Arial" w:hAnsi="Arial"/>
          <w:b w:val="0"/>
          <w:i w:val="0"/>
          <w:color w:val="1A1A1A"/>
          <w:sz w:val="21"/>
        </w:rPr>
        <w:t>Como la línea base resuelve siete clases, agregamos sus predicciones a términos binarios desde su matriz de confusión, para poder responder en los mismos términos.</w:t>
      </w:r>
    </w:p>
    <w:p>
      <w:pPr>
        <w:spacing w:before="0" w:after="100"/>
        <w:jc w:val="both"/>
      </w:pPr>
      <w:r>
        <w:rPr>
          <w:rFonts w:ascii="Arial" w:hAnsi="Arial"/>
          <w:b w:val="0"/>
          <w:i w:val="0"/>
          <w:color w:val="1A1A1A"/>
          <w:sz w:val="21"/>
        </w:rPr>
        <w:t>El resultado es contundente. La línea base detecta doscientos cincuenta y dos de trescientos noventa y un casos malignos: sensibilidad del sesenta y cuatro coma cinco por ciento. Deja pasar ciento treinta y nueve lesiones malignas.</w:t>
      </w:r>
    </w:p>
    <w:p>
      <w:pPr>
        <w:spacing w:before="0" w:after="100"/>
        <w:jc w:val="both"/>
      </w:pPr>
      <w:r>
        <w:rPr>
          <w:rFonts w:ascii="Arial" w:hAnsi="Arial"/>
          <w:b w:val="0"/>
          <w:i w:val="0"/>
          <w:color w:val="1A1A1A"/>
          <w:sz w:val="21"/>
        </w:rPr>
        <w:t>El modelo balanceado detecta trescientos setenta y nueve de cuatrocientos ocho: noventa y dos coma nueve por ciento. Solo veintinueve falsos negativos.</w:t>
      </w:r>
    </w:p>
    <w:p>
      <w:pPr>
        <w:spacing w:before="0" w:after="100"/>
        <w:jc w:val="both"/>
      </w:pPr>
      <w:r>
        <w:rPr>
          <w:rFonts w:ascii="Arial" w:hAnsi="Arial"/>
          <w:b w:val="0"/>
          <w:i w:val="0"/>
          <w:color w:val="1A1A1A"/>
          <w:sz w:val="21"/>
        </w:rPr>
        <w:t>La contrapartida es la especificidad, que cae al sesenta y cinco coma nueve por ciento: más falsas alarmas.</w:t>
      </w:r>
    </w:p>
    <w:p>
      <w:pPr>
        <w:spacing w:before="0" w:after="100"/>
        <w:jc w:val="both"/>
      </w:pPr>
      <w:r>
        <w:rPr>
          <w:rFonts w:ascii="Arial" w:hAnsi="Arial"/>
          <w:b w:val="0"/>
          <w:i w:val="0"/>
          <w:color w:val="1A1A1A"/>
          <w:sz w:val="21"/>
        </w:rPr>
        <w:t>Y quiero ser explícito: ese es exactamente el intercambio que buscábamos. Sacrificar especificidad —que cuesta una consulta adicional— para casi triplicar la detección de malignidad.</w:t>
      </w:r>
    </w:p>
    <w:p>
      <w:pPr>
        <w:spacing w:before="0" w:after="100"/>
        <w:jc w:val="both"/>
      </w:pPr>
      <w:r>
        <w:rPr>
          <w:rFonts w:ascii="Arial" w:hAnsi="Arial"/>
          <w:b w:val="0"/>
          <w:i w:val="0"/>
          <w:color w:val="1A1A1A"/>
          <w:sz w:val="21"/>
        </w:rPr>
        <w:t>El melanoma en la línea base ilustra el problema del AUC: cero coma ocho dos siete de AUC, pero un recall real de cero coma cuatro siete cinco. No detecta ni la mitad.</w:t>
      </w:r>
    </w:p>
    <w:p>
      <w:pPr>
        <w:spacing w:before="160" w:after="80"/>
      </w:pPr>
      <w:r>
        <w:rPr>
          <w:rFonts w:ascii="Arial" w:hAnsi="Arial"/>
          <w:b/>
          <w:i w:val="0"/>
          <w:color w:val="00566C"/>
          <w:sz w:val="20"/>
        </w:rPr>
        <w:t>Diapositiva 27   ·   21:15 → 22:20   ·   65 s   ·   Alvaro</w:t>
      </w:r>
    </w:p>
    <w:p>
      <w:pPr>
        <w:spacing w:before="0" w:after="100"/>
        <w:jc w:val="both"/>
      </w:pPr>
      <w:r>
        <w:rPr>
          <w:rFonts w:ascii="Arial" w:hAnsi="Arial"/>
          <w:b w:val="0"/>
          <w:i w:val="0"/>
          <w:color w:val="1A1A1A"/>
          <w:sz w:val="21"/>
        </w:rPr>
        <w:t>Veamos si el efecto se reproduce con la red. La Cabeza A resuelve la misma tarea binaria, así que la comparación es directa.</w:t>
      </w:r>
    </w:p>
    <w:p>
      <w:pPr>
        <w:spacing w:before="0" w:after="100"/>
        <w:jc w:val="both"/>
      </w:pPr>
      <w:r>
        <w:rPr>
          <w:rFonts w:ascii="Arial" w:hAnsi="Arial"/>
          <w:b w:val="0"/>
          <w:i w:val="0"/>
          <w:color w:val="1A1A1A"/>
          <w:sz w:val="21"/>
        </w:rPr>
        <w:t>La sensibilidad sobre la clase maligna mejora del ochenta y uno coma cero siete al noventa coma cero tres por ciento: casi nueve puntos. La especificidad baja tres puntos y medio, y el accuracy global baja ligeramente.</w:t>
      </w:r>
    </w:p>
    <w:p>
      <w:pPr>
        <w:spacing w:before="0" w:after="100"/>
        <w:jc w:val="both"/>
      </w:pPr>
      <w:r>
        <w:rPr>
          <w:rFonts w:ascii="Arial" w:hAnsi="Arial"/>
          <w:b w:val="0"/>
          <w:i w:val="0"/>
          <w:color w:val="1A1A1A"/>
          <w:sz w:val="21"/>
        </w:rPr>
        <w:t>En términos absolutos se entiende mejor: sobre las mismas trescientas noventa y una lesiones malignas de validación, los falsos negativos caen de setenta y cuatro a treinta y nueve. Casi a la mitad. Es lo que muestra el gráfico: cada cuadrado es una lesión maligna y los rojos son las que el sistema deja pasar.</w:t>
      </w:r>
    </w:p>
    <w:p>
      <w:pPr>
        <w:spacing w:before="0" w:after="100"/>
        <w:jc w:val="both"/>
      </w:pPr>
      <w:r>
        <w:rPr>
          <w:rFonts w:ascii="Arial" w:hAnsi="Arial"/>
          <w:b w:val="0"/>
          <w:i w:val="0"/>
          <w:color w:val="1A1A1A"/>
          <w:sz w:val="21"/>
        </w:rPr>
        <w:t>Pero el dato más interesante es otro: el AUC-ROC se mantiene prácticamente constante. La capacidad de discriminación subyacente apenas cambia. Lo que el balanceo mueve es el punto de operación del clasificador, no lo que la red ha aprendido.</w:t>
      </w:r>
    </w:p>
    <w:p>
      <w:pPr>
        <w:spacing w:before="0" w:after="100"/>
        <w:jc w:val="both"/>
      </w:pPr>
      <w:r>
        <w:rPr>
          <w:rFonts w:ascii="Arial" w:hAnsi="Arial"/>
          <w:b w:val="0"/>
          <w:i w:val="0"/>
          <w:color w:val="1A1A1A"/>
          <w:sz w:val="21"/>
        </w:rPr>
        <w:t>La conclusión metodológica importa: el efecto es consecuencia de la estrategia de datos, no un artefacto de un algoritmo concreto.</w:t>
      </w:r>
    </w:p>
    <w:p>
      <w:pPr>
        <w:spacing w:before="160" w:after="80"/>
      </w:pPr>
      <w:r>
        <w:rPr>
          <w:rFonts w:ascii="Arial" w:hAnsi="Arial"/>
          <w:b/>
          <w:i w:val="0"/>
          <w:color w:val="00566C"/>
          <w:sz w:val="20"/>
        </w:rPr>
        <w:t>Diapositiva 28   ·   22:20 → 23:25   ·   65 s   ·   Alvaro</w:t>
      </w:r>
    </w:p>
    <w:p>
      <w:pPr>
        <w:spacing w:before="0" w:after="100"/>
        <w:jc w:val="both"/>
      </w:pPr>
      <w:r>
        <w:rPr>
          <w:rFonts w:ascii="Arial" w:hAnsi="Arial"/>
          <w:b w:val="0"/>
          <w:i w:val="0"/>
          <w:color w:val="1A1A1A"/>
          <w:sz w:val="21"/>
        </w:rPr>
        <w:t>Pero el balanceo no sale gratis. Esta es la diapositiva más matizada del trabajo.</w:t>
      </w:r>
    </w:p>
    <w:p>
      <w:pPr>
        <w:spacing w:before="0" w:after="100"/>
        <w:jc w:val="both"/>
      </w:pPr>
      <w:r>
        <w:rPr>
          <w:rFonts w:ascii="Arial" w:hAnsi="Arial"/>
          <w:b w:val="0"/>
          <w:i w:val="0"/>
          <w:color w:val="1A1A1A"/>
          <w:sz w:val="21"/>
        </w:rPr>
        <w:t>En la Cabeza B, la de diagnóstico específico, el efecto es el contrario: el rendimiento baja de forma generalizada. El recall macro cae del ochenta y siete coma siete ocho al setenta y ocho coma uno tres.</w:t>
      </w:r>
    </w:p>
    <w:p>
      <w:pPr>
        <w:spacing w:before="0" w:after="100"/>
        <w:jc w:val="both"/>
      </w:pPr>
      <w:r>
        <w:rPr>
          <w:rFonts w:ascii="Arial" w:hAnsi="Arial"/>
          <w:b w:val="0"/>
          <w:i w:val="0"/>
          <w:color w:val="1A1A1A"/>
          <w:sz w:val="21"/>
        </w:rPr>
        <w:t>El descenso no es uniforme. En verde verán que el melanoma es la única clase cuyo recall mejora: más de doce puntos. Justo la clase clínicamente más grave.</w:t>
      </w:r>
    </w:p>
    <w:p>
      <w:pPr>
        <w:spacing w:before="0" w:after="100"/>
        <w:jc w:val="both"/>
      </w:pPr>
      <w:r>
        <w:rPr>
          <w:rFonts w:ascii="Arial" w:hAnsi="Arial"/>
          <w:b w:val="0"/>
          <w:i w:val="0"/>
          <w:color w:val="1A1A1A"/>
          <w:sz w:val="21"/>
        </w:rPr>
        <w:t>Las caídas más severas son dermatofibroma y lesión vascular, que son precisamente las clases benignas que el submuestreo reduce a dieciocho y veinticuatro muestras de entrenamiento.</w:t>
      </w:r>
    </w:p>
    <w:p>
      <w:pPr>
        <w:spacing w:before="0" w:after="100"/>
        <w:jc w:val="both"/>
      </w:pPr>
      <w:r>
        <w:rPr>
          <w:rFonts w:ascii="Arial" w:hAnsi="Arial"/>
          <w:b w:val="0"/>
          <w:i w:val="0"/>
          <w:color w:val="1A1A1A"/>
          <w:sz w:val="21"/>
        </w:rPr>
        <w:t>El caso más llamativo es la queratosis actínica, que pierde dieciocho puntos y medio pese a conservar las mismas doscientas sesenta y dos muestras. Nuestra explicación es que su peso de clase se recalcula y cae de cuatro coma treinta y siete a uno coma setenta: el modelo recibe menos penalización por confundirla.</w:t>
      </w:r>
    </w:p>
    <w:p>
      <w:pPr>
        <w:spacing w:before="0" w:after="100"/>
        <w:jc w:val="both"/>
      </w:pPr>
      <w:r>
        <w:rPr>
          <w:rFonts w:ascii="Arial" w:hAnsi="Arial"/>
          <w:b w:val="0"/>
          <w:i w:val="0"/>
          <w:color w:val="1A1A1A"/>
          <w:sz w:val="21"/>
        </w:rPr>
        <w:t>La conclusión es que los dos escenarios son óptimos para propósitos clínicos distintos: cribado masivo frente a segunda opinión oncológica.</w:t>
      </w:r>
    </w:p>
    <w:p>
      <w:pPr>
        <w:spacing w:before="160" w:after="80"/>
      </w:pPr>
      <w:r>
        <w:rPr>
          <w:rFonts w:ascii="Arial" w:hAnsi="Arial"/>
          <w:b/>
          <w:i w:val="0"/>
          <w:color w:val="00566C"/>
          <w:sz w:val="20"/>
        </w:rPr>
        <w:t>Diapositiva 29   ·   23:25 → 24:35   ·   70 s   ·   Alvaro</w:t>
      </w:r>
    </w:p>
    <w:p>
      <w:pPr>
        <w:spacing w:before="0" w:after="100"/>
        <w:jc w:val="both"/>
      </w:pPr>
      <w:r>
        <w:rPr>
          <w:rFonts w:ascii="Arial" w:hAnsi="Arial"/>
          <w:b w:val="0"/>
          <w:i w:val="0"/>
          <w:color w:val="1A1A1A"/>
          <w:sz w:val="21"/>
        </w:rPr>
        <w:t>Y llegamos a la pregunta que motivó todo el capítulo: si un centro tuviera que adoptar un único sistema, ¿cuál recomendaríamos?</w:t>
      </w:r>
    </w:p>
    <w:p>
      <w:pPr>
        <w:spacing w:before="0" w:after="100"/>
        <w:jc w:val="both"/>
      </w:pPr>
      <w:r>
        <w:rPr>
          <w:rFonts w:ascii="Arial" w:hAnsi="Arial"/>
          <w:b w:val="0"/>
          <w:i w:val="0"/>
          <w:color w:val="1A1A1A"/>
          <w:sz w:val="21"/>
        </w:rPr>
        <w:t>Enfrentamos la mejor configuración de cada familia, ambas del Escenario 2, sobre la misma tarea binaria.</w:t>
      </w:r>
    </w:p>
    <w:p>
      <w:pPr>
        <w:spacing w:before="0" w:after="100"/>
        <w:jc w:val="both"/>
      </w:pPr>
      <w:r>
        <w:rPr>
          <w:rFonts w:ascii="Arial" w:hAnsi="Arial"/>
          <w:b w:val="0"/>
          <w:i w:val="0"/>
          <w:color w:val="1A1A1A"/>
          <w:sz w:val="21"/>
        </w:rPr>
        <w:t>Aplicando sin excepciones nuestro criterio —priorizar el recall sobre malignidad—, gana el SVM: noventa y dos coma nueve frente a noventa coma cero tres. Es la única dimensión en la que gana, y por dos coma ocho siete puntos.</w:t>
      </w:r>
    </w:p>
    <w:p>
      <w:pPr>
        <w:spacing w:before="0" w:after="100"/>
        <w:jc w:val="both"/>
      </w:pPr>
      <w:r>
        <w:rPr>
          <w:rFonts w:ascii="Arial" w:hAnsi="Arial"/>
          <w:b w:val="0"/>
          <w:i w:val="0"/>
          <w:color w:val="1A1A1A"/>
          <w:sz w:val="21"/>
        </w:rPr>
        <w:t>En todo lo demás DenseNet201 domina con holgura. La diferencia más marcada es la especificidad: noventa y dos coma ocho cuatro frente a sesenta y cinco coma nueve. El SVM balanceado etiqueta como sospechosa a más de un tercio de las lesiones benignas reales; la red mantiene las falsas alarmas por debajo del ocho por ciento. Eso se traslada a la precisión sobre la clase maligna.</w:t>
      </w:r>
    </w:p>
    <w:p>
      <w:pPr>
        <w:spacing w:before="0" w:after="100"/>
        <w:jc w:val="both"/>
      </w:pPr>
      <w:r>
        <w:rPr>
          <w:rFonts w:ascii="Arial" w:hAnsi="Arial"/>
          <w:b w:val="0"/>
          <w:i w:val="0"/>
          <w:color w:val="1A1A1A"/>
          <w:sz w:val="21"/>
        </w:rPr>
        <w:t>Queremos ser transparentes con los límites de la comparación: los conjuntos de evaluación difieren ligeramente en tamaño, y la partición del SVM se agrupa por lesión mientras que en DenseNet201 no podemos afirmar que se aplique el mismo agrupamiento.</w:t>
      </w:r>
    </w:p>
    <w:p>
      <w:pPr>
        <w:spacing w:before="160" w:after="80"/>
      </w:pPr>
      <w:r>
        <w:rPr>
          <w:rFonts w:ascii="Arial" w:hAnsi="Arial"/>
          <w:b/>
          <w:i w:val="0"/>
          <w:color w:val="00566C"/>
          <w:sz w:val="20"/>
        </w:rPr>
        <w:t>Diapositiva 30   ·   24:35 → 25:30   ·   55 s   ·   Alvaro</w:t>
      </w:r>
    </w:p>
    <w:p>
      <w:pPr>
        <w:spacing w:before="0" w:after="100"/>
        <w:jc w:val="both"/>
      </w:pPr>
      <w:r>
        <w:rPr>
          <w:rFonts w:ascii="Arial" w:hAnsi="Arial"/>
          <w:b w:val="0"/>
          <w:i w:val="0"/>
          <w:color w:val="1A1A1A"/>
          <w:sz w:val="21"/>
        </w:rPr>
        <w:t>Esa ventaja tiene un coste, y es computacional.</w:t>
      </w:r>
    </w:p>
    <w:p>
      <w:pPr>
        <w:spacing w:before="0" w:after="100"/>
        <w:jc w:val="both"/>
      </w:pPr>
      <w:r>
        <w:rPr>
          <w:rFonts w:ascii="Arial" w:hAnsi="Arial"/>
          <w:b w:val="0"/>
          <w:i w:val="0"/>
          <w:color w:val="1A1A1A"/>
          <w:sz w:val="21"/>
        </w:rPr>
        <w:t>El SVM entrena en un coma treinta y tres segundos e infiere en cero coma veinticinco milisegundos por imagen. DenseNet201 necesita sesenta y dos minutos en GPU y trece milisegundos por inferencia. Fíjense en que el gráfico está en escala logarítmica.</w:t>
      </w:r>
    </w:p>
    <w:p>
      <w:pPr>
        <w:spacing w:before="0" w:after="100"/>
        <w:jc w:val="both"/>
      </w:pPr>
      <w:r>
        <w:rPr>
          <w:rFonts w:ascii="Arial" w:hAnsi="Arial"/>
          <w:b w:val="0"/>
          <w:i w:val="0"/>
          <w:color w:val="1A1A1A"/>
          <w:sz w:val="21"/>
        </w:rPr>
        <w:t>Y aquí queremos dejar la conclusión, porque creemos que es la aportación más honesta del trabajo: la decisión de cuál desplegar no depende solo de qué métrica gane en una tabla. Depende de cuál sea el recurso más escaso en el punto de despliegue.</w:t>
      </w:r>
    </w:p>
    <w:p>
      <w:pPr>
        <w:spacing w:before="0" w:after="100"/>
        <w:jc w:val="both"/>
      </w:pPr>
      <w:r>
        <w:rPr>
          <w:rFonts w:ascii="Arial" w:hAnsi="Arial"/>
          <w:b w:val="0"/>
          <w:i w:val="0"/>
          <w:color w:val="1A1A1A"/>
          <w:sz w:val="21"/>
        </w:rPr>
        <w:t>Si lo escaso es el cómputo —un centro rural sin GPU—, el SVM es viable y ofrece la sensibilidad agregada más alta. Si lo escaso es la capacidad de atención especializada para revisar las derivaciones, una especificidad del sesenta y cinco por ciento es insostenible y DenseNet201 es la opción.</w:t>
      </w:r>
    </w:p>
    <w:p>
      <w:pPr>
        <w:spacing w:before="280" w:after="40"/>
      </w:pPr>
      <w:r>
        <w:rPr>
          <w:rFonts w:ascii="Arial" w:hAnsi="Arial"/>
          <w:b/>
          <w:i w:val="0"/>
          <w:color w:val="219BC3"/>
          <w:sz w:val="28"/>
        </w:rPr>
        <w:t>BLOQUE 07 — CONCLUSIONES Y PROSPECTIVA</w:t>
      </w:r>
    </w:p>
    <w:p>
      <w:pPr>
        <w:spacing w:before="0" w:after="200"/>
        <w:pBdr>
          <w:bottom w:val="single" w:sz="8" w:space="1" w:color="219BC3"/>
        </w:pBdr>
      </w:pPr>
    </w:p>
    <w:p>
      <w:pPr>
        <w:spacing w:before="160" w:after="80"/>
      </w:pPr>
      <w:r>
        <w:rPr>
          <w:rFonts w:ascii="Arial" w:hAnsi="Arial"/>
          <w:b/>
          <w:i w:val="0"/>
          <w:color w:val="00566C"/>
          <w:sz w:val="20"/>
        </w:rPr>
        <w:t>Diapositiva 31   ·   25:30 → 25:35   ·   5 s   ·   Alvaro</w:t>
      </w:r>
    </w:p>
    <w:p>
      <w:pPr>
        <w:spacing w:before="0" w:after="100"/>
        <w:jc w:val="both"/>
      </w:pPr>
      <w:r>
        <w:rPr>
          <w:rFonts w:ascii="Arial" w:hAnsi="Arial"/>
          <w:b w:val="0"/>
          <w:i w:val="0"/>
          <w:color w:val="1A1A1A"/>
          <w:sz w:val="21"/>
        </w:rPr>
        <w:t>Cerramos con las conclusiones.</w:t>
      </w:r>
    </w:p>
    <w:p>
      <w:pPr>
        <w:spacing w:before="0" w:after="80"/>
      </w:pPr>
      <w:r>
        <w:rPr>
          <w:rFonts w:ascii="Arial" w:hAnsi="Arial"/>
          <w:b w:val="0"/>
          <w:i/>
          <w:color w:val="858591"/>
          <w:sz w:val="19"/>
        </w:rPr>
        <w:t>[Avanzar sin detenerse]</w:t>
      </w:r>
    </w:p>
    <w:p>
      <w:pPr>
        <w:spacing w:before="160" w:after="80"/>
      </w:pPr>
      <w:r>
        <w:rPr>
          <w:rFonts w:ascii="Arial" w:hAnsi="Arial"/>
          <w:b/>
          <w:i w:val="0"/>
          <w:color w:val="00566C"/>
          <w:sz w:val="20"/>
        </w:rPr>
        <w:t>Diapositiva 32   ·   25:35 → 26:40   ·   65 s   ·   Alvaro</w:t>
      </w:r>
    </w:p>
    <w:p>
      <w:pPr>
        <w:spacing w:before="0" w:after="100"/>
        <w:jc w:val="both"/>
      </w:pPr>
      <w:r>
        <w:rPr>
          <w:rFonts w:ascii="Arial" w:hAnsi="Arial"/>
          <w:b w:val="0"/>
          <w:i w:val="0"/>
          <w:color w:val="1A1A1A"/>
          <w:sz w:val="21"/>
        </w:rPr>
        <w:t>Verificamos primero el cumplimiento de los cinco objetivos específicos. Los cinco están cumplidos, con el capítulo donde se documenta cada uno.</w:t>
      </w:r>
    </w:p>
    <w:p>
      <w:pPr>
        <w:spacing w:before="0" w:after="100"/>
        <w:jc w:val="both"/>
      </w:pPr>
      <w:r>
        <w:rPr>
          <w:rFonts w:ascii="Arial" w:hAnsi="Arial"/>
          <w:b w:val="0"/>
          <w:i w:val="0"/>
          <w:color w:val="1A1A1A"/>
          <w:sz w:val="21"/>
        </w:rPr>
        <w:t>Un apunte de reproducibilidad: todo el código está versionado en GitHub, con las métricas exportadas a Excel y JSON y los modelos serializados para predecir sobre imágenes nuevas sin reentrenar.</w:t>
      </w:r>
    </w:p>
    <w:p>
      <w:pPr>
        <w:spacing w:before="0" w:after="100"/>
        <w:jc w:val="both"/>
      </w:pPr>
      <w:r>
        <w:rPr>
          <w:rFonts w:ascii="Arial" w:hAnsi="Arial"/>
          <w:b w:val="0"/>
          <w:i w:val="0"/>
          <w:color w:val="1A1A1A"/>
          <w:sz w:val="21"/>
        </w:rPr>
        <w:t>Las conclusiones principales son cuatro.</w:t>
      </w:r>
    </w:p>
    <w:p>
      <w:pPr>
        <w:spacing w:before="0" w:after="100"/>
        <w:jc w:val="both"/>
      </w:pPr>
      <w:r>
        <w:rPr>
          <w:rFonts w:ascii="Arial" w:hAnsi="Arial"/>
          <w:b w:val="0"/>
          <w:i w:val="0"/>
          <w:color w:val="1A1A1A"/>
          <w:sz w:val="21"/>
        </w:rPr>
        <w:t>Primera y más importante: no encontramos un algoritmo que se imponga de forma absoluta. El SVM ofrece la sensibilidad más alta a coste casi nulo; DenseNet201 ofrece una sensibilidad casi equivalente con un balance global mucho mejor.</w:t>
      </w:r>
    </w:p>
    <w:p>
      <w:pPr>
        <w:spacing w:before="0" w:after="100"/>
        <w:jc w:val="both"/>
      </w:pPr>
      <w:r>
        <w:rPr>
          <w:rFonts w:ascii="Arial" w:hAnsi="Arial"/>
          <w:b w:val="0"/>
          <w:i w:val="0"/>
          <w:color w:val="1A1A1A"/>
          <w:sz w:val="21"/>
        </w:rPr>
        <w:t>Segunda: balancear el dataset desplaza el punto de operación, no lo que el modelo aprende. Lo confirmamos en los dos algoritmos por separado.</w:t>
      </w:r>
    </w:p>
    <w:p>
      <w:pPr>
        <w:spacing w:before="0" w:after="100"/>
        <w:jc w:val="both"/>
      </w:pPr>
      <w:r>
        <w:rPr>
          <w:rFonts w:ascii="Arial" w:hAnsi="Arial"/>
          <w:b w:val="0"/>
          <w:i w:val="0"/>
          <w:color w:val="1A1A1A"/>
          <w:sz w:val="21"/>
        </w:rPr>
        <w:t>Tercera: los dos escenarios sirven a necesidades clínicas distintas.</w:t>
      </w:r>
    </w:p>
    <w:p>
      <w:pPr>
        <w:spacing w:before="0" w:after="100"/>
        <w:jc w:val="both"/>
      </w:pPr>
      <w:r>
        <w:rPr>
          <w:rFonts w:ascii="Arial" w:hAnsi="Arial"/>
          <w:b w:val="0"/>
          <w:i w:val="0"/>
          <w:color w:val="1A1A1A"/>
          <w:sz w:val="21"/>
        </w:rPr>
        <w:t>Y cuarta: la decisión de despliegue es contextual.</w:t>
      </w:r>
    </w:p>
    <w:p>
      <w:pPr>
        <w:spacing w:before="160" w:after="80"/>
      </w:pPr>
      <w:r>
        <w:rPr>
          <w:rFonts w:ascii="Arial" w:hAnsi="Arial"/>
          <w:b/>
          <w:i w:val="0"/>
          <w:color w:val="00566C"/>
          <w:sz w:val="20"/>
        </w:rPr>
        <w:t>Diapositiva 33   ·   26:40 → 27:45   ·   65 s   ·   Alvaro</w:t>
      </w:r>
    </w:p>
    <w:p>
      <w:pPr>
        <w:spacing w:before="0" w:after="100"/>
        <w:jc w:val="both"/>
      </w:pPr>
      <w:r>
        <w:rPr>
          <w:rFonts w:ascii="Arial" w:hAnsi="Arial"/>
          <w:b w:val="0"/>
          <w:i w:val="0"/>
          <w:color w:val="1A1A1A"/>
          <w:sz w:val="21"/>
        </w:rPr>
        <w:t>Terminamos con las limitaciones, que preferimos poner por delante, y el trabajo futuro.</w:t>
      </w:r>
    </w:p>
    <w:p>
      <w:pPr>
        <w:spacing w:before="0" w:after="100"/>
        <w:jc w:val="both"/>
      </w:pPr>
      <w:r>
        <w:rPr>
          <w:rFonts w:ascii="Arial" w:hAnsi="Arial"/>
          <w:b w:val="0"/>
          <w:i w:val="0"/>
          <w:color w:val="1A1A1A"/>
          <w:sz w:val="21"/>
        </w:rPr>
        <w:t>La limitación más importante no es técnica sino de representatividad. HAM10000 procede de poblaciones europeas y australianas, con fototipos de piel clara. La demografía ecuatoriana es predominantemente de fototipos altos. Desplegarlo directamente introduciría riesgo de pérdida de sensibilidad justo en la población a la que queremos servir.</w:t>
      </w:r>
    </w:p>
    <w:p>
      <w:pPr>
        <w:spacing w:before="0" w:after="100"/>
        <w:jc w:val="both"/>
      </w:pPr>
      <w:r>
        <w:rPr>
          <w:rFonts w:ascii="Arial" w:hAnsi="Arial"/>
          <w:b w:val="0"/>
          <w:i w:val="0"/>
          <w:color w:val="1A1A1A"/>
          <w:sz w:val="21"/>
        </w:rPr>
        <w:t>La segunda: la red opera solo sobre píxeles, dejando fuera edad, sexo y localización.</w:t>
      </w:r>
    </w:p>
    <w:p>
      <w:pPr>
        <w:spacing w:before="0" w:after="100"/>
        <w:jc w:val="both"/>
      </w:pPr>
      <w:r>
        <w:rPr>
          <w:rFonts w:ascii="Arial" w:hAnsi="Arial"/>
          <w:b w:val="0"/>
          <w:i w:val="0"/>
          <w:color w:val="1A1A1A"/>
          <w:sz w:val="21"/>
        </w:rPr>
        <w:t>La tercera: el melanoma acral lentiginoso, de altísima mortalidad en la región, está severamente infrarrepresentado.</w:t>
      </w:r>
    </w:p>
    <w:p>
      <w:pPr>
        <w:spacing w:before="0" w:after="100"/>
        <w:jc w:val="both"/>
      </w:pPr>
      <w:r>
        <w:rPr>
          <w:rFonts w:ascii="Arial" w:hAnsi="Arial"/>
          <w:b w:val="0"/>
          <w:i w:val="0"/>
          <w:color w:val="1A1A1A"/>
          <w:sz w:val="21"/>
        </w:rPr>
        <w:t>Y la cuarta es una autocrítica metodológica: la partición del Escenario 1 de DenseNet201 no agrupa por lesión. Lo reconocemos explícitamente.</w:t>
      </w:r>
    </w:p>
    <w:p>
      <w:pPr>
        <w:spacing w:before="0" w:after="100"/>
        <w:jc w:val="both"/>
      </w:pPr>
      <w:r>
        <w:rPr>
          <w:rFonts w:ascii="Arial" w:hAnsi="Arial"/>
          <w:b w:val="0"/>
          <w:i w:val="0"/>
          <w:color w:val="1A1A1A"/>
          <w:sz w:val="21"/>
        </w:rPr>
        <w:t>En trabajo futuro, la propuesta que más nos interesa es el muestreo asimétrico por cabeza: alimentar la Cabeza A con el dataset balanceado y la Cabeza B con el original en el mismo ciclo, para resolver el trade-off que hemos documentado. Después, el modelado multimodal, arquitecturas alternativas y, sobre todo, la validación multicéntrica con datos ecuatorianos.</w:t>
      </w:r>
    </w:p>
    <w:p>
      <w:pPr>
        <w:spacing w:before="280" w:after="40"/>
      </w:pPr>
      <w:r>
        <w:rPr>
          <w:rFonts w:ascii="Arial" w:hAnsi="Arial"/>
          <w:b/>
          <w:i w:val="0"/>
          <w:color w:val="219BC3"/>
          <w:sz w:val="28"/>
        </w:rPr>
        <w:t>CIERRE</w:t>
      </w:r>
    </w:p>
    <w:p>
      <w:pPr>
        <w:spacing w:before="0" w:after="200"/>
        <w:pBdr>
          <w:bottom w:val="single" w:sz="8" w:space="1" w:color="219BC3"/>
        </w:pBdr>
      </w:pPr>
    </w:p>
    <w:p>
      <w:pPr>
        <w:spacing w:before="160" w:after="80"/>
      </w:pPr>
      <w:r>
        <w:rPr>
          <w:rFonts w:ascii="Arial" w:hAnsi="Arial"/>
          <w:b/>
          <w:i w:val="0"/>
          <w:color w:val="00566C"/>
          <w:sz w:val="20"/>
        </w:rPr>
        <w:t>Diapositiva 34   ·   27:45 → 28:15   ·   30 s   ·   Alvaro y Christian</w:t>
      </w:r>
    </w:p>
    <w:p>
      <w:pPr>
        <w:spacing w:before="0" w:after="100"/>
        <w:jc w:val="both"/>
      </w:pPr>
      <w:r>
        <w:rPr>
          <w:rFonts w:ascii="Arial" w:hAnsi="Arial"/>
          <w:b w:val="0"/>
          <w:i w:val="0"/>
          <w:color w:val="1A1A1A"/>
          <w:sz w:val="21"/>
        </w:rPr>
        <w:t>Y con esto concluimos.</w:t>
      </w:r>
    </w:p>
    <w:p>
      <w:pPr>
        <w:spacing w:before="0" w:after="100"/>
        <w:jc w:val="both"/>
      </w:pPr>
      <w:r>
        <w:rPr>
          <w:rFonts w:ascii="Arial" w:hAnsi="Arial"/>
          <w:b w:val="0"/>
          <w:i w:val="0"/>
          <w:color w:val="1A1A1A"/>
          <w:sz w:val="21"/>
        </w:rPr>
        <w:t>Hemos comparado dos paradigmas sobre el mismo problema clínico, con un criterio de éxito definido desde la asimetría del coste del error, y hemos documentado tanto lo que gana cada uno como lo que cuesta.</w:t>
      </w:r>
    </w:p>
    <w:p>
      <w:pPr>
        <w:spacing w:before="0" w:after="100"/>
        <w:jc w:val="both"/>
      </w:pPr>
      <w:r>
        <w:rPr>
          <w:rFonts w:ascii="Arial" w:hAnsi="Arial"/>
          <w:b w:val="0"/>
          <w:i w:val="0"/>
          <w:color w:val="1A1A1A"/>
          <w:sz w:val="21"/>
        </w:rPr>
        <w:t>Muchas gracias por su atención. Quedamos a disposición del tribunal.</w:t>
      </w:r>
    </w:p>
    <w:p>
      <w:pPr>
        <w:spacing w:before="0" w:after="80"/>
      </w:pPr>
      <w:r>
        <w:rPr>
          <w:rFonts w:ascii="Arial" w:hAnsi="Arial"/>
          <w:b w:val="0"/>
          <w:i/>
          <w:color w:val="858591"/>
          <w:sz w:val="19"/>
        </w:rPr>
        <w:t>[FIN DE LA EXPOSICIÓN — turno de preguntas · quedan ~2 min de margen sobre los 30]</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858591"/>
        <w:sz w:val="16"/>
      </w:rPr>
      <w:t>Guion de defensa TFM · Gutiérrez Gutiérrez &amp; Gutiérrez Burbano · UNIR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