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00566C"/>
          <w:sz w:val="40"/>
        </w:rPr>
        <w:t>PREPARACIÓN DEL TURNO DE PREGUNTAS</w:t>
      </w:r>
    </w:p>
    <w:p>
      <w:pPr>
        <w:spacing w:before="0" w:after="80"/>
      </w:pPr>
      <w:r>
        <w:rPr>
          <w:rFonts w:ascii="Arial" w:hAnsi="Arial"/>
          <w:b w:val="0"/>
          <w:i w:val="0"/>
          <w:color w:val="1A1A1A"/>
          <w:sz w:val="24"/>
        </w:rPr>
        <w:t>Evaluación comparativa de SVM y DenseNet201 para la clasificación automática de enfermedades dermatológicas</w:t>
      </w:r>
    </w:p>
    <w:p>
      <w:pPr>
        <w:spacing w:before="0" w:after="200"/>
      </w:pPr>
      <w:r>
        <w:rPr>
          <w:rFonts w:ascii="Arial" w:hAnsi="Arial"/>
          <w:b w:val="0"/>
          <w:i w:val="0"/>
          <w:color w:val="858591"/>
          <w:sz w:val="20"/>
        </w:rPr>
        <w:t>Christian Marcelo Gutiérrez Gutiérrez  ·  Alvaro Marcelo Gutiérrez Burbano</w:t>
      </w:r>
    </w:p>
    <w:p>
      <w:pPr>
        <w:spacing w:before="0" w:after="160"/>
        <w:pBdr>
          <w:bottom w:val="single" w:sz="8" w:space="1" w:color="219BC3"/>
        </w:pBdr>
      </w:pPr>
    </w:p>
    <w:p>
      <w:pPr>
        <w:spacing w:before="0" w:after="80"/>
      </w:pPr>
      <w:r>
        <w:rPr>
          <w:rFonts w:ascii="Arial" w:hAnsi="Arial"/>
          <w:b w:val="0"/>
          <w:i w:val="0"/>
          <w:color w:val="858591"/>
          <w:sz w:val="20"/>
        </w:rPr>
        <w:t>Preguntas probables del tribunal y respuestas preparadas. Las respuestas están formuladas para decirse en voz alta en 40-60 segundos; en la defensa conviene dar la idea central en la primera frase y desarrollar solo si el tribunal lo pide.</w:t>
      </w:r>
    </w:p>
    <w:p>
      <w:pPr>
        <w:spacing w:before="0" w:after="240"/>
      </w:pPr>
      <w:r>
        <w:rPr>
          <w:rFonts w:ascii="Arial" w:hAnsi="Arial"/>
          <w:b w:val="0"/>
          <w:i w:val="0"/>
          <w:color w:val="858591"/>
          <w:sz w:val="20"/>
        </w:rPr>
        <w:t>Criterio general: reconocer la limitación cuando existe, cuantificarla con una cifra de la memoria y explicar qué haría falta para resolverla. Es lo que un tribunal valora, y es exactamente lo que el trabajo ya hace en su capítulo 7.</w:t>
      </w:r>
    </w:p>
    <w:p>
      <w:pPr>
        <w:spacing w:before="280" w:after="40"/>
      </w:pPr>
      <w:r>
        <w:rPr>
          <w:rFonts w:ascii="Arial" w:hAnsi="Arial"/>
          <w:b/>
          <w:i w:val="0"/>
          <w:color w:val="219BC3"/>
          <w:sz w:val="26"/>
        </w:rPr>
        <w:t>METODOLOGÍA Y DISEÑO EXPERIMENTAL</w:t>
      </w:r>
    </w:p>
    <w:p>
      <w:pPr>
        <w:spacing w:before="0" w:after="160"/>
        <w:pBdr>
          <w:bottom w:val="single" w:sz="8" w:space="1" w:color="219BC3"/>
        </w:pBdr>
      </w:pPr>
    </w:p>
    <w:p>
      <w:pPr>
        <w:spacing w:before="160" w:after="80"/>
      </w:pPr>
      <w:r>
        <w:rPr>
          <w:rFonts w:ascii="Arial" w:hAnsi="Arial"/>
          <w:b/>
          <w:i w:val="0"/>
          <w:color w:val="00566C"/>
          <w:sz w:val="22"/>
        </w:rPr>
        <w:t>1.  ¿Por qué comparan un SVM sobre píxeles crudos con una red preentrenada? ¿No es una comparación desigual?</w:t>
      </w:r>
    </w:p>
    <w:p>
      <w:pPr>
        <w:spacing w:before="0" w:after="120"/>
        <w:jc w:val="both"/>
      </w:pPr>
      <w:r>
        <w:rPr>
          <w:rFonts w:ascii="Arial" w:hAnsi="Arial"/>
          <w:b w:val="0"/>
          <w:i w:val="0"/>
          <w:color w:val="1A1A1A"/>
          <w:sz w:val="21"/>
        </w:rPr>
        <w:t>Es deliberadamente desigual, y esa es la función de una línea base. El SVM no pretende ganar: establece el suelo de rendimiento que un modelo más complejo debe superar para justificar su coste. Lo relevante del trabajo no es que DenseNet201 gane —era lo esperable según el estado del arte—, sino cuánto gana y a qué precio: 96,50 % frente a 86,43 % de AUC-ROC, con un coste de entrenamiento del orden de miles de veces mayor. Dicho esto, reconocemos que una línea base más exigente habría sido un SVM sobre descriptores morfológicos y de color extraídos explícitamente, en lugar de píxeles aplanados con PCA. Es una crítica que aceptamos.</w:t>
      </w:r>
    </w:p>
    <w:p>
      <w:pPr>
        <w:spacing w:before="160" w:after="80"/>
      </w:pPr>
      <w:r>
        <w:rPr>
          <w:rFonts w:ascii="Arial" w:hAnsi="Arial"/>
          <w:b/>
          <w:i w:val="0"/>
          <w:color w:val="00566C"/>
          <w:sz w:val="22"/>
        </w:rPr>
        <w:t>2.  ¿Por qué no optimizaron los hiperparámetros del SVM con GridSearch o búsqueda bayesiana?</w:t>
      </w:r>
    </w:p>
    <w:p>
      <w:pPr>
        <w:spacing w:before="0" w:after="120"/>
        <w:jc w:val="both"/>
      </w:pPr>
      <w:r>
        <w:rPr>
          <w:rFonts w:ascii="Arial" w:hAnsi="Arial"/>
          <w:b w:val="0"/>
          <w:i w:val="0"/>
          <w:color w:val="1A1A1A"/>
          <w:sz w:val="21"/>
        </w:rPr>
        <w:t>Por coherencia con su papel de línea base: usamos los valores por defecto de scikit-learn (C = 1,0, gamma = «scale») precisamente para no introducir una ventaja de ajuste que la red no tuvo. Ambos modelos se evalúan sin búsqueda de hiperparámetros. Es cierto que una optimización podría estrechar la diferencia, sobre todo en especificidad, y lo señalamos como línea de mejora inmediata.</w:t>
      </w:r>
    </w:p>
    <w:p>
      <w:pPr>
        <w:spacing w:before="160" w:after="80"/>
      </w:pPr>
      <w:r>
        <w:rPr>
          <w:rFonts w:ascii="Arial" w:hAnsi="Arial"/>
          <w:b/>
          <w:i w:val="0"/>
          <w:color w:val="00566C"/>
          <w:sz w:val="22"/>
        </w:rPr>
        <w:t>3.  El Escenario 1 resuelve 7 clases y el Escenario 2 solo 2. ¿No es tramposo comparar sus métricas?</w:t>
      </w:r>
    </w:p>
    <w:p>
      <w:pPr>
        <w:spacing w:before="0" w:after="120"/>
        <w:jc w:val="both"/>
      </w:pPr>
      <w:r>
        <w:rPr>
          <w:rFonts w:ascii="Arial" w:hAnsi="Arial"/>
          <w:b w:val="0"/>
          <w:i w:val="0"/>
          <w:color w:val="1A1A1A"/>
          <w:sz w:val="21"/>
        </w:rPr>
        <w:t>Lo es si se comparan directamente, y por eso no lo hacemos. En el apartado 5.5.6.1 agregamos las predicciones de la línea base a términos binarios a partir de su matriz de confusión, agrupando akiec, bcc y mel como maligno, para responder en los mismos términos. Aun así declaramos explícitamente los límites: esa agregación es una reconstrucción, no una métrica que el modelo binario haya optimizado, y las particiones no son idénticas. La conclusión se sostiene por la magnitud y la consistencia de la mejora —accuracy, F1, Kappa, MCC, validación cruzada y sensibilidad—, no por una única cifra.</w:t>
      </w:r>
    </w:p>
    <w:p>
      <w:pPr>
        <w:spacing w:before="160" w:after="80"/>
      </w:pPr>
      <w:r>
        <w:rPr>
          <w:rFonts w:ascii="Arial" w:hAnsi="Arial"/>
          <w:b/>
          <w:i w:val="0"/>
          <w:color w:val="00566C"/>
          <w:sz w:val="22"/>
        </w:rPr>
        <w:t>4.  Reconocen que el Escenario 1 de DenseNet201 no agrupa por lesion_id. ¿Invalida eso sus resultados?</w:t>
      </w:r>
    </w:p>
    <w:p>
      <w:pPr>
        <w:spacing w:before="0" w:after="120"/>
        <w:jc w:val="both"/>
      </w:pPr>
      <w:r>
        <w:rPr>
          <w:rFonts w:ascii="Arial" w:hAnsi="Arial"/>
          <w:b w:val="0"/>
          <w:i w:val="0"/>
          <w:color w:val="1A1A1A"/>
          <w:sz w:val="21"/>
        </w:rPr>
        <w:t>No los invalida, pero sí obliga a leerlos con cautela. Sin agrupamiento, imágenes de la misma lesión pueden aparecer en entrenamiento y validación, lo que infla las métricas de ese escenario. Ahora bien, el sentido de nuestra conclusión no se ve afectado: el Escenario 1 aparece como el más optimista y aun así su sensibilidad (81,07 %) es inferior a la del Escenario 2 (90,03 %), que sí agrupa correctamente. Es decir, la inflación juega en contra de la conclusión que defendemos, no a favor. Lo declaramos como limitación metodológica y como primera corrección a aplicar.</w:t>
      </w:r>
    </w:p>
    <w:p>
      <w:pPr>
        <w:spacing w:before="280" w:after="40"/>
      </w:pPr>
      <w:r>
        <w:rPr>
          <w:rFonts w:ascii="Arial" w:hAnsi="Arial"/>
          <w:b/>
          <w:i w:val="0"/>
          <w:color w:val="219BC3"/>
          <w:sz w:val="26"/>
        </w:rPr>
        <w:t>DATOS Y PREPROCESAMIENTO</w:t>
      </w:r>
    </w:p>
    <w:p>
      <w:pPr>
        <w:spacing w:before="0" w:after="160"/>
        <w:pBdr>
          <w:bottom w:val="single" w:sz="8" w:space="1" w:color="219BC3"/>
        </w:pBdr>
      </w:pPr>
    </w:p>
    <w:p>
      <w:pPr>
        <w:spacing w:before="160" w:after="80"/>
      </w:pPr>
      <w:r>
        <w:rPr>
          <w:rFonts w:ascii="Arial" w:hAnsi="Arial"/>
          <w:b/>
          <w:i w:val="0"/>
          <w:color w:val="00566C"/>
          <w:sz w:val="22"/>
        </w:rPr>
        <w:t>5.  ¿Por qué redimensionan a 64×64 px? ¿No se pierde información diagnóstica decisiva?</w:t>
      </w:r>
    </w:p>
    <w:p>
      <w:pPr>
        <w:spacing w:before="0" w:after="120"/>
        <w:jc w:val="both"/>
      </w:pPr>
      <w:r>
        <w:rPr>
          <w:rFonts w:ascii="Arial" w:hAnsi="Arial"/>
          <w:b w:val="0"/>
          <w:i w:val="0"/>
          <w:color w:val="1A1A1A"/>
          <w:sz w:val="21"/>
        </w:rPr>
        <w:t>Sí se pierde, y es una restricción impuesta por el pipeline de SVM: aplanar la imagen genera un vector de 12.288 características incluso a esa resolución, y subir a 224×224 lo llevaría a más de 150.000, inviable en CPU. Es una limitación real del enfoque clásico, no una decisión arbitraria, y forma parte de lo que la comparativa pone en evidencia: el ML tradicional obliga a sacrificar resolución para ser tratable, mientras que la CNN opera sobre la imagen completa. DenseNet201 no sufre esta restricción.</w:t>
      </w:r>
    </w:p>
    <w:p>
      <w:pPr>
        <w:spacing w:before="160" w:after="80"/>
      </w:pPr>
      <w:r>
        <w:rPr>
          <w:rFonts w:ascii="Arial" w:hAnsi="Arial"/>
          <w:b/>
          <w:i w:val="0"/>
          <w:color w:val="00566C"/>
          <w:sz w:val="22"/>
        </w:rPr>
        <w:t>6.  ¿Por qué aplican SMOTE en el Escenario 1 y submuestreo en el 2? ¿No mezclan dos efectos?</w:t>
      </w:r>
    </w:p>
    <w:p>
      <w:pPr>
        <w:spacing w:before="0" w:after="120"/>
        <w:jc w:val="both"/>
      </w:pPr>
      <w:r>
        <w:rPr>
          <w:rFonts w:ascii="Arial" w:hAnsi="Arial"/>
          <w:b w:val="0"/>
          <w:i w:val="0"/>
          <w:color w:val="1A1A1A"/>
          <w:sz w:val="21"/>
        </w:rPr>
        <w:t>Son dos estrategias deliberadamente distintas porque responden a formulaciones distintas del problema. En el Escenario 1, con siete clases y clases minoritarias de 115 imágenes, el submuestreo destruiría el dataset; el sobremuestreo sintético es la única opción razonable. En el Escenario 2, con dos clases y 1.954 imágenes malignas disponibles, el submuestreo de la clase benigna conserva únicamente muestras reales y evita introducir interpolaciones entre lesiones que clínicamente no existen. Es cierto que esto impide atribuir la mejora a una única variable, y lo señalamos.</w:t>
      </w:r>
    </w:p>
    <w:p>
      <w:pPr>
        <w:spacing w:before="160" w:after="80"/>
      </w:pPr>
      <w:r>
        <w:rPr>
          <w:rFonts w:ascii="Arial" w:hAnsi="Arial"/>
          <w:b/>
          <w:i w:val="0"/>
          <w:color w:val="00566C"/>
          <w:sz w:val="22"/>
        </w:rPr>
        <w:t>7.  ¿No sería mejor usar data augmentation en lugar de descartar más de 6.000 imágenes benignas?</w:t>
      </w:r>
    </w:p>
    <w:p>
      <w:pPr>
        <w:spacing w:before="0" w:after="120"/>
        <w:jc w:val="both"/>
      </w:pPr>
      <w:r>
        <w:rPr>
          <w:rFonts w:ascii="Arial" w:hAnsi="Arial"/>
          <w:b w:val="0"/>
          <w:i w:val="0"/>
          <w:color w:val="1A1A1A"/>
          <w:sz w:val="21"/>
        </w:rPr>
        <w:t>Es exactamente la crítica que recoge nuestra propuesta de trabajo futuro. El submuestreo tiene un coste medible que documentamos: la Cabeza B pierde 31,30 puntos de recall en dermatofibroma y 13,10 en lesión vascular, porque esas clases quedan reducidas a 18 y 24 muestras. La solución que proponemos es el muestreo asimétrico por cabeza: alimentar la Cabeza A con el dataset balanceado y la Cabeza B con el original dentro del mismo ciclo, de modo que el backbone compartido aprenda de ambas fuentes.</w:t>
      </w:r>
    </w:p>
    <w:p>
      <w:pPr>
        <w:spacing w:before="160" w:after="80"/>
      </w:pPr>
      <w:r>
        <w:rPr>
          <w:rFonts w:ascii="Arial" w:hAnsi="Arial"/>
          <w:b/>
          <w:i w:val="0"/>
          <w:color w:val="00566C"/>
          <w:sz w:val="22"/>
        </w:rPr>
        <w:t>8.  La V de Cramér entre malignidad y dx_type es 0,460. ¿No es eso una fuga de información?</w:t>
      </w:r>
    </w:p>
    <w:p>
      <w:pPr>
        <w:spacing w:before="0" w:after="120"/>
        <w:jc w:val="both"/>
      </w:pPr>
      <w:r>
        <w:rPr>
          <w:rFonts w:ascii="Arial" w:hAnsi="Arial"/>
          <w:b w:val="0"/>
          <w:i w:val="0"/>
          <w:color w:val="1A1A1A"/>
          <w:sz w:val="21"/>
        </w:rPr>
        <w:t>No en el sentido estricto, porque dx_type no entra como característica en ningún modelo: trabajamos solo con píxeles. Pero sí es un sesgo de etiquetado que afecta a la fiabilidad del ground truth: las lesiones malignas se confirman casi siempre por histopatología, mientras que las benignas se etiquetan con frecuencia por seguimiento clínico o consenso de expertos, que son métodos menos concluyentes. Eso significa que el error de etiqueta no está distribuido de forma homogénea entre clases. Lo declaramos en las limitaciones.</w:t>
      </w:r>
    </w:p>
    <w:p>
      <w:pPr>
        <w:spacing w:before="280" w:after="40"/>
      </w:pPr>
      <w:r>
        <w:rPr>
          <w:rFonts w:ascii="Arial" w:hAnsi="Arial"/>
          <w:b/>
          <w:i w:val="0"/>
          <w:color w:val="219BC3"/>
          <w:sz w:val="26"/>
        </w:rPr>
        <w:t>MODELADO Y ARQUITECTURA</w:t>
      </w:r>
    </w:p>
    <w:p>
      <w:pPr>
        <w:spacing w:before="0" w:after="160"/>
        <w:pBdr>
          <w:bottom w:val="single" w:sz="8" w:space="1" w:color="219BC3"/>
        </w:pBdr>
      </w:pPr>
    </w:p>
    <w:p>
      <w:pPr>
        <w:spacing w:before="160" w:after="80"/>
      </w:pPr>
      <w:r>
        <w:rPr>
          <w:rFonts w:ascii="Arial" w:hAnsi="Arial"/>
          <w:b/>
          <w:i w:val="0"/>
          <w:color w:val="00566C"/>
          <w:sz w:val="22"/>
        </w:rPr>
        <w:t>9.  ¿Por qué DenseNet201 y no EfficientNet, ResNet o un Vision Transformer?</w:t>
      </w:r>
    </w:p>
    <w:p>
      <w:pPr>
        <w:spacing w:before="0" w:after="120"/>
        <w:jc w:val="both"/>
      </w:pPr>
      <w:r>
        <w:rPr>
          <w:rFonts w:ascii="Arial" w:hAnsi="Arial"/>
          <w:b w:val="0"/>
          <w:i w:val="0"/>
          <w:color w:val="1A1A1A"/>
          <w:sz w:val="21"/>
        </w:rPr>
        <w:t>Por tres razones. Primera, los bloques densos maximizan la reutilización de características y mitigan el desvanecimiento del gradiente sin disparar el número de parámetros. Segunda, hay antecedente directo en el dominio: Goceri (2021) alcanza un 95,24 % con DenseNet201 sobre lesiones dermatológicas. Y tercera, comparabilidad: nos interesaba una arquitectura ampliamente documentada frente a la que contrastar. La evaluación de EfficientNet y Vision Transformers es una de nuestras líneas de trabajo futuro declaradas.</w:t>
      </w:r>
    </w:p>
    <w:p>
      <w:pPr>
        <w:spacing w:before="160" w:after="80"/>
      </w:pPr>
      <w:r>
        <w:rPr>
          <w:rFonts w:ascii="Arial" w:hAnsi="Arial"/>
          <w:b/>
          <w:i w:val="0"/>
          <w:color w:val="00566C"/>
          <w:sz w:val="22"/>
        </w:rPr>
        <w:t>10.  ¿Congelaron el backbone o entrenaron toda la red? ¿Y por qué 30 épocas?</w:t>
      </w:r>
    </w:p>
    <w:p>
      <w:pPr>
        <w:spacing w:before="0" w:after="120"/>
        <w:jc w:val="both"/>
      </w:pPr>
      <w:r>
        <w:rPr>
          <w:rFonts w:ascii="Arial" w:hAnsi="Arial"/>
          <w:b w:val="0"/>
          <w:i w:val="0"/>
          <w:color w:val="1A1A1A"/>
          <w:sz w:val="21"/>
        </w:rPr>
        <w:t>La red cuenta con 18.110.217 parámetros entrenables, es decir, no se limitó el entrenamiento a las cabezas. En cuanto a las 30 épocas, la decisión se apoya en las curvas de entrenamiento: la pérdida de validación entra en meseta estable entre 0,35 y 0,38 a partir de la época 14, y el mejor desempeño de validación se alcanza en la época 16. Añadir épocas no aportaba mejora y sí riesgo de sobreajuste; ReduceLROnPlateau, con factor 0,1 y paciencia 3, gestiona el estancamiento.</w:t>
      </w:r>
    </w:p>
    <w:p>
      <w:pPr>
        <w:spacing w:before="160" w:after="80"/>
      </w:pPr>
      <w:r>
        <w:rPr>
          <w:rFonts w:ascii="Arial" w:hAnsi="Arial"/>
          <w:b/>
          <w:i w:val="0"/>
          <w:color w:val="00566C"/>
          <w:sz w:val="22"/>
        </w:rPr>
        <w:t>11.  ¿Por qué ponderar la pérdida conjunta al 50/50 y no de otra forma?</w:t>
      </w:r>
    </w:p>
    <w:p>
      <w:pPr>
        <w:spacing w:before="0" w:after="120"/>
        <w:jc w:val="both"/>
      </w:pPr>
      <w:r>
        <w:rPr>
          <w:rFonts w:ascii="Arial" w:hAnsi="Arial"/>
          <w:b w:val="0"/>
          <w:i w:val="0"/>
          <w:color w:val="1A1A1A"/>
          <w:sz w:val="21"/>
        </w:rPr>
        <w:t>Es una elección de simetría: ninguna de las dos tareas es subordinada de la otra, el triaje y el diagnóstico específico tienen valor clínico propio. No exploramos otras ponderaciones, y reconocemos que es un hiperparámetro sin ajustar. De hecho, el trade-off que documentamos entre la Cabeza A y la Cabeza B sugiere que una ponderación dinámica —o el muestreo asimétrico que proponemos— podría mejorar ambas simultáneamente.</w:t>
      </w:r>
    </w:p>
    <w:p>
      <w:pPr>
        <w:spacing w:before="160" w:after="80"/>
      </w:pPr>
      <w:r>
        <w:rPr>
          <w:rFonts w:ascii="Arial" w:hAnsi="Arial"/>
          <w:b/>
          <w:i w:val="0"/>
          <w:color w:val="00566C"/>
          <w:sz w:val="22"/>
        </w:rPr>
        <w:t>12.  La queratosis actínica pierde 18,46 puntos de recall conservando las mismas 262 muestras. ¿Están seguros de su explicación?</w:t>
      </w:r>
    </w:p>
    <w:p>
      <w:pPr>
        <w:spacing w:before="0" w:after="120"/>
        <w:jc w:val="both"/>
      </w:pPr>
      <w:r>
        <w:rPr>
          <w:rFonts w:ascii="Arial" w:hAnsi="Arial"/>
          <w:b w:val="0"/>
          <w:i w:val="0"/>
          <w:color w:val="1A1A1A"/>
          <w:sz w:val="21"/>
        </w:rPr>
        <w:t>Nuestra explicación es que el vector de pesos por clase de la Cabeza B se recalcula en cada escenario en función de la nueva distribución del conjunto de entrenamiento: el peso de akiec cae de 4,37 a 1,70 porque, en un conjunto mucho más pequeño, deja de ser tan minoritaria en términos relativos. El modelo recibe menos penalización por confundirla. La presentamos como hipótesis plausible, no como demostración: verificarla exigiría un experimento de ablación fijando los pesos entre escenarios, que no hemos realizado.</w:t>
      </w:r>
    </w:p>
    <w:p>
      <w:pPr>
        <w:spacing w:before="280" w:after="40"/>
      </w:pPr>
      <w:r>
        <w:rPr>
          <w:rFonts w:ascii="Arial" w:hAnsi="Arial"/>
          <w:b/>
          <w:i w:val="0"/>
          <w:color w:val="219BC3"/>
          <w:sz w:val="26"/>
        </w:rPr>
        <w:t>RESULTADOS Y EVALUACIÓN</w:t>
      </w:r>
    </w:p>
    <w:p>
      <w:pPr>
        <w:spacing w:before="0" w:after="160"/>
        <w:pBdr>
          <w:bottom w:val="single" w:sz="8" w:space="1" w:color="219BC3"/>
        </w:pBdr>
      </w:pPr>
    </w:p>
    <w:p>
      <w:pPr>
        <w:spacing w:before="160" w:after="80"/>
      </w:pPr>
      <w:r>
        <w:rPr>
          <w:rFonts w:ascii="Arial" w:hAnsi="Arial"/>
          <w:b/>
          <w:i w:val="0"/>
          <w:color w:val="00566C"/>
          <w:sz w:val="22"/>
        </w:rPr>
        <w:t>13.  Si el SVM tiene mayor sensibilidad, ¿por qué no lo recomiendan sin más?</w:t>
      </w:r>
    </w:p>
    <w:p>
      <w:pPr>
        <w:spacing w:before="0" w:after="120"/>
        <w:jc w:val="both"/>
      </w:pPr>
      <w:r>
        <w:rPr>
          <w:rFonts w:ascii="Arial" w:hAnsi="Arial"/>
          <w:b w:val="0"/>
          <w:i w:val="0"/>
          <w:color w:val="1A1A1A"/>
          <w:sz w:val="21"/>
        </w:rPr>
        <w:t>Porque la sensibilidad no se lee aislada de la especificidad. El SVM gana por 2,87 puntos en sensibilidad (92,90 % frente a 90,03 %), pero su especificidad es del 65,90 % frente al 92,84 % de DenseNet201: etiquetaría como sospechosa a más de un tercio de las lesiones benignas reales. En un despliegue real eso significa derivar a consulta especializada a una proporción enorme de pacientes sanos, lo que colapsaría el mismo cuello de botella que el sistema pretende aliviar. Por eso nuestra conclusión es contextual y no un ranking.</w:t>
      </w:r>
    </w:p>
    <w:p>
      <w:pPr>
        <w:spacing w:before="160" w:after="80"/>
      </w:pPr>
      <w:r>
        <w:rPr>
          <w:rFonts w:ascii="Arial" w:hAnsi="Arial"/>
          <w:b/>
          <w:i w:val="0"/>
          <w:color w:val="00566C"/>
          <w:sz w:val="22"/>
        </w:rPr>
        <w:t>14.  El AUC macro baja al balancear el SVM. ¿No es señal de que el modelo ha empeorado?</w:t>
      </w:r>
    </w:p>
    <w:p>
      <w:pPr>
        <w:spacing w:before="0" w:after="120"/>
        <w:jc w:val="both"/>
      </w:pPr>
      <w:r>
        <w:rPr>
          <w:rFonts w:ascii="Arial" w:hAnsi="Arial"/>
          <w:b w:val="0"/>
          <w:i w:val="0"/>
          <w:color w:val="1A1A1A"/>
          <w:sz w:val="21"/>
        </w:rPr>
        <w:t>No. El AUC mide la capacidad de ordenar los casos por probabilidad a lo largo de todos los umbrales, y tiende a mantenerse artificialmente alto aunque en el umbral operativo real (0,5) el modelo falle en la clase minoritaria. El melanoma en la línea base lo ilustra: AUC de 0,827 con un recall real de 0,475. El AUC sigue siendo útil para evaluar la discriminación subyacente, pero no sustituye a la sensibilidad medida al umbral con el que se va a operar.</w:t>
      </w:r>
    </w:p>
    <w:p>
      <w:pPr>
        <w:spacing w:before="160" w:after="80"/>
      </w:pPr>
      <w:r>
        <w:rPr>
          <w:rFonts w:ascii="Arial" w:hAnsi="Arial"/>
          <w:b/>
          <w:i w:val="0"/>
          <w:color w:val="00566C"/>
          <w:sz w:val="22"/>
        </w:rPr>
        <w:t>15.  Sus resultados de accuracy son inferiores a los del estado del arte (85,62 % de Çevik y Zengin). ¿Cómo lo justifican?</w:t>
      </w:r>
    </w:p>
    <w:p>
      <w:pPr>
        <w:spacing w:before="0" w:after="120"/>
        <w:jc w:val="both"/>
      </w:pPr>
      <w:r>
        <w:rPr>
          <w:rFonts w:ascii="Arial" w:hAnsi="Arial"/>
          <w:b w:val="0"/>
          <w:i w:val="0"/>
          <w:color w:val="1A1A1A"/>
          <w:sz w:val="21"/>
        </w:rPr>
        <w:t>No perseguíamos el accuracy. Nuestro criterio de éxito, fijado antes de modelar, es la sensibilidad sobre la clase maligna; el accuracy se reporta como referencia secundaria. Aun así, la Cabeza A del Escenario 1 alcanza un 93,36 % de accuracy y la Cabeza B un 90,36 % con un AUC macro del 98,44 %, cifras comparables o superiores a las referencias citadas. Lo que sí es inferior es el accuracy del Escenario 2, y es una consecuencia buscada: desplazamos el punto de operación hacia la sensibilidad.</w:t>
      </w:r>
    </w:p>
    <w:p>
      <w:pPr>
        <w:spacing w:before="160" w:after="80"/>
      </w:pPr>
      <w:r>
        <w:rPr>
          <w:rFonts w:ascii="Arial" w:hAnsi="Arial"/>
          <w:b/>
          <w:i w:val="0"/>
          <w:color w:val="00566C"/>
          <w:sz w:val="22"/>
        </w:rPr>
        <w:t>16.  ¿Han hecho algún test de significación estadística sobre las diferencias entre modelos?</w:t>
      </w:r>
    </w:p>
    <w:p>
      <w:pPr>
        <w:spacing w:before="0" w:after="120"/>
        <w:jc w:val="both"/>
      </w:pPr>
      <w:r>
        <w:rPr>
          <w:rFonts w:ascii="Arial" w:hAnsi="Arial"/>
          <w:b w:val="0"/>
          <w:i w:val="0"/>
          <w:color w:val="1A1A1A"/>
          <w:sz w:val="21"/>
        </w:rPr>
        <w:t>No. Reportamos validación cruzada de 5 folds con media y desviación típica, que muestra diferencias muy superiores a la dispersión entre folds —0,578 ± 0,007 frente a 0,787 ± 0,015 en accuracy—, pero no aplicamos un test formal como McNemar o un test de permutación. Es una carencia que asumimos; con las matrices de confusión disponibles, un test de McNemar sobre las predicciones pareadas sería inmediato de añadir.</w:t>
      </w:r>
    </w:p>
    <w:p>
      <w:pPr>
        <w:spacing w:before="160" w:after="80"/>
      </w:pPr>
      <w:r>
        <w:rPr>
          <w:rFonts w:ascii="Arial" w:hAnsi="Arial"/>
          <w:b/>
          <w:i w:val="0"/>
          <w:color w:val="00566C"/>
          <w:sz w:val="22"/>
        </w:rPr>
        <w:t>17.  ¿Por qué los conjuntos de evaluación tienen tamaños distintos, 789 frente a 782 imágenes?</w:t>
      </w:r>
    </w:p>
    <w:p>
      <w:pPr>
        <w:spacing w:before="0" w:after="120"/>
        <w:jc w:val="both"/>
      </w:pPr>
      <w:r>
        <w:rPr>
          <w:rFonts w:ascii="Arial" w:hAnsi="Arial"/>
          <w:b w:val="0"/>
          <w:i w:val="0"/>
          <w:color w:val="1A1A1A"/>
          <w:sz w:val="21"/>
        </w:rPr>
        <w:t>Porque proceden de particiones construidas por scripts distintos: la del SVM agrupa por lesion_id sobre el dataset binario balanceado, y la de DenseNet201 aplica su propio submuestreo de nevus. Lo declaramos explícitamente como una diferencia metodológica que impide una equivalencia perfecta. Para una comparación estrictamente controlada habría que reevaluar ambos modelos sobre un conjunto de test idéntico y congelado, y es lo que haríamos en una revisión.</w:t>
      </w:r>
    </w:p>
    <w:p>
      <w:pPr>
        <w:spacing w:before="280" w:after="40"/>
      </w:pPr>
      <w:r>
        <w:rPr>
          <w:rFonts w:ascii="Arial" w:hAnsi="Arial"/>
          <w:b/>
          <w:i w:val="0"/>
          <w:color w:val="219BC3"/>
          <w:sz w:val="26"/>
        </w:rPr>
        <w:t>APLICABILIDAD CLÍNICA, ÉTICA Y NORMATIVA</w:t>
      </w:r>
    </w:p>
    <w:p>
      <w:pPr>
        <w:spacing w:before="0" w:after="160"/>
        <w:pBdr>
          <w:bottom w:val="single" w:sz="8" w:space="1" w:color="219BC3"/>
        </w:pBdr>
      </w:pPr>
    </w:p>
    <w:p>
      <w:pPr>
        <w:spacing w:before="160" w:after="80"/>
      </w:pPr>
      <w:r>
        <w:rPr>
          <w:rFonts w:ascii="Arial" w:hAnsi="Arial"/>
          <w:b/>
          <w:i w:val="0"/>
          <w:color w:val="00566C"/>
          <w:sz w:val="22"/>
        </w:rPr>
        <w:t>18.  ¿Es éticamente responsable proponer este sistema para Ecuador con un dataset de piel clara?</w:t>
      </w:r>
    </w:p>
    <w:p>
      <w:pPr>
        <w:spacing w:before="0" w:after="120"/>
        <w:jc w:val="both"/>
      </w:pPr>
      <w:r>
        <w:rPr>
          <w:rFonts w:ascii="Arial" w:hAnsi="Arial"/>
          <w:b w:val="0"/>
          <w:i w:val="0"/>
          <w:color w:val="1A1A1A"/>
          <w:sz w:val="21"/>
        </w:rPr>
        <w:t>Como sistema desplegable, no; y así lo decimos. Es la primera limitación que declaramos y la conclusión más incómoda del trabajo: sin transferencia de dominio o validación externa con bancos de imágenes nacionales, desplegar directamente el modelo introduce riesgo de pérdida de sensibilidad justamente en la población a la que pretende servir. Lo que sí es responsable es usar el trabajo como prueba de concepto metodológica y cuantificar el sesgo antes de cualquier despliegue. Por eso la validación multicéntrica con datos ecuatorianos encabeza nuestro trabajo futuro.</w:t>
      </w:r>
    </w:p>
    <w:p>
      <w:pPr>
        <w:spacing w:before="160" w:after="80"/>
      </w:pPr>
      <w:r>
        <w:rPr>
          <w:rFonts w:ascii="Arial" w:hAnsi="Arial"/>
          <w:b/>
          <w:i w:val="0"/>
          <w:color w:val="00566C"/>
          <w:sz w:val="22"/>
        </w:rPr>
        <w:t>19.  ¿Qué haría falta para que este sistema llegue a un hospital ecuatoriano?</w:t>
      </w:r>
    </w:p>
    <w:p>
      <w:pPr>
        <w:spacing w:before="0" w:after="120"/>
        <w:jc w:val="both"/>
      </w:pPr>
      <w:r>
        <w:rPr>
          <w:rFonts w:ascii="Arial" w:hAnsi="Arial"/>
          <w:b w:val="0"/>
          <w:i w:val="0"/>
          <w:color w:val="1A1A1A"/>
          <w:sz w:val="21"/>
        </w:rPr>
        <w:t>Cuatro cosas. Primera, validación externa sobre fototipos III–V con datos locales. Segunda, obtención del Registro Sanitario de Dispositivo Médico ante la ARCSA, bajo supervisión del Ministerio de Salud Pública. Tercera, un diseño de operación human-in-the-loop: el sistema nunca decide de forma autónoma, solo prioriza y sugiere, y el criterio final es del especialista registrado. Y cuarta, trazabilidad e interpretabilidad de las decisiones, exigidas por los artículos 11 y 32 de la Constitución para que la adopción clínica sea legítima.</w:t>
      </w:r>
    </w:p>
    <w:p>
      <w:pPr>
        <w:spacing w:before="160" w:after="80"/>
      </w:pPr>
      <w:r>
        <w:rPr>
          <w:rFonts w:ascii="Arial" w:hAnsi="Arial"/>
          <w:b/>
          <w:i w:val="0"/>
          <w:color w:val="00566C"/>
          <w:sz w:val="22"/>
        </w:rPr>
        <w:t>20.  ¿Qué umbral de decisión usarían en producción, y quién debería fijarlo?</w:t>
      </w:r>
    </w:p>
    <w:p>
      <w:pPr>
        <w:spacing w:before="0" w:after="120"/>
        <w:jc w:val="both"/>
      </w:pPr>
      <w:r>
        <w:rPr>
          <w:rFonts w:ascii="Arial" w:hAnsi="Arial"/>
          <w:b w:val="0"/>
          <w:i w:val="0"/>
          <w:color w:val="1A1A1A"/>
          <w:sz w:val="21"/>
        </w:rPr>
        <w:t>En el trabajo operamos al umbral por defecto de 0,5, que es una decisión técnica por omisión. En producción el umbral no debería fijarlo el equipo de datos, sino la dirección clínica, porque es una decisión de política asistencial: determina cuántos falsos positivos está dispuesto a absorber el servicio a cambio de cuántos falsos negativos evita. Nuestro trabajo aporta la información necesaria para tomarla —las curvas ROC y Precision-Recall completas—, pero la elección es clínica y organizativa.</w:t>
      </w:r>
    </w:p>
    <w:p>
      <w:pPr>
        <w:spacing w:before="160" w:after="80"/>
      </w:pPr>
      <w:r>
        <w:rPr>
          <w:rFonts w:ascii="Arial" w:hAnsi="Arial"/>
          <w:b/>
          <w:i w:val="0"/>
          <w:color w:val="00566C"/>
          <w:sz w:val="22"/>
        </w:rPr>
        <w:t>21.  ¿No es un problema que el modelo no sea interpretable para el médico?</w:t>
      </w:r>
    </w:p>
    <w:p>
      <w:pPr>
        <w:spacing w:before="0" w:after="120"/>
        <w:jc w:val="both"/>
      </w:pPr>
      <w:r>
        <w:rPr>
          <w:rFonts w:ascii="Arial" w:hAnsi="Arial"/>
          <w:b w:val="0"/>
          <w:i w:val="0"/>
          <w:color w:val="1A1A1A"/>
          <w:sz w:val="21"/>
        </w:rPr>
        <w:t>Es un problema real, y por eso el marco normativo del trabajo insiste en la transparencia algorítmica. No hemos implementado técnicas de explicabilidad visual —Grad-CAM o mapas de saliencia—, lo que sería el complemento natural de la arquitectura de dos cabezas: la Cabeza A da el triaje, la Cabeza B el diagnóstico y un mapa de activación mostraría en qué región de la lesión se apoya la red. Es una carencia del trabajo y una línea de continuación evidente.</w:t>
      </w:r>
    </w:p>
    <w:p>
      <w:pPr>
        <w:spacing w:before="280" w:after="40"/>
      </w:pPr>
      <w:r>
        <w:rPr>
          <w:rFonts w:ascii="Arial" w:hAnsi="Arial"/>
          <w:b/>
          <w:i w:val="0"/>
          <w:color w:val="219BC3"/>
          <w:sz w:val="26"/>
        </w:rPr>
        <w:t>PREGUNTAS DE CIERRE HABITUALES</w:t>
      </w:r>
    </w:p>
    <w:p>
      <w:pPr>
        <w:spacing w:before="0" w:after="160"/>
        <w:pBdr>
          <w:bottom w:val="single" w:sz="8" w:space="1" w:color="219BC3"/>
        </w:pBdr>
      </w:pPr>
    </w:p>
    <w:p>
      <w:pPr>
        <w:spacing w:before="160" w:after="80"/>
      </w:pPr>
      <w:r>
        <w:rPr>
          <w:rFonts w:ascii="Arial" w:hAnsi="Arial"/>
          <w:b/>
          <w:i w:val="0"/>
          <w:color w:val="00566C"/>
          <w:sz w:val="22"/>
        </w:rPr>
        <w:t>22.  Si tuvieran que rehacer el trabajo, ¿qué cambiarían?</w:t>
      </w:r>
    </w:p>
    <w:p>
      <w:pPr>
        <w:spacing w:before="0" w:after="120"/>
        <w:jc w:val="both"/>
      </w:pPr>
      <w:r>
        <w:rPr>
          <w:rFonts w:ascii="Arial" w:hAnsi="Arial"/>
          <w:b w:val="0"/>
          <w:i w:val="0"/>
          <w:color w:val="1A1A1A"/>
          <w:sz w:val="21"/>
        </w:rPr>
        <w:t>Tres cosas, por orden de impacto. Primera, unificar la partición: agrupar por lesion_id en los cuatro experimentos y evaluar todos los modelos sobre un conjunto de test idéntico y congelado. Segunda, implementar el muestreo asimétrico por cabeza desde el principio, en lugar de documentar el trade-off a posteriori. Y tercera, añadir la rama multimodal con edad, sexo y localización, porque el propio EDA nos dijo que esa señal existía y no la explotamos.</w:t>
      </w:r>
    </w:p>
    <w:p>
      <w:pPr>
        <w:spacing w:before="160" w:after="80"/>
      </w:pPr>
      <w:r>
        <w:rPr>
          <w:rFonts w:ascii="Arial" w:hAnsi="Arial"/>
          <w:b/>
          <w:i w:val="0"/>
          <w:color w:val="00566C"/>
          <w:sz w:val="22"/>
        </w:rPr>
        <w:t>23.  ¿Cuál consideran la aportación original del trabajo?</w:t>
      </w:r>
    </w:p>
    <w:p>
      <w:pPr>
        <w:spacing w:before="0" w:after="120"/>
        <w:jc w:val="both"/>
      </w:pPr>
      <w:r>
        <w:rPr>
          <w:rFonts w:ascii="Arial" w:hAnsi="Arial"/>
          <w:b w:val="0"/>
          <w:i w:val="0"/>
          <w:color w:val="1A1A1A"/>
          <w:sz w:val="21"/>
        </w:rPr>
        <w:t>La arquitectura de dos cabezas sobre un backbone compartido, que permite obtener triaje binario y diagnóstico específico con un único coste de entrenamiento; y, sobre todo, la demostración documentada de que balancear el dataset desplaza el punto de operación del clasificador sin alterar sustancialmente su capacidad de discriminación —el AUC-ROC se mantiene en 96,46 % frente a 96,50 %—, y que ese efecto se reproduce en dos algoritmos de familias muy distintas. Eso convierte el hallazgo en una propiedad de la estrategia de datos, no en un artefacto de un modelo concreto.</w:t>
      </w:r>
    </w:p>
    <w:p>
      <w:pPr>
        <w:spacing w:before="160" w:after="80"/>
      </w:pPr>
      <w:r>
        <w:rPr>
          <w:rFonts w:ascii="Arial" w:hAnsi="Arial"/>
          <w:b/>
          <w:i w:val="0"/>
          <w:color w:val="00566C"/>
          <w:sz w:val="22"/>
        </w:rPr>
        <w:t>24.  ¿Cómo se repartieron el trabajo entre los dos autores?</w:t>
      </w:r>
    </w:p>
    <w:p>
      <w:pPr>
        <w:spacing w:before="0" w:after="120"/>
        <w:jc w:val="both"/>
      </w:pPr>
      <w:r>
        <w:rPr>
          <w:rFonts w:ascii="Arial" w:hAnsi="Arial"/>
          <w:b w:val="0"/>
          <w:i w:val="0"/>
          <w:color w:val="1A1A1A"/>
          <w:sz w:val="21"/>
        </w:rPr>
        <w:t>[Responder con el reparto real. Referencia: el repositorio de GitHub conserva el historial de commits, que refleja la división de tareas y la autoría del código, tal como se indica en el apartado 5.6.1 de la memoria.]</w:t>
      </w:r>
    </w:p>
    <w:p>
      <w:r>
        <w:br w:type="page"/>
      </w:r>
    </w:p>
    <w:p>
      <w:pPr>
        <w:spacing w:before="0" w:after="40"/>
      </w:pPr>
      <w:r>
        <w:rPr>
          <w:rFonts w:ascii="Arial" w:hAnsi="Arial"/>
          <w:b/>
          <w:i w:val="0"/>
          <w:color w:val="219BC3"/>
          <w:sz w:val="28"/>
        </w:rPr>
        <w:t>CIFRAS DE BOLSILLO</w:t>
      </w:r>
    </w:p>
    <w:p>
      <w:pPr>
        <w:spacing w:before="0" w:after="160"/>
        <w:pBdr>
          <w:bottom w:val="single" w:sz="8" w:space="1" w:color="219BC3"/>
        </w:pBdr>
      </w:pPr>
    </w:p>
    <w:p>
      <w:pPr>
        <w:spacing w:before="0" w:after="160"/>
      </w:pPr>
      <w:r>
        <w:rPr>
          <w:rFonts w:ascii="Arial" w:hAnsi="Arial"/>
          <w:b w:val="0"/>
          <w:i w:val="0"/>
          <w:color w:val="858591"/>
          <w:sz w:val="20"/>
        </w:rPr>
        <w:t>Datos que conviene tener memorizados para responder sin dudar.</w:t>
      </w:r>
    </w:p>
    <w:tbl>
      <w:tblPr>
        <w:tblW w:type="auto" w:w="0"/>
        <w:tblLook w:firstColumn="1" w:firstRow="1" w:lastColumn="0" w:lastRow="0" w:noHBand="0" w:noVBand="1" w:val="04A0"/>
        <w:tblBorders>
          <w:top w:val="single" w:sz="4" w:space="0" w:color="D9D9DE"/>
          <w:left w:val="single" w:sz="4" w:space="0" w:color="D9D9DE"/>
          <w:bottom w:val="single" w:sz="4" w:space="0" w:color="D9D9DE"/>
          <w:right w:val="single" w:sz="4" w:space="0" w:color="D9D9DE"/>
          <w:insideH w:val="single" w:sz="4" w:space="0" w:color="D9D9DE"/>
          <w:insideV w:val="single" w:sz="4" w:space="0" w:color="D9D9DE"/>
        </w:tblBorders>
      </w:tblPr>
      <w:tblGrid>
        <w:gridCol w:w="4873"/>
        <w:gridCol w:w="4873"/>
      </w:tblGrid>
      <w:tr>
        <w:tc>
          <w:tcPr>
            <w:tcW w:type="dxa" w:w="2948"/>
            <w:shd w:val="clear" w:color="auto" w:fill="F2F2F5"/>
          </w:tcPr>
          <w:p>
            <w:pPr>
              <w:spacing w:before="40" w:after="40"/>
            </w:pPr>
            <w:r/>
            <w:r>
              <w:rPr>
                <w:rFonts w:ascii="Arial" w:hAnsi="Arial"/>
                <w:b/>
                <w:color w:val="00566C"/>
                <w:sz w:val="19"/>
              </w:rPr>
              <w:t>Dataset</w:t>
            </w:r>
          </w:p>
        </w:tc>
        <w:tc>
          <w:tcPr>
            <w:tcW w:type="dxa" w:w="6463"/>
            <w:shd w:val="clear" w:color="auto" w:fill="F2F2F5"/>
          </w:tcPr>
          <w:p>
            <w:pPr>
              <w:spacing w:before="40" w:after="40"/>
            </w:pPr>
            <w:r/>
            <w:r>
              <w:rPr>
                <w:rFonts w:ascii="Arial" w:hAnsi="Arial"/>
                <w:b w:val="0"/>
                <w:color w:val="1A1A1A"/>
                <w:sz w:val="19"/>
              </w:rPr>
              <w:t>HAM10000 · 10.015 imágenes · 7 clases · 8.061 benignas / 1.954 malignas (4,1:1)</w:t>
            </w:r>
          </w:p>
        </w:tc>
      </w:tr>
      <w:tr>
        <w:tc>
          <w:tcPr>
            <w:tcW w:type="dxa" w:w="2948"/>
          </w:tcPr>
          <w:p>
            <w:pPr>
              <w:spacing w:before="40" w:after="40"/>
            </w:pPr>
            <w:r/>
            <w:r>
              <w:rPr>
                <w:rFonts w:ascii="Arial" w:hAnsi="Arial"/>
                <w:b/>
                <w:color w:val="00566C"/>
                <w:sz w:val="19"/>
              </w:rPr>
              <w:t>Clase mayoritaria</w:t>
            </w:r>
          </w:p>
        </w:tc>
        <w:tc>
          <w:tcPr>
            <w:tcW w:type="dxa" w:w="6463"/>
          </w:tcPr>
          <w:p>
            <w:pPr>
              <w:spacing w:before="40" w:after="40"/>
            </w:pPr>
            <w:r/>
            <w:r>
              <w:rPr>
                <w:rFonts w:ascii="Arial" w:hAnsi="Arial"/>
                <w:b w:val="0"/>
                <w:color w:val="1A1A1A"/>
                <w:sz w:val="19"/>
              </w:rPr>
              <w:t>nv — 6.705 imágenes (66,9 %)</w:t>
            </w:r>
          </w:p>
        </w:tc>
      </w:tr>
      <w:tr>
        <w:tc>
          <w:tcPr>
            <w:tcW w:type="dxa" w:w="2948"/>
            <w:shd w:val="clear" w:color="auto" w:fill="F2F2F5"/>
          </w:tcPr>
          <w:p>
            <w:pPr>
              <w:spacing w:before="40" w:after="40"/>
            </w:pPr>
            <w:r/>
            <w:r>
              <w:rPr>
                <w:rFonts w:ascii="Arial" w:hAnsi="Arial"/>
                <w:b/>
                <w:color w:val="00566C"/>
                <w:sz w:val="19"/>
              </w:rPr>
              <w:t>Clases minoritarias</w:t>
            </w:r>
          </w:p>
        </w:tc>
        <w:tc>
          <w:tcPr>
            <w:tcW w:type="dxa" w:w="6463"/>
            <w:shd w:val="clear" w:color="auto" w:fill="F2F2F5"/>
          </w:tcPr>
          <w:p>
            <w:pPr>
              <w:spacing w:before="40" w:after="40"/>
            </w:pPr>
            <w:r/>
            <w:r>
              <w:rPr>
                <w:rFonts w:ascii="Arial" w:hAnsi="Arial"/>
                <w:b w:val="0"/>
                <w:color w:val="1A1A1A"/>
                <w:sz w:val="19"/>
              </w:rPr>
              <w:t>df 115 (1,1 %) · vasc 142 (1,4 %)</w:t>
            </w:r>
          </w:p>
        </w:tc>
      </w:tr>
      <w:tr>
        <w:tc>
          <w:tcPr>
            <w:tcW w:type="dxa" w:w="2948"/>
          </w:tcPr>
          <w:p>
            <w:pPr>
              <w:spacing w:before="40" w:after="40"/>
            </w:pPr>
            <w:r/>
            <w:r>
              <w:rPr>
                <w:rFonts w:ascii="Arial" w:hAnsi="Arial"/>
                <w:b/>
                <w:color w:val="00566C"/>
                <w:sz w:val="19"/>
              </w:rPr>
              <w:t>Multiplicidad</w:t>
            </w:r>
          </w:p>
        </w:tc>
        <w:tc>
          <w:tcPr>
            <w:tcW w:type="dxa" w:w="6463"/>
          </w:tcPr>
          <w:p>
            <w:pPr>
              <w:spacing w:before="40" w:after="40"/>
            </w:pPr>
            <w:r/>
            <w:r>
              <w:rPr>
                <w:rFonts w:ascii="Arial" w:hAnsi="Arial"/>
                <w:b w:val="0"/>
                <w:color w:val="1A1A1A"/>
                <w:sz w:val="19"/>
              </w:rPr>
              <w:t>1.956 lesiones con más de una imagen</w:t>
            </w:r>
          </w:p>
        </w:tc>
      </w:tr>
      <w:tr>
        <w:tc>
          <w:tcPr>
            <w:tcW w:type="dxa" w:w="2948"/>
            <w:shd w:val="clear" w:color="auto" w:fill="F2F2F5"/>
          </w:tcPr>
          <w:p>
            <w:pPr>
              <w:spacing w:before="40" w:after="40"/>
            </w:pPr>
            <w:r/>
            <w:r>
              <w:rPr>
                <w:rFonts w:ascii="Arial" w:hAnsi="Arial"/>
                <w:b/>
                <w:color w:val="00566C"/>
                <w:sz w:val="19"/>
              </w:rPr>
              <w:t>Edad</w:t>
            </w:r>
          </w:p>
        </w:tc>
        <w:tc>
          <w:tcPr>
            <w:tcW w:type="dxa" w:w="6463"/>
            <w:shd w:val="clear" w:color="auto" w:fill="F2F2F5"/>
          </w:tcPr>
          <w:p>
            <w:pPr>
              <w:spacing w:before="40" w:after="40"/>
            </w:pPr>
            <w:r/>
            <w:r>
              <w:rPr>
                <w:rFonts w:ascii="Arial" w:hAnsi="Arial"/>
                <w:b w:val="0"/>
                <w:color w:val="1A1A1A"/>
                <w:sz w:val="19"/>
              </w:rPr>
              <w:t>media 51,85 (DE 16,93) · Kruskal-Wallis H = 2.295,31, p &lt; 0,0001 · r = 0,332</w:t>
            </w:r>
          </w:p>
        </w:tc>
      </w:tr>
      <w:tr>
        <w:tc>
          <w:tcPr>
            <w:tcW w:type="dxa" w:w="2948"/>
          </w:tcPr>
          <w:p>
            <w:pPr>
              <w:spacing w:before="40" w:after="40"/>
            </w:pPr>
            <w:r/>
            <w:r>
              <w:rPr>
                <w:rFonts w:ascii="Arial" w:hAnsi="Arial"/>
                <w:b/>
                <w:color w:val="00566C"/>
                <w:sz w:val="19"/>
              </w:rPr>
              <w:t>SVM Esc. 1</w:t>
            </w:r>
          </w:p>
        </w:tc>
        <w:tc>
          <w:tcPr>
            <w:tcW w:type="dxa" w:w="6463"/>
          </w:tcPr>
          <w:p>
            <w:pPr>
              <w:spacing w:before="40" w:after="40"/>
            </w:pPr>
            <w:r/>
            <w:r>
              <w:rPr>
                <w:rFonts w:ascii="Arial" w:hAnsi="Arial"/>
                <w:b w:val="0"/>
                <w:color w:val="1A1A1A"/>
                <w:sz w:val="19"/>
              </w:rPr>
              <w:t>Acc 68,15 % · F1 macro 48,34 % · AUC 87,76 % · sensibilidad agregada 64,5 %</w:t>
            </w:r>
          </w:p>
        </w:tc>
      </w:tr>
      <w:tr>
        <w:tc>
          <w:tcPr>
            <w:tcW w:type="dxa" w:w="2948"/>
            <w:shd w:val="clear" w:color="auto" w:fill="F2F2F5"/>
          </w:tcPr>
          <w:p>
            <w:pPr>
              <w:spacing w:before="40" w:after="40"/>
            </w:pPr>
            <w:r/>
            <w:r>
              <w:rPr>
                <w:rFonts w:ascii="Arial" w:hAnsi="Arial"/>
                <w:b/>
                <w:color w:val="00566C"/>
                <w:sz w:val="19"/>
              </w:rPr>
              <w:t>SVM Esc. 2</w:t>
            </w:r>
          </w:p>
        </w:tc>
        <w:tc>
          <w:tcPr>
            <w:tcW w:type="dxa" w:w="6463"/>
            <w:shd w:val="clear" w:color="auto" w:fill="F2F2F5"/>
          </w:tcPr>
          <w:p>
            <w:pPr>
              <w:spacing w:before="40" w:after="40"/>
            </w:pPr>
            <w:r/>
            <w:r>
              <w:rPr>
                <w:rFonts w:ascii="Arial" w:hAnsi="Arial"/>
                <w:b w:val="0"/>
                <w:color w:val="1A1A1A"/>
                <w:sz w:val="19"/>
              </w:rPr>
              <w:t>Acc 79,85 % · F1 macro 79,30 % · AUC 86,43 % · sens. 92,9 % · espec. 65,9 %</w:t>
            </w:r>
          </w:p>
        </w:tc>
      </w:tr>
      <w:tr>
        <w:tc>
          <w:tcPr>
            <w:tcW w:type="dxa" w:w="2948"/>
          </w:tcPr>
          <w:p>
            <w:pPr>
              <w:spacing w:before="40" w:after="40"/>
            </w:pPr>
            <w:r/>
            <w:r>
              <w:rPr>
                <w:rFonts w:ascii="Arial" w:hAnsi="Arial"/>
                <w:b/>
                <w:color w:val="00566C"/>
                <w:sz w:val="19"/>
              </w:rPr>
              <w:t>DenseNet Cabeza A Esc. 1</w:t>
            </w:r>
          </w:p>
        </w:tc>
        <w:tc>
          <w:tcPr>
            <w:tcW w:type="dxa" w:w="6463"/>
          </w:tcPr>
          <w:p>
            <w:pPr>
              <w:spacing w:before="40" w:after="40"/>
            </w:pPr>
            <w:r/>
            <w:r>
              <w:rPr>
                <w:rFonts w:ascii="Arial" w:hAnsi="Arial"/>
                <w:b w:val="0"/>
                <w:color w:val="1A1A1A"/>
                <w:sz w:val="19"/>
              </w:rPr>
              <w:t>Acc 93,36 % · sens. 81,07 % · espec. 96,34 % · AUC 96,46 % · 74 FN</w:t>
            </w:r>
          </w:p>
        </w:tc>
      </w:tr>
      <w:tr>
        <w:tc>
          <w:tcPr>
            <w:tcW w:type="dxa" w:w="2948"/>
            <w:shd w:val="clear" w:color="auto" w:fill="F2F2F5"/>
          </w:tcPr>
          <w:p>
            <w:pPr>
              <w:spacing w:before="40" w:after="40"/>
            </w:pPr>
            <w:r/>
            <w:r>
              <w:rPr>
                <w:rFonts w:ascii="Arial" w:hAnsi="Arial"/>
                <w:b/>
                <w:color w:val="00566C"/>
                <w:sz w:val="19"/>
              </w:rPr>
              <w:t>DenseNet Cabeza A Esc. 2</w:t>
            </w:r>
          </w:p>
        </w:tc>
        <w:tc>
          <w:tcPr>
            <w:tcW w:type="dxa" w:w="6463"/>
            <w:shd w:val="clear" w:color="auto" w:fill="F2F2F5"/>
          </w:tcPr>
          <w:p>
            <w:pPr>
              <w:spacing w:before="40" w:after="40"/>
            </w:pPr>
            <w:r/>
            <w:r>
              <w:rPr>
                <w:rFonts w:ascii="Arial" w:hAnsi="Arial"/>
                <w:b w:val="0"/>
                <w:color w:val="1A1A1A"/>
                <w:sz w:val="19"/>
              </w:rPr>
              <w:t>Acc 91,43 % · sens. 90,03 % · espec. 92,84 % · AUC 96,50 % · 39 FN</w:t>
            </w:r>
          </w:p>
        </w:tc>
      </w:tr>
      <w:tr>
        <w:tc>
          <w:tcPr>
            <w:tcW w:type="dxa" w:w="2948"/>
          </w:tcPr>
          <w:p>
            <w:pPr>
              <w:spacing w:before="40" w:after="40"/>
            </w:pPr>
            <w:r/>
            <w:r>
              <w:rPr>
                <w:rFonts w:ascii="Arial" w:hAnsi="Arial"/>
                <w:b/>
                <w:color w:val="00566C"/>
                <w:sz w:val="19"/>
              </w:rPr>
              <w:t>DenseNet Cabeza B Esc. 1</w:t>
            </w:r>
          </w:p>
        </w:tc>
        <w:tc>
          <w:tcPr>
            <w:tcW w:type="dxa" w:w="6463"/>
          </w:tcPr>
          <w:p>
            <w:pPr>
              <w:spacing w:before="40" w:after="40"/>
            </w:pPr>
            <w:r/>
            <w:r>
              <w:rPr>
                <w:rFonts w:ascii="Arial" w:hAnsi="Arial"/>
                <w:b w:val="0"/>
                <w:color w:val="1A1A1A"/>
                <w:sz w:val="19"/>
              </w:rPr>
              <w:t>Acc 90,36 % · recall macro 87,78 % · AUC macro 98,44 %</w:t>
            </w:r>
          </w:p>
        </w:tc>
      </w:tr>
      <w:tr>
        <w:tc>
          <w:tcPr>
            <w:tcW w:type="dxa" w:w="2948"/>
            <w:shd w:val="clear" w:color="auto" w:fill="F2F2F5"/>
          </w:tcPr>
          <w:p>
            <w:pPr>
              <w:spacing w:before="40" w:after="40"/>
            </w:pPr>
            <w:r/>
            <w:r>
              <w:rPr>
                <w:rFonts w:ascii="Arial" w:hAnsi="Arial"/>
                <w:b/>
                <w:color w:val="00566C"/>
                <w:sz w:val="19"/>
              </w:rPr>
              <w:t>DenseNet Cabeza B Esc. 2</w:t>
            </w:r>
          </w:p>
        </w:tc>
        <w:tc>
          <w:tcPr>
            <w:tcW w:type="dxa" w:w="6463"/>
            <w:shd w:val="clear" w:color="auto" w:fill="F2F2F5"/>
          </w:tcPr>
          <w:p>
            <w:pPr>
              <w:spacing w:before="40" w:after="40"/>
            </w:pPr>
            <w:r/>
            <w:r>
              <w:rPr>
                <w:rFonts w:ascii="Arial" w:hAnsi="Arial"/>
                <w:b w:val="0"/>
                <w:color w:val="1A1A1A"/>
                <w:sz w:val="19"/>
              </w:rPr>
              <w:t>Acc 86,96 % · recall macro 78,13 % · AUC macro 97,88 %</w:t>
            </w:r>
          </w:p>
        </w:tc>
      </w:tr>
      <w:tr>
        <w:tc>
          <w:tcPr>
            <w:tcW w:type="dxa" w:w="2948"/>
          </w:tcPr>
          <w:p>
            <w:pPr>
              <w:spacing w:before="40" w:after="40"/>
            </w:pPr>
            <w:r/>
            <w:r>
              <w:rPr>
                <w:rFonts w:ascii="Arial" w:hAnsi="Arial"/>
                <w:b/>
                <w:color w:val="00566C"/>
                <w:sz w:val="19"/>
              </w:rPr>
              <w:t>Melanoma (Cabeza B)</w:t>
            </w:r>
          </w:p>
        </w:tc>
        <w:tc>
          <w:tcPr>
            <w:tcW w:type="dxa" w:w="6463"/>
          </w:tcPr>
          <w:p>
            <w:pPr>
              <w:spacing w:before="40" w:after="40"/>
            </w:pPr>
            <w:r/>
            <w:r>
              <w:rPr>
                <w:rFonts w:ascii="Arial" w:hAnsi="Arial"/>
                <w:b w:val="0"/>
                <w:color w:val="1A1A1A"/>
                <w:sz w:val="19"/>
              </w:rPr>
              <w:t>recall 73,99 % → 86,10 %  (+12,11 puntos, única clase que mejora)</w:t>
            </w:r>
          </w:p>
        </w:tc>
      </w:tr>
      <w:tr>
        <w:tc>
          <w:tcPr>
            <w:tcW w:type="dxa" w:w="2948"/>
            <w:shd w:val="clear" w:color="auto" w:fill="F2F2F5"/>
          </w:tcPr>
          <w:p>
            <w:pPr>
              <w:spacing w:before="40" w:after="40"/>
            </w:pPr>
            <w:r/>
            <w:r>
              <w:rPr>
                <w:rFonts w:ascii="Arial" w:hAnsi="Arial"/>
                <w:b/>
                <w:color w:val="00566C"/>
                <w:sz w:val="19"/>
              </w:rPr>
              <w:t>Coste SVM Esc. 2</w:t>
            </w:r>
          </w:p>
        </w:tc>
        <w:tc>
          <w:tcPr>
            <w:tcW w:type="dxa" w:w="6463"/>
            <w:shd w:val="clear" w:color="auto" w:fill="F2F2F5"/>
          </w:tcPr>
          <w:p>
            <w:pPr>
              <w:spacing w:before="40" w:after="40"/>
            </w:pPr>
            <w:r/>
            <w:r>
              <w:rPr>
                <w:rFonts w:ascii="Arial" w:hAnsi="Arial"/>
                <w:b w:val="0"/>
                <w:color w:val="1A1A1A"/>
                <w:sz w:val="19"/>
              </w:rPr>
              <w:t>entrenamiento 1,33 s · inferencia 0,25 ms/imagen · 1.758 vectores de soporte</w:t>
            </w:r>
          </w:p>
        </w:tc>
      </w:tr>
      <w:tr>
        <w:tc>
          <w:tcPr>
            <w:tcW w:type="dxa" w:w="2948"/>
          </w:tcPr>
          <w:p>
            <w:pPr>
              <w:spacing w:before="40" w:after="40"/>
            </w:pPr>
            <w:r/>
            <w:r>
              <w:rPr>
                <w:rFonts w:ascii="Arial" w:hAnsi="Arial"/>
                <w:b/>
                <w:color w:val="00566C"/>
                <w:sz w:val="19"/>
              </w:rPr>
              <w:t>Coste DenseNet Esc. 2</w:t>
            </w:r>
          </w:p>
        </w:tc>
        <w:tc>
          <w:tcPr>
            <w:tcW w:type="dxa" w:w="6463"/>
          </w:tcPr>
          <w:p>
            <w:pPr>
              <w:spacing w:before="40" w:after="40"/>
            </w:pPr>
            <w:r/>
            <w:r>
              <w:rPr>
                <w:rFonts w:ascii="Arial" w:hAnsi="Arial"/>
                <w:b w:val="0"/>
                <w:color w:val="1A1A1A"/>
                <w:sz w:val="19"/>
              </w:rPr>
              <w:t>entrenamiento 62,3 min (GPU) · inferencia 13,35 ms/imagen · 18.110.217 parámetros</w:t>
            </w:r>
          </w:p>
        </w:tc>
      </w:tr>
      <w:tr>
        <w:tc>
          <w:tcPr>
            <w:tcW w:type="dxa" w:w="2948"/>
            <w:shd w:val="clear" w:color="auto" w:fill="F2F2F5"/>
          </w:tcPr>
          <w:p>
            <w:pPr>
              <w:spacing w:before="40" w:after="40"/>
            </w:pPr>
            <w:r/>
            <w:r>
              <w:rPr>
                <w:rFonts w:ascii="Arial" w:hAnsi="Arial"/>
                <w:b/>
                <w:color w:val="00566C"/>
                <w:sz w:val="19"/>
              </w:rPr>
              <w:t>PCA</w:t>
            </w:r>
          </w:p>
        </w:tc>
        <w:tc>
          <w:tcPr>
            <w:tcW w:type="dxa" w:w="6463"/>
            <w:shd w:val="clear" w:color="auto" w:fill="F2F2F5"/>
          </w:tcPr>
          <w:p>
            <w:pPr>
              <w:spacing w:before="40" w:after="40"/>
            </w:pPr>
            <w:r/>
            <w:r>
              <w:rPr>
                <w:rFonts w:ascii="Arial" w:hAnsi="Arial"/>
                <w:b w:val="0"/>
                <w:color w:val="1A1A1A"/>
                <w:sz w:val="19"/>
              </w:rPr>
              <w:t>95 % de varianza → 84 componentes (Esc. 1) · 104 (Esc. 2) · reducción del 99,3 %</w:t>
            </w:r>
          </w:p>
        </w:tc>
      </w:tr>
      <w:tr>
        <w:tc>
          <w:tcPr>
            <w:tcW w:type="dxa" w:w="2948"/>
          </w:tcPr>
          <w:p>
            <w:pPr>
              <w:spacing w:before="40" w:after="40"/>
            </w:pPr>
            <w:r/>
            <w:r>
              <w:rPr>
                <w:rFonts w:ascii="Arial" w:hAnsi="Arial"/>
                <w:b/>
                <w:color w:val="00566C"/>
                <w:sz w:val="19"/>
              </w:rPr>
              <w:t>Validación cruzada SVM</w:t>
            </w:r>
          </w:p>
        </w:tc>
        <w:tc>
          <w:tcPr>
            <w:tcW w:type="dxa" w:w="6463"/>
          </w:tcPr>
          <w:p>
            <w:pPr>
              <w:spacing w:before="40" w:after="40"/>
            </w:pPr>
            <w:r/>
            <w:r>
              <w:rPr>
                <w:rFonts w:ascii="Arial" w:hAnsi="Arial"/>
                <w:b w:val="0"/>
                <w:color w:val="1A1A1A"/>
                <w:sz w:val="19"/>
              </w:rPr>
              <w:t>5-fold: 0,578 ± 0,007 (Esc. 1) frente a 0,787 ± 0,015 (Esc. 2)</w:t>
            </w:r>
          </w:p>
        </w:tc>
      </w:tr>
      <w:tr>
        <w:tc>
          <w:tcPr>
            <w:tcW w:type="dxa" w:w="2948"/>
            <w:shd w:val="clear" w:color="auto" w:fill="F2F2F5"/>
          </w:tcPr>
          <w:p>
            <w:pPr>
              <w:spacing w:before="40" w:after="40"/>
            </w:pPr>
            <w:r/>
            <w:r>
              <w:rPr>
                <w:rFonts w:ascii="Arial" w:hAnsi="Arial"/>
                <w:b/>
                <w:color w:val="00566C"/>
                <w:sz w:val="19"/>
              </w:rPr>
              <w:t>Repositorio</w:t>
            </w:r>
          </w:p>
        </w:tc>
        <w:tc>
          <w:tcPr>
            <w:tcW w:type="dxa" w:w="6463"/>
            <w:shd w:val="clear" w:color="auto" w:fill="F2F2F5"/>
          </w:tcPr>
          <w:p>
            <w:pPr>
              <w:spacing w:before="40" w:after="40"/>
            </w:pPr>
            <w:r/>
            <w:r>
              <w:rPr>
                <w:rFonts w:ascii="Arial" w:hAnsi="Arial"/>
                <w:b w:val="0"/>
                <w:color w:val="1A1A1A"/>
                <w:sz w:val="19"/>
              </w:rPr>
              <w:t>github.com/marzo27/UNIR_TFM_HAM10000</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858591"/>
        <w:sz w:val="16"/>
      </w:rPr>
      <w:t>Preparación del turno de preguntas · TFM UNIR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