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Traditional Arabic" w:hAnsi="Traditional Arabic" w:cs="Traditional Arabic"/>
          <w:b/>
          <w:color w:val="1F4E79"/>
          <w:sz w:val="40"/>
          <w:rtl/>
          <w:bCs/>
          <w:szCs w:val="40"/>
        </w:rPr>
        <w:t>جذاذة درس: {{الدرس}}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5103"/>
        <w:gridCol w:w="5103"/>
      </w:tblGrid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المادة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{{المادة}}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الأسبوع / التاريخ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الأسبوع {{الأسبوع}} — {{التاريخ}}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الكفاية النهائية للمادة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{{الكفاية النهائية}}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المكوّن الأوّل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{{المكون الأول}}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المكوّن الثاني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{{المكون الثاني}}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الوحدة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{{الوحدة}}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الهدف المميّز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{{الهدف}}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المحتوى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{{المحتوى}}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المفاهيم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{{المفاهيم}}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المستلزمات البيداغوجيّة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{{المستلزمات}}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الحواجز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{{الحواجز}}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مؤشّرات التجاوز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{{مؤشرات التجاوز}}</w:t>
            </w:r>
          </w:p>
        </w:tc>
      </w:tr>
      <w:tr>
        <w:tc>
          <w:tcPr>
            <w:tcW w:type="dxa" w:w="2835"/>
            <w:shd w:val="clear" w:color="auto" w:fill="D9EAF7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مؤشّرات القدرة المستهدفة</w:t>
            </w:r>
          </w:p>
        </w:tc>
        <w:tc>
          <w:tcPr>
            <w:tcW w:type="dxa" w:w="7370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{{مؤشرات القدرة المستهدفة}}</w:t>
            </w:r>
          </w:p>
        </w:tc>
      </w:tr>
    </w:tbl>
    <w:p>
      <w:pPr>
        <w:bidi/>
        <w:jc w:val="right"/>
      </w:pPr>
    </w:p>
    <w:p>
      <w:pPr>
        <w:bidi/>
        <w:jc w:val="center"/>
      </w:pPr>
      <w:r>
        <w:rPr>
          <w:rFonts w:ascii="Traditional Arabic" w:hAnsi="Traditional Arabic" w:cs="Traditional Arabic"/>
          <w:b/>
          <w:color w:val="1F4E79"/>
          <w:sz w:val="32"/>
          <w:rtl/>
          <w:bCs/>
          <w:szCs w:val="32"/>
        </w:rPr>
        <w:t>سير الحصّة</w:t>
      </w:r>
    </w:p>
    <w:tbl>
      <w:tblPr>
        <w:tblW w:type="auto" w:w="0"/>
        <w:jc w:val="center"/>
        <w:tblLook w:firstColumn="1" w:firstRow="1" w:lastColumn="0" w:lastRow="0" w:noHBand="0" w:noVBand="1" w:val="04A0"/>
        <w:tblStyle w:val="TableGrid"/>
        <w:bidiVisual/>
      </w:tblPr>
      <w:tblGrid>
        <w:gridCol w:w="5103"/>
        <w:gridCol w:w="5103"/>
      </w:tblGrid>
      <w:tr>
        <w:tc>
          <w:tcPr>
            <w:tcW w:type="dxa" w:w="2551"/>
            <w:shd w:val="clear" w:color="auto" w:fill="D9EAF7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المرحلة</w:t>
            </w:r>
          </w:p>
        </w:tc>
        <w:tc>
          <w:tcPr>
            <w:tcW w:type="dxa" w:w="7654"/>
            <w:shd w:val="clear" w:color="auto" w:fill="D9EAF7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المحتوى والأنشطة</w:t>
            </w:r>
          </w:p>
        </w:tc>
      </w:tr>
      <w:tr>
        <w:tc>
          <w:tcPr>
            <w:tcW w:type="dxa" w:w="2551"/>
            <w:shd w:val="clear" w:color="auto" w:fill="FDF1E6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المكتسبات السابقة</w:t>
            </w:r>
          </w:p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 w:val="0"/>
                <w:color w:val="777777"/>
                <w:sz w:val="22"/>
                <w:rtl/>
                <w:szCs w:val="22"/>
              </w:rPr>
              <w:t>(أتعهّد مكتسباتي السّابقة)</w:t>
            </w:r>
          </w:p>
        </w:tc>
        <w:tc>
          <w:tcPr>
            <w:tcW w:type="dxa" w:w="7654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{{المكتسبات السابقة}}</w:t>
            </w:r>
          </w:p>
        </w:tc>
      </w:tr>
      <w:tr>
        <w:tc>
          <w:tcPr>
            <w:tcW w:type="dxa" w:w="2551"/>
            <w:shd w:val="clear" w:color="auto" w:fill="FDF1E6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الوضعيّة المشكل</w:t>
            </w:r>
          </w:p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 w:val="0"/>
                <w:color w:val="777777"/>
                <w:sz w:val="22"/>
                <w:rtl/>
                <w:szCs w:val="22"/>
              </w:rPr>
              <w:t>(ألاحظ وأتساءل)</w:t>
            </w:r>
          </w:p>
        </w:tc>
        <w:tc>
          <w:tcPr>
            <w:tcW w:type="dxa" w:w="7654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{{الوضعية المشكل}}</w:t>
            </w:r>
          </w:p>
        </w:tc>
      </w:tr>
      <w:tr>
        <w:tc>
          <w:tcPr>
            <w:tcW w:type="dxa" w:w="2551"/>
            <w:shd w:val="clear" w:color="auto" w:fill="FDF1E6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تحليل الوضعيّة ورصد التصوّرات</w:t>
            </w:r>
          </w:p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 w:val="0"/>
                <w:color w:val="777777"/>
                <w:sz w:val="22"/>
                <w:rtl/>
                <w:szCs w:val="22"/>
              </w:rPr>
              <w:t>(أفترض)</w:t>
            </w:r>
          </w:p>
        </w:tc>
        <w:tc>
          <w:tcPr>
            <w:tcW w:type="dxa" w:w="7654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{{تحليل الوضعية ورصد التصورات}}</w:t>
            </w:r>
          </w:p>
        </w:tc>
      </w:tr>
      <w:tr>
        <w:tc>
          <w:tcPr>
            <w:tcW w:type="dxa" w:w="2551"/>
            <w:shd w:val="clear" w:color="auto" w:fill="FDF1E6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التحقّق العلمي</w:t>
            </w:r>
          </w:p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 w:val="0"/>
                <w:color w:val="777777"/>
                <w:sz w:val="22"/>
                <w:rtl/>
                <w:szCs w:val="22"/>
              </w:rPr>
              <w:t>(أجرّب وأتثبّت)</w:t>
            </w:r>
          </w:p>
        </w:tc>
        <w:tc>
          <w:tcPr>
            <w:tcW w:type="dxa" w:w="7654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{{التحقق العلمي}}</w:t>
            </w:r>
          </w:p>
        </w:tc>
      </w:tr>
      <w:tr>
        <w:tc>
          <w:tcPr>
            <w:tcW w:type="dxa" w:w="2551"/>
            <w:shd w:val="clear" w:color="auto" w:fill="FDF1E6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الاستنتاج</w:t>
            </w:r>
          </w:p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 w:val="0"/>
                <w:color w:val="777777"/>
                <w:sz w:val="22"/>
                <w:rtl/>
                <w:szCs w:val="22"/>
              </w:rPr>
              <w:t>(أستنتج)</w:t>
            </w:r>
          </w:p>
        </w:tc>
        <w:tc>
          <w:tcPr>
            <w:tcW w:type="dxa" w:w="7654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{{الاستنتاج}}</w:t>
            </w:r>
          </w:p>
        </w:tc>
      </w:tr>
      <w:tr>
        <w:tc>
          <w:tcPr>
            <w:tcW w:type="dxa" w:w="2551"/>
            <w:shd w:val="clear" w:color="auto" w:fill="FDF1E6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التطبيق والتوظيف</w:t>
            </w:r>
          </w:p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 w:val="0"/>
                <w:color w:val="777777"/>
                <w:sz w:val="22"/>
                <w:rtl/>
                <w:szCs w:val="22"/>
              </w:rPr>
              <w:t>(أطبّق وأوظّف)</w:t>
            </w:r>
          </w:p>
        </w:tc>
        <w:tc>
          <w:tcPr>
            <w:tcW w:type="dxa" w:w="7654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{{التطبيق والتوظيف}}</w:t>
            </w:r>
          </w:p>
        </w:tc>
      </w:tr>
      <w:tr>
        <w:tc>
          <w:tcPr>
            <w:tcW w:type="dxa" w:w="2551"/>
            <w:shd w:val="clear" w:color="auto" w:fill="FDF1E6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التقييم</w:t>
            </w:r>
          </w:p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 w:val="0"/>
                <w:color w:val="777777"/>
                <w:sz w:val="22"/>
                <w:rtl/>
                <w:szCs w:val="22"/>
              </w:rPr>
              <w:t>(أقيّم تعلّمي الجديد)</w:t>
            </w:r>
          </w:p>
        </w:tc>
        <w:tc>
          <w:tcPr>
            <w:tcW w:type="dxa" w:w="7654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{{التقييم}}</w:t>
            </w:r>
          </w:p>
        </w:tc>
      </w:tr>
      <w:tr>
        <w:tc>
          <w:tcPr>
            <w:tcW w:type="dxa" w:w="2551"/>
            <w:shd w:val="clear" w:color="auto" w:fill="FDF1E6"/>
          </w:tcPr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/>
                <w:sz w:val="26"/>
                <w:rtl/>
                <w:bCs/>
                <w:szCs w:val="26"/>
              </w:rPr>
              <w:t>التوسّع والامتداد</w:t>
            </w:r>
          </w:p>
          <w:p>
            <w:pPr>
              <w:bidi/>
              <w:jc w:val="center"/>
            </w:pPr>
            <w:r>
              <w:rPr>
                <w:rFonts w:ascii="Traditional Arabic" w:hAnsi="Traditional Arabic" w:cs="Traditional Arabic"/>
                <w:b w:val="0"/>
                <w:color w:val="777777"/>
                <w:sz w:val="22"/>
                <w:rtl/>
                <w:szCs w:val="22"/>
              </w:rPr>
              <w:t>(أتهيّأ لتعلّمي اللاّحق)</w:t>
            </w:r>
          </w:p>
        </w:tc>
        <w:tc>
          <w:tcPr>
            <w:tcW w:type="dxa" w:w="7654"/>
          </w:tcPr>
          <w:p>
            <w:pPr>
              <w:bidi/>
              <w:jc w:val="right"/>
            </w:pPr>
            <w:r>
              <w:rPr>
                <w:rFonts w:ascii="Traditional Arabic" w:hAnsi="Traditional Arabic" w:cs="Traditional Arabic"/>
                <w:b w:val="0"/>
                <w:sz w:val="26"/>
                <w:rtl/>
                <w:szCs w:val="26"/>
              </w:rPr>
              <w:t>{{التوسع والامتداد}}</w:t>
              <w:br/>
              <w:t>{{أتهيأ لتعلمي اللاحق}}</w:t>
            </w:r>
          </w:p>
        </w:tc>
      </w:tr>
    </w:tbl>
    <w:p>
      <w:pPr>
        <w:bidi/>
        <w:jc w:val="right"/>
      </w:pPr>
    </w:p>
    <w:p>
      <w:pPr>
        <w:bidi/>
        <w:jc w:val="right"/>
      </w:pPr>
      <w:r>
        <w:rPr>
          <w:rFonts w:ascii="Traditional Arabic" w:hAnsi="Traditional Arabic" w:cs="Traditional Arabic"/>
          <w:b/>
          <w:sz w:val="28"/>
          <w:rtl/>
          <w:bCs/>
          <w:szCs w:val="28"/>
        </w:rPr>
        <w:t xml:space="preserve">معجمي في العلوم: </w:t>
      </w:r>
      <w:r>
        <w:rPr>
          <w:rFonts w:ascii="Traditional Arabic" w:hAnsi="Traditional Arabic" w:cs="Traditional Arabic"/>
          <w:b w:val="0"/>
          <w:sz w:val="28"/>
          <w:rtl/>
          <w:szCs w:val="28"/>
        </w:rPr>
        <w:t>{{معجمي في العلوم}}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raditional Arabic" w:hAnsi="Traditional Arabic" w:cs="Traditional Arabic"/>
        <w:b w:val="0"/>
        <w:color w:val="777777"/>
        <w:sz w:val="20"/>
        <w:rtl/>
        <w:szCs w:val="20"/>
      </w:rPr>
      <w:t>{{الدرس}} — الأسبوع {{الأسبوع}} — {{التاريخ}}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center"/>
    </w:pPr>
    <w:r>
      <w:rPr>
        <w:rFonts w:ascii="Traditional Arabic" w:hAnsi="Traditional Arabic" w:cs="Traditional Arabic"/>
        <w:b w:val="0"/>
        <w:color w:val="555555"/>
        <w:sz w:val="22"/>
        <w:rtl/>
        <w:szCs w:val="22"/>
      </w:rPr>
      <w:t>{{المادة}} — {{الوحدة}}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itional Arabic" w:hAnsi="Traditional Arabic" w:cs="Traditional Arabic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