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F358" w14:textId="35CF9E6D" w:rsidR="003F3FDC" w:rsidRDefault="008A386C" w:rsidP="00EA59DD">
      <w:pPr>
        <w:pStyle w:val="Titel"/>
        <w:jc w:val="center"/>
        <w:rPr>
          <w:lang w:val="en-GB"/>
        </w:rPr>
      </w:pPr>
      <w:r w:rsidRPr="003F3FDC">
        <w:rPr>
          <w:lang w:val="en-GB"/>
        </w:rPr>
        <w:t>Quality Gates – Marz</w:t>
      </w:r>
    </w:p>
    <w:p w14:paraId="2F194C60" w14:textId="77777777" w:rsidR="00EA59DD" w:rsidRPr="003F3FDC" w:rsidRDefault="00EA59DD" w:rsidP="00EA59DD">
      <w:pPr>
        <w:spacing w:after="120" w:line="360" w:lineRule="auto"/>
        <w:rPr>
          <w:lang w:val="en-GB"/>
        </w:rPr>
      </w:pPr>
    </w:p>
    <w:p w14:paraId="52EF95F2" w14:textId="512BC19A" w:rsidR="00EA59DD" w:rsidRPr="004B3D96" w:rsidRDefault="003F3FDC" w:rsidP="00EA59DD">
      <w:pPr>
        <w:spacing w:after="120" w:line="360" w:lineRule="auto"/>
        <w:rPr>
          <w:rFonts w:ascii="Calibri" w:hAnsi="Calibri" w:cs="Calibri"/>
        </w:rPr>
      </w:pPr>
      <w:r w:rsidRPr="003F3FDC">
        <w:rPr>
          <w:rFonts w:ascii="Calibri" w:hAnsi="Calibri" w:cs="Calibri"/>
        </w:rPr>
        <w:t xml:space="preserve">Quality Gates (Qualitätstore) sind definierte Kontrollpunkte in IT-Projekten, an denen geprüft wird, ob zuvor festgelegte Qualitätskriterien erfüllt wurden. Anders als reine Zeitmeilensteine zielen sie nicht auf den Projektfortschritt per se, sondern auf die Sicherstellung der Qualität von Zwischenergebnissen. Erst wenn alle Kriterien erfüllt </w:t>
      </w:r>
    </w:p>
    <w:p w14:paraId="4C584233" w14:textId="4EB40FC7" w:rsidR="003F3FDC" w:rsidRPr="004B3D96" w:rsidRDefault="003F3FDC" w:rsidP="00EA59DD">
      <w:pPr>
        <w:spacing w:after="120" w:line="360" w:lineRule="auto"/>
        <w:rPr>
          <w:rFonts w:ascii="Calibri" w:hAnsi="Calibri" w:cs="Calibri"/>
        </w:rPr>
      </w:pPr>
      <w:r w:rsidRPr="003F3FDC">
        <w:rPr>
          <w:rFonts w:ascii="Calibri" w:hAnsi="Calibri" w:cs="Calibri"/>
        </w:rPr>
        <w:t>Quality Gates</w:t>
      </w:r>
      <w:r w:rsidR="00EA59DD" w:rsidRPr="004B3D96">
        <w:rPr>
          <w:rFonts w:ascii="Calibri" w:hAnsi="Calibri" w:cs="Calibri"/>
        </w:rPr>
        <w:t xml:space="preserve"> werden</w:t>
      </w:r>
      <w:r w:rsidRPr="003F3FDC">
        <w:rPr>
          <w:rFonts w:ascii="Calibri" w:hAnsi="Calibri" w:cs="Calibri"/>
        </w:rPr>
        <w:t xml:space="preserve"> an Phasenübergängen platziert, z. B. am Ende der Anforderungsanalyse, nach der technischen Integration oder vor dem Go-Live. Sie </w:t>
      </w:r>
      <w:r w:rsidR="00EA59DD" w:rsidRPr="004B3D96">
        <w:rPr>
          <w:rFonts w:ascii="Calibri" w:hAnsi="Calibri" w:cs="Calibri"/>
        </w:rPr>
        <w:t>sorgen für</w:t>
      </w:r>
      <w:r w:rsidRPr="003F3FDC">
        <w:rPr>
          <w:rFonts w:ascii="Calibri" w:hAnsi="Calibri" w:cs="Calibri"/>
        </w:rPr>
        <w:t xml:space="preserve"> strukturiertes Arbeiten, erhöhen die Transparenz und minimieren Projektrisiken wie Fehlfunktionen, Terminverzug oder mangelnde Akzeptanz. Damit sind sie ein zentrales Instrument zur Qualitätssicherung und Risikosteuerung – gerade in sensiblen IT-Projekten im Gesundheitswesen.</w:t>
      </w:r>
    </w:p>
    <w:p w14:paraId="3E2FD8E7" w14:textId="02C85228" w:rsidR="003F3FDC" w:rsidRPr="004B3D96" w:rsidRDefault="003F3FDC" w:rsidP="00EA59DD">
      <w:pPr>
        <w:spacing w:after="120" w:line="360" w:lineRule="auto"/>
        <w:rPr>
          <w:rFonts w:ascii="Calibri" w:hAnsi="Calibri" w:cs="Calibri"/>
        </w:rPr>
      </w:pPr>
      <w:r w:rsidRPr="004B3D96">
        <w:rPr>
          <w:rFonts w:ascii="Calibri" w:hAnsi="Calibri" w:cs="Calibri"/>
        </w:rPr>
        <w:t>Der wesentliche Unterschied zu klassischen Meilensteinen liegt darin, dass Quality Gates inhaltlich scharf formuliert und zeitlich flexibel sind. Während Meilensteine häufig „überfahren" werden können, wenn terminlicher Druck besteht, sind Quality Gates Synchronisationspunkte, die nicht umgangen werden können. Ein Projekt kann erst dann in die nächste Phase übergehen, wenn alle definierten Qualitätskriterien erfüllt sind und ein Gremium eine positive Fortschrittsentscheidung trifft.</w:t>
      </w:r>
    </w:p>
    <w:p w14:paraId="77A63AF4" w14:textId="066E7E55" w:rsidR="003F3FDC" w:rsidRPr="004B3D96" w:rsidRDefault="003F3FDC" w:rsidP="00EA59DD">
      <w:pPr>
        <w:spacing w:after="120" w:line="360" w:lineRule="auto"/>
        <w:rPr>
          <w:rFonts w:ascii="Calibri" w:hAnsi="Calibri" w:cs="Calibri"/>
        </w:rPr>
      </w:pPr>
      <w:r w:rsidRPr="004B3D96">
        <w:rPr>
          <w:rFonts w:ascii="Calibri" w:hAnsi="Calibri" w:cs="Calibri"/>
        </w:rPr>
        <w:t>Quality Gates finden branchenübergreifend Anwendung, wobei sich die Bezeichnungen unterscheiden können. In der Automobilindustrie werden sie beispielsweise bei Audi als „Q-Checks", bei BMW als „Gateway" oder „Synchronpunkt" bezeichnet. Die Deutsche Bahn wendet seit 2011 bei allen Fahrzeugbeschaffungen die Quality-Gate-Methode als zehnstufigen Prozess an, der alle Bereiche der Beschaffung von der Vertragsgestaltung über die Entwicklungs- und Fertigungsphase bis hin zum Betrieb umfasst.</w:t>
      </w:r>
    </w:p>
    <w:p w14:paraId="5D16EE91" w14:textId="3DECB194" w:rsidR="00EA59DD" w:rsidRPr="004B3D96" w:rsidRDefault="003F3FDC" w:rsidP="00EA59DD">
      <w:pPr>
        <w:spacing w:after="120" w:line="360" w:lineRule="auto"/>
        <w:rPr>
          <w:rFonts w:ascii="Calibri" w:hAnsi="Calibri" w:cs="Calibri"/>
        </w:rPr>
      </w:pPr>
      <w:r w:rsidRPr="004B3D96">
        <w:rPr>
          <w:rFonts w:ascii="Calibri" w:hAnsi="Calibri" w:cs="Calibri"/>
        </w:rPr>
        <w:t xml:space="preserve">Quality Gates ermöglichen die frühzeitige Fehlererkennung und reduzieren dadurch Zeit- und Kostenaufwand für Nacharbeiten erheblich. Durch die Verhinderung </w:t>
      </w:r>
      <w:r w:rsidR="00EA59DD" w:rsidRPr="004B3D96">
        <w:rPr>
          <w:rFonts w:ascii="Calibri" w:hAnsi="Calibri" w:cs="Calibri"/>
        </w:rPr>
        <w:t xml:space="preserve">der Weitergabe von Fehlern in die nächste Phase </w:t>
      </w:r>
      <w:r w:rsidRPr="004B3D96">
        <w:rPr>
          <w:rFonts w:ascii="Calibri" w:hAnsi="Calibri" w:cs="Calibri"/>
        </w:rPr>
        <w:t>wird die Produktivität gesteigert </w:t>
      </w:r>
      <w:r w:rsidRPr="004B3D96">
        <w:rPr>
          <w:rFonts w:ascii="Calibri" w:hAnsi="Calibri" w:cs="Calibri"/>
        </w:rPr>
        <w:t xml:space="preserve">und die </w:t>
      </w:r>
      <w:r w:rsidRPr="004B3D96">
        <w:rPr>
          <w:rFonts w:ascii="Calibri" w:hAnsi="Calibri" w:cs="Calibri"/>
        </w:rPr>
        <w:t>Qualitätssicherung</w:t>
      </w:r>
      <w:r w:rsidRPr="004B3D96">
        <w:rPr>
          <w:rFonts w:ascii="Calibri" w:hAnsi="Calibri" w:cs="Calibri"/>
        </w:rPr>
        <w:t xml:space="preserve"> </w:t>
      </w:r>
      <w:r w:rsidR="00EA59DD" w:rsidRPr="004B3D96">
        <w:rPr>
          <w:rFonts w:ascii="Calibri" w:hAnsi="Calibri" w:cs="Calibri"/>
        </w:rPr>
        <w:t>verbessert</w:t>
      </w:r>
      <w:r w:rsidRPr="004B3D96">
        <w:rPr>
          <w:rFonts w:ascii="Calibri" w:hAnsi="Calibri" w:cs="Calibri"/>
        </w:rPr>
        <w:t>.</w:t>
      </w:r>
      <w:r w:rsidRPr="004B3D96">
        <w:rPr>
          <w:rFonts w:ascii="Calibri" w:hAnsi="Calibri" w:cs="Calibri"/>
        </w:rPr>
        <w:t xml:space="preserve"> </w:t>
      </w:r>
      <w:r w:rsidR="00EA59DD" w:rsidRPr="004B3D96">
        <w:rPr>
          <w:rFonts w:ascii="Calibri" w:hAnsi="Calibri" w:cs="Calibri"/>
        </w:rPr>
        <w:t>Zudem</w:t>
      </w:r>
      <w:r w:rsidRPr="004B3D96">
        <w:rPr>
          <w:rFonts w:ascii="Calibri" w:hAnsi="Calibri" w:cs="Calibri"/>
        </w:rPr>
        <w:t xml:space="preserve"> schaffen sie Transparenz über die aktuelle Status- und Risikosituation und stärken das Vertrauen der Stakeholder durch nachweisbare Qualitätsstandards.</w:t>
      </w:r>
      <w:r w:rsidR="00EA59DD" w:rsidRPr="004B3D96">
        <w:rPr>
          <w:rFonts w:ascii="Calibri" w:hAnsi="Calibri" w:cs="Calibri"/>
        </w:rPr>
        <w:br w:type="page"/>
      </w:r>
    </w:p>
    <w:p w14:paraId="70F07DD5" w14:textId="77777777" w:rsidR="003F3FDC" w:rsidRPr="004B3D96" w:rsidRDefault="003F3FDC" w:rsidP="00EA59DD">
      <w:pPr>
        <w:pStyle w:val="Untertitel"/>
        <w:spacing w:after="120" w:line="360" w:lineRule="auto"/>
        <w:rPr>
          <w:rFonts w:ascii="Calibri" w:hAnsi="Calibri" w:cs="Calibri"/>
        </w:rPr>
      </w:pPr>
      <w:r w:rsidRPr="004B3D96">
        <w:rPr>
          <w:rFonts w:ascii="Calibri" w:hAnsi="Calibri" w:cs="Calibri"/>
        </w:rPr>
        <w:t>Anwendung im Projekt „</w:t>
      </w:r>
      <w:proofErr w:type="spellStart"/>
      <w:r w:rsidRPr="004B3D96">
        <w:rPr>
          <w:rFonts w:ascii="Calibri" w:hAnsi="Calibri" w:cs="Calibri"/>
        </w:rPr>
        <w:t>CareConnect</w:t>
      </w:r>
      <w:proofErr w:type="spellEnd"/>
      <w:r w:rsidRPr="004B3D96">
        <w:rPr>
          <w:rFonts w:ascii="Calibri" w:hAnsi="Calibri" w:cs="Calibri"/>
        </w:rPr>
        <w:t>“ – Einführung eines Patientenportals</w:t>
      </w:r>
    </w:p>
    <w:p w14:paraId="55185661" w14:textId="1587395A" w:rsidR="003F3FDC" w:rsidRPr="003F3FDC" w:rsidRDefault="003F3FDC" w:rsidP="00EA59DD">
      <w:pPr>
        <w:spacing w:after="120" w:line="360" w:lineRule="auto"/>
        <w:rPr>
          <w:rFonts w:ascii="Calibri" w:hAnsi="Calibri" w:cs="Calibri"/>
        </w:rPr>
      </w:pPr>
      <w:r w:rsidRPr="004B3D96">
        <w:rPr>
          <w:rFonts w:ascii="Calibri" w:hAnsi="Calibri" w:cs="Calibri"/>
        </w:rPr>
        <w:t>Bei dem</w:t>
      </w:r>
      <w:r w:rsidRPr="003F3FDC">
        <w:rPr>
          <w:rFonts w:ascii="Calibri" w:hAnsi="Calibri" w:cs="Calibri"/>
        </w:rPr>
        <w:t xml:space="preserve"> Projekt „</w:t>
      </w:r>
      <w:proofErr w:type="spellStart"/>
      <w:r w:rsidRPr="003F3FDC">
        <w:rPr>
          <w:rFonts w:ascii="Calibri" w:hAnsi="Calibri" w:cs="Calibri"/>
        </w:rPr>
        <w:t>CareConnect</w:t>
      </w:r>
      <w:proofErr w:type="spellEnd"/>
      <w:r w:rsidRPr="003F3FDC">
        <w:rPr>
          <w:rFonts w:ascii="Calibri" w:hAnsi="Calibri" w:cs="Calibri"/>
        </w:rPr>
        <w:t>“, ein Patientenportal zur Optimierung der Kommunikation und Prozesse</w:t>
      </w:r>
      <w:r w:rsidR="00905C21" w:rsidRPr="004B3D96">
        <w:rPr>
          <w:rFonts w:ascii="Calibri" w:hAnsi="Calibri" w:cs="Calibri"/>
        </w:rPr>
        <w:t>,</w:t>
      </w:r>
      <w:r w:rsidRPr="003F3FDC">
        <w:rPr>
          <w:rFonts w:ascii="Calibri" w:hAnsi="Calibri" w:cs="Calibri"/>
        </w:rPr>
        <w:t xml:space="preserve"> </w:t>
      </w:r>
      <w:r w:rsidRPr="004B3D96">
        <w:rPr>
          <w:rFonts w:ascii="Calibri" w:hAnsi="Calibri" w:cs="Calibri"/>
        </w:rPr>
        <w:t>ist ein wichtiges</w:t>
      </w:r>
      <w:r w:rsidRPr="003F3FDC">
        <w:rPr>
          <w:rFonts w:ascii="Calibri" w:hAnsi="Calibri" w:cs="Calibri"/>
        </w:rPr>
        <w:t xml:space="preserve"> Quality Gate vor dem Go-Live und </w:t>
      </w:r>
      <w:r w:rsidRPr="004B3D96">
        <w:rPr>
          <w:rFonts w:ascii="Calibri" w:hAnsi="Calibri" w:cs="Calibri"/>
        </w:rPr>
        <w:t>wäre</w:t>
      </w:r>
      <w:r w:rsidRPr="003F3FDC">
        <w:rPr>
          <w:rFonts w:ascii="Calibri" w:hAnsi="Calibri" w:cs="Calibri"/>
        </w:rPr>
        <w:t xml:space="preserve"> mit Meilenstein M2 </w:t>
      </w:r>
      <w:r w:rsidRPr="003F3FDC">
        <w:rPr>
          <w:rFonts w:ascii="Calibri" w:hAnsi="Calibri" w:cs="Calibri"/>
        </w:rPr>
        <w:lastRenderedPageBreak/>
        <w:t xml:space="preserve">(September 2026) verknüpft. Dieses Gate ist </w:t>
      </w:r>
      <w:r w:rsidRPr="004B3D96">
        <w:rPr>
          <w:rFonts w:ascii="Calibri" w:hAnsi="Calibri" w:cs="Calibri"/>
        </w:rPr>
        <w:t>relevant, da</w:t>
      </w:r>
      <w:r w:rsidRPr="003F3FDC">
        <w:rPr>
          <w:rFonts w:ascii="Calibri" w:hAnsi="Calibri" w:cs="Calibri"/>
        </w:rPr>
        <w:t xml:space="preserve"> hier über die endgültige Freigabe zur Nutzung des Portals entschieden </w:t>
      </w:r>
      <w:r w:rsidRPr="004B3D96">
        <w:rPr>
          <w:rFonts w:ascii="Calibri" w:hAnsi="Calibri" w:cs="Calibri"/>
        </w:rPr>
        <w:t xml:space="preserve">wird. </w:t>
      </w:r>
      <w:r w:rsidRPr="004B3D96">
        <w:rPr>
          <w:rFonts w:ascii="Calibri" w:hAnsi="Calibri" w:cs="Calibri"/>
        </w:rPr>
        <w:br/>
        <w:t xml:space="preserve">Für die Entscheidung sind 4 Punkte von Relevanz: </w:t>
      </w:r>
    </w:p>
    <w:p w14:paraId="21B6A6C6" w14:textId="77777777" w:rsidR="003F3FDC" w:rsidRPr="003F3FDC" w:rsidRDefault="003F3FDC" w:rsidP="00EA59DD">
      <w:pPr>
        <w:numPr>
          <w:ilvl w:val="0"/>
          <w:numId w:val="12"/>
        </w:numPr>
        <w:spacing w:after="120" w:line="360" w:lineRule="auto"/>
        <w:rPr>
          <w:rFonts w:ascii="Calibri" w:hAnsi="Calibri" w:cs="Calibri"/>
        </w:rPr>
      </w:pPr>
      <w:r w:rsidRPr="003F3FDC">
        <w:rPr>
          <w:rFonts w:ascii="Calibri" w:hAnsi="Calibri" w:cs="Calibri"/>
        </w:rPr>
        <w:t>Technische Integration: Das Portal muss erfolgreich in KIS, RIS, LIS und PACS eingebunden sein. Nur so ist sichergestellt, dass alle notwendigen medizinischen Informationen korrekt im Portal dargestellt werden.</w:t>
      </w:r>
    </w:p>
    <w:p w14:paraId="7728C41B" w14:textId="77777777" w:rsidR="003F3FDC" w:rsidRPr="003F3FDC" w:rsidRDefault="003F3FDC" w:rsidP="00EA59DD">
      <w:pPr>
        <w:numPr>
          <w:ilvl w:val="0"/>
          <w:numId w:val="12"/>
        </w:numPr>
        <w:spacing w:after="120" w:line="360" w:lineRule="auto"/>
        <w:rPr>
          <w:rFonts w:ascii="Calibri" w:hAnsi="Calibri" w:cs="Calibri"/>
        </w:rPr>
      </w:pPr>
      <w:r w:rsidRPr="003F3FDC">
        <w:rPr>
          <w:rFonts w:ascii="Calibri" w:hAnsi="Calibri" w:cs="Calibri"/>
        </w:rPr>
        <w:t>Datenschutz &amp; Sicherheit: Es muss ein DSGVO-konformes Datenschutzkonzept vorliegen, ergänzt durch bestandene Sicherheits- und Penetrationstests. Ohne diese Absicherung darf das System nicht live geschaltet werden.</w:t>
      </w:r>
    </w:p>
    <w:p w14:paraId="71F83944" w14:textId="4D74829A" w:rsidR="003F3FDC" w:rsidRPr="003F3FDC" w:rsidRDefault="003F3FDC" w:rsidP="00EA59DD">
      <w:pPr>
        <w:numPr>
          <w:ilvl w:val="0"/>
          <w:numId w:val="12"/>
        </w:numPr>
        <w:spacing w:after="120" w:line="360" w:lineRule="auto"/>
        <w:rPr>
          <w:rFonts w:ascii="Calibri" w:hAnsi="Calibri" w:cs="Calibri"/>
        </w:rPr>
      </w:pPr>
      <w:r w:rsidRPr="003F3FDC">
        <w:rPr>
          <w:rFonts w:ascii="Calibri" w:hAnsi="Calibri" w:cs="Calibri"/>
        </w:rPr>
        <w:t xml:space="preserve">Schulung &amp; Akzeptanz: Die Key-User müssen geschult und in der Lage sein, das Wissen intern weiterzugeben. </w:t>
      </w:r>
      <w:proofErr w:type="spellStart"/>
      <w:r w:rsidR="00905C21" w:rsidRPr="004B3D96">
        <w:rPr>
          <w:rFonts w:ascii="Calibri" w:hAnsi="Calibri" w:cs="Calibri"/>
        </w:rPr>
        <w:t>Dadruch</w:t>
      </w:r>
      <w:proofErr w:type="spellEnd"/>
      <w:r w:rsidR="00905C21" w:rsidRPr="004B3D96">
        <w:rPr>
          <w:rFonts w:ascii="Calibri" w:hAnsi="Calibri" w:cs="Calibri"/>
        </w:rPr>
        <w:t xml:space="preserve"> wird dem Risiko einer geringen Nutzung entgegengewirkt. </w:t>
      </w:r>
    </w:p>
    <w:p w14:paraId="5AB9D07A" w14:textId="77777777" w:rsidR="003F3FDC" w:rsidRPr="003F3FDC" w:rsidRDefault="003F3FDC" w:rsidP="00EA59DD">
      <w:pPr>
        <w:numPr>
          <w:ilvl w:val="0"/>
          <w:numId w:val="12"/>
        </w:numPr>
        <w:spacing w:after="120" w:line="360" w:lineRule="auto"/>
        <w:rPr>
          <w:rFonts w:ascii="Calibri" w:hAnsi="Calibri" w:cs="Calibri"/>
        </w:rPr>
      </w:pPr>
      <w:r w:rsidRPr="003F3FDC">
        <w:rPr>
          <w:rFonts w:ascii="Calibri" w:hAnsi="Calibri" w:cs="Calibri"/>
        </w:rPr>
        <w:t>Pilot-Ergebnisse: Ein funktionaler Testlauf im Vorfeld muss zeigen, dass z. B. das Terminmanagement und die Anamnese-Funktion stabil und benutzerfreundlich laufen.</w:t>
      </w:r>
    </w:p>
    <w:p w14:paraId="6F46B014" w14:textId="796BDA0F" w:rsidR="008A386C" w:rsidRPr="004B3D96" w:rsidRDefault="003F3FDC" w:rsidP="00EA59DD">
      <w:pPr>
        <w:spacing w:after="120" w:line="360" w:lineRule="auto"/>
        <w:rPr>
          <w:rFonts w:ascii="Calibri" w:hAnsi="Calibri" w:cs="Calibri"/>
        </w:rPr>
      </w:pPr>
      <w:r w:rsidRPr="003F3FDC">
        <w:rPr>
          <w:rFonts w:ascii="Calibri" w:hAnsi="Calibri" w:cs="Calibri"/>
        </w:rPr>
        <w:t xml:space="preserve">Erst wenn alle Kriterien erfüllt sind, erfolgt die finale Freigabe. Dieses Quality Gate schützt das Projekt vor einem vorschnellen Rollout, der zu Akzeptanzproblemen oder Sicherheitsvorfällen führen </w:t>
      </w:r>
      <w:r w:rsidRPr="004B3D96">
        <w:rPr>
          <w:rFonts w:ascii="Calibri" w:hAnsi="Calibri" w:cs="Calibri"/>
        </w:rPr>
        <w:t>kann</w:t>
      </w:r>
      <w:r w:rsidRPr="003F3FDC">
        <w:rPr>
          <w:rFonts w:ascii="Calibri" w:hAnsi="Calibri" w:cs="Calibri"/>
        </w:rPr>
        <w:t xml:space="preserve">. </w:t>
      </w:r>
    </w:p>
    <w:p w14:paraId="5EAA711B" w14:textId="77777777" w:rsidR="003F3FDC" w:rsidRPr="004B3D96" w:rsidRDefault="003F3FDC" w:rsidP="008A386C">
      <w:pPr>
        <w:rPr>
          <w:rFonts w:ascii="Calibri" w:hAnsi="Calibri" w:cs="Calibri"/>
        </w:rPr>
      </w:pPr>
    </w:p>
    <w:p w14:paraId="775DC145" w14:textId="36416FCD" w:rsidR="003F3FDC" w:rsidRPr="003F3FDC" w:rsidRDefault="003F3FDC" w:rsidP="003F3FDC">
      <w:pPr>
        <w:numPr>
          <w:ilvl w:val="0"/>
          <w:numId w:val="18"/>
        </w:numPr>
        <w:rPr>
          <w:rFonts w:ascii="Calibri" w:hAnsi="Calibri" w:cs="Calibri"/>
        </w:rPr>
      </w:pPr>
      <w:hyperlink r:id="rId5" w:history="1">
        <w:r w:rsidRPr="003F3FDC">
          <w:rPr>
            <w:rStyle w:val="Hyperlink"/>
            <w:rFonts w:ascii="Calibri" w:hAnsi="Calibri" w:cs="Calibri"/>
          </w:rPr>
          <w:t>https://www.pureconsultant.de/de/pro</w:t>
        </w:r>
        <w:r w:rsidRPr="003F3FDC">
          <w:rPr>
            <w:rStyle w:val="Hyperlink"/>
            <w:rFonts w:ascii="Calibri" w:hAnsi="Calibri" w:cs="Calibri"/>
          </w:rPr>
          <w:t>j</w:t>
        </w:r>
        <w:r w:rsidRPr="003F3FDC">
          <w:rPr>
            <w:rStyle w:val="Hyperlink"/>
            <w:rFonts w:ascii="Calibri" w:hAnsi="Calibri" w:cs="Calibri"/>
          </w:rPr>
          <w:t>ektmanagement/quality-gate/</w:t>
        </w:r>
      </w:hyperlink>
    </w:p>
    <w:p w14:paraId="62CC6428" w14:textId="77777777" w:rsidR="003F3FDC" w:rsidRPr="003F3FDC" w:rsidRDefault="003F3FDC" w:rsidP="003F3FDC">
      <w:pPr>
        <w:numPr>
          <w:ilvl w:val="0"/>
          <w:numId w:val="18"/>
        </w:numPr>
        <w:rPr>
          <w:rFonts w:ascii="Calibri" w:hAnsi="Calibri" w:cs="Calibri"/>
        </w:rPr>
      </w:pPr>
      <w:hyperlink r:id="rId6" w:history="1">
        <w:r w:rsidRPr="003F3FDC">
          <w:rPr>
            <w:rStyle w:val="Hyperlink"/>
            <w:rFonts w:ascii="Calibri" w:hAnsi="Calibri" w:cs="Calibri"/>
          </w:rPr>
          <w:t>https://de.wikipedia.org/wiki/Quali</w:t>
        </w:r>
        <w:r w:rsidRPr="003F3FDC">
          <w:rPr>
            <w:rStyle w:val="Hyperlink"/>
            <w:rFonts w:ascii="Calibri" w:hAnsi="Calibri" w:cs="Calibri"/>
          </w:rPr>
          <w:t>t</w:t>
        </w:r>
        <w:r w:rsidRPr="003F3FDC">
          <w:rPr>
            <w:rStyle w:val="Hyperlink"/>
            <w:rFonts w:ascii="Calibri" w:hAnsi="Calibri" w:cs="Calibri"/>
          </w:rPr>
          <w:t>y_Gate</w:t>
        </w:r>
      </w:hyperlink>
    </w:p>
    <w:p w14:paraId="562B488B" w14:textId="77777777" w:rsidR="003F3FDC" w:rsidRPr="003F3FDC" w:rsidRDefault="003F3FDC" w:rsidP="003F3FDC">
      <w:pPr>
        <w:numPr>
          <w:ilvl w:val="0"/>
          <w:numId w:val="18"/>
        </w:numPr>
        <w:rPr>
          <w:rFonts w:ascii="Calibri" w:hAnsi="Calibri" w:cs="Calibri"/>
        </w:rPr>
      </w:pPr>
      <w:hyperlink r:id="rId7" w:history="1">
        <w:r w:rsidRPr="003F3FDC">
          <w:rPr>
            <w:rStyle w:val="Hyperlink"/>
            <w:rFonts w:ascii="Calibri" w:hAnsi="Calibri" w:cs="Calibri"/>
          </w:rPr>
          <w:t>https://t2informatik.de/wissen-ko</w:t>
        </w:r>
        <w:r w:rsidRPr="003F3FDC">
          <w:rPr>
            <w:rStyle w:val="Hyperlink"/>
            <w:rFonts w:ascii="Calibri" w:hAnsi="Calibri" w:cs="Calibri"/>
          </w:rPr>
          <w:t>m</w:t>
        </w:r>
        <w:r w:rsidRPr="003F3FDC">
          <w:rPr>
            <w:rStyle w:val="Hyperlink"/>
            <w:rFonts w:ascii="Calibri" w:hAnsi="Calibri" w:cs="Calibri"/>
          </w:rPr>
          <w:t>pakt/quality-gate/</w:t>
        </w:r>
      </w:hyperlink>
    </w:p>
    <w:p w14:paraId="1E121DB3" w14:textId="77777777" w:rsidR="003F3FDC" w:rsidRPr="003F3FDC" w:rsidRDefault="003F3FDC" w:rsidP="003F3FDC">
      <w:pPr>
        <w:numPr>
          <w:ilvl w:val="0"/>
          <w:numId w:val="18"/>
        </w:numPr>
        <w:rPr>
          <w:rFonts w:ascii="Calibri" w:hAnsi="Calibri" w:cs="Calibri"/>
        </w:rPr>
      </w:pPr>
      <w:hyperlink r:id="rId8" w:history="1">
        <w:r w:rsidRPr="003F3FDC">
          <w:rPr>
            <w:rStyle w:val="Hyperlink"/>
            <w:rFonts w:ascii="Calibri" w:hAnsi="Calibri" w:cs="Calibri"/>
          </w:rPr>
          <w:t>https://operations1.com/de/glos</w:t>
        </w:r>
        <w:r w:rsidRPr="003F3FDC">
          <w:rPr>
            <w:rStyle w:val="Hyperlink"/>
            <w:rFonts w:ascii="Calibri" w:hAnsi="Calibri" w:cs="Calibri"/>
          </w:rPr>
          <w:t>s</w:t>
        </w:r>
        <w:r w:rsidRPr="003F3FDC">
          <w:rPr>
            <w:rStyle w:val="Hyperlink"/>
            <w:rFonts w:ascii="Calibri" w:hAnsi="Calibri" w:cs="Calibri"/>
          </w:rPr>
          <w:t>ar/quality-gate</w:t>
        </w:r>
      </w:hyperlink>
    </w:p>
    <w:p w14:paraId="380A1400" w14:textId="77777777" w:rsidR="003F3FDC" w:rsidRPr="003F3FDC" w:rsidRDefault="003F3FDC" w:rsidP="003F3FDC">
      <w:pPr>
        <w:numPr>
          <w:ilvl w:val="0"/>
          <w:numId w:val="18"/>
        </w:numPr>
        <w:rPr>
          <w:rFonts w:ascii="Calibri" w:hAnsi="Calibri" w:cs="Calibri"/>
        </w:rPr>
      </w:pPr>
      <w:hyperlink r:id="rId9" w:history="1">
        <w:r w:rsidRPr="003F3FDC">
          <w:rPr>
            <w:rStyle w:val="Hyperlink"/>
            <w:rFonts w:ascii="Calibri" w:hAnsi="Calibri" w:cs="Calibri"/>
          </w:rPr>
          <w:t>https://www.deutschebahn.com/de/quality_gate_m</w:t>
        </w:r>
        <w:r w:rsidRPr="003F3FDC">
          <w:rPr>
            <w:rStyle w:val="Hyperlink"/>
            <w:rFonts w:ascii="Calibri" w:hAnsi="Calibri" w:cs="Calibri"/>
          </w:rPr>
          <w:t>e</w:t>
        </w:r>
        <w:r w:rsidRPr="003F3FDC">
          <w:rPr>
            <w:rStyle w:val="Hyperlink"/>
            <w:rFonts w:ascii="Calibri" w:hAnsi="Calibri" w:cs="Calibri"/>
          </w:rPr>
          <w:t>thode-6876846</w:t>
        </w:r>
      </w:hyperlink>
    </w:p>
    <w:p w14:paraId="004C0F01" w14:textId="7021D864" w:rsidR="003F3FDC" w:rsidRPr="004B3D96" w:rsidRDefault="003F3FDC" w:rsidP="008A386C">
      <w:pPr>
        <w:numPr>
          <w:ilvl w:val="0"/>
          <w:numId w:val="18"/>
        </w:numPr>
        <w:rPr>
          <w:rFonts w:ascii="Calibri" w:hAnsi="Calibri" w:cs="Calibri"/>
        </w:rPr>
      </w:pPr>
      <w:hyperlink r:id="rId10" w:history="1">
        <w:r w:rsidRPr="003F3FDC">
          <w:rPr>
            <w:rStyle w:val="Hyperlink"/>
            <w:rFonts w:ascii="Calibri" w:hAnsi="Calibri" w:cs="Calibri"/>
          </w:rPr>
          <w:t>https://blog.mayflo</w:t>
        </w:r>
        <w:r w:rsidRPr="003F3FDC">
          <w:rPr>
            <w:rStyle w:val="Hyperlink"/>
            <w:rFonts w:ascii="Calibri" w:hAnsi="Calibri" w:cs="Calibri"/>
          </w:rPr>
          <w:t>w</w:t>
        </w:r>
        <w:r w:rsidRPr="003F3FDC">
          <w:rPr>
            <w:rStyle w:val="Hyperlink"/>
            <w:rFonts w:ascii="Calibri" w:hAnsi="Calibri" w:cs="Calibri"/>
          </w:rPr>
          <w:t>er.de/17814-quality-gates.html</w:t>
        </w:r>
      </w:hyperlink>
    </w:p>
    <w:sectPr w:rsidR="003F3FDC" w:rsidRPr="004B3D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928"/>
    <w:multiLevelType w:val="multilevel"/>
    <w:tmpl w:val="7C6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7C4A"/>
    <w:multiLevelType w:val="multilevel"/>
    <w:tmpl w:val="EFE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33E11"/>
    <w:multiLevelType w:val="multilevel"/>
    <w:tmpl w:val="BE3A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7287E"/>
    <w:multiLevelType w:val="multilevel"/>
    <w:tmpl w:val="257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07CAB"/>
    <w:multiLevelType w:val="multilevel"/>
    <w:tmpl w:val="E68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43239"/>
    <w:multiLevelType w:val="multilevel"/>
    <w:tmpl w:val="086E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43C77"/>
    <w:multiLevelType w:val="multilevel"/>
    <w:tmpl w:val="E642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05B8E"/>
    <w:multiLevelType w:val="multilevel"/>
    <w:tmpl w:val="21C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0011B"/>
    <w:multiLevelType w:val="multilevel"/>
    <w:tmpl w:val="444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136A1"/>
    <w:multiLevelType w:val="multilevel"/>
    <w:tmpl w:val="D5FA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C6A0C"/>
    <w:multiLevelType w:val="multilevel"/>
    <w:tmpl w:val="2BDE5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312CA"/>
    <w:multiLevelType w:val="multilevel"/>
    <w:tmpl w:val="F56E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55BF9"/>
    <w:multiLevelType w:val="multilevel"/>
    <w:tmpl w:val="32E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E4B8C"/>
    <w:multiLevelType w:val="multilevel"/>
    <w:tmpl w:val="EE5A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752EBA"/>
    <w:multiLevelType w:val="multilevel"/>
    <w:tmpl w:val="ADFC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484C33"/>
    <w:multiLevelType w:val="multilevel"/>
    <w:tmpl w:val="E8D6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A3E77"/>
    <w:multiLevelType w:val="multilevel"/>
    <w:tmpl w:val="1E2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25D03"/>
    <w:multiLevelType w:val="multilevel"/>
    <w:tmpl w:val="FC86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2496">
    <w:abstractNumId w:val="6"/>
  </w:num>
  <w:num w:numId="2" w16cid:durableId="2047296170">
    <w:abstractNumId w:val="1"/>
  </w:num>
  <w:num w:numId="3" w16cid:durableId="1631323560">
    <w:abstractNumId w:val="8"/>
  </w:num>
  <w:num w:numId="4" w16cid:durableId="586308613">
    <w:abstractNumId w:val="4"/>
  </w:num>
  <w:num w:numId="5" w16cid:durableId="1794985145">
    <w:abstractNumId w:val="16"/>
  </w:num>
  <w:num w:numId="6" w16cid:durableId="271330761">
    <w:abstractNumId w:val="3"/>
  </w:num>
  <w:num w:numId="7" w16cid:durableId="373427774">
    <w:abstractNumId w:val="10"/>
  </w:num>
  <w:num w:numId="8" w16cid:durableId="1527254141">
    <w:abstractNumId w:val="2"/>
  </w:num>
  <w:num w:numId="9" w16cid:durableId="967930941">
    <w:abstractNumId w:val="9"/>
  </w:num>
  <w:num w:numId="10" w16cid:durableId="1857041018">
    <w:abstractNumId w:val="5"/>
  </w:num>
  <w:num w:numId="11" w16cid:durableId="163714899">
    <w:abstractNumId w:val="11"/>
  </w:num>
  <w:num w:numId="12" w16cid:durableId="1818841122">
    <w:abstractNumId w:val="13"/>
  </w:num>
  <w:num w:numId="13" w16cid:durableId="185293550">
    <w:abstractNumId w:val="0"/>
  </w:num>
  <w:num w:numId="14" w16cid:durableId="1777558073">
    <w:abstractNumId w:val="7"/>
  </w:num>
  <w:num w:numId="15" w16cid:durableId="589657495">
    <w:abstractNumId w:val="15"/>
  </w:num>
  <w:num w:numId="16" w16cid:durableId="244807606">
    <w:abstractNumId w:val="17"/>
  </w:num>
  <w:num w:numId="17" w16cid:durableId="1805079126">
    <w:abstractNumId w:val="12"/>
  </w:num>
  <w:num w:numId="18" w16cid:durableId="1965308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86C"/>
    <w:rsid w:val="001C6DFE"/>
    <w:rsid w:val="0037298B"/>
    <w:rsid w:val="003F3FDC"/>
    <w:rsid w:val="004B3D96"/>
    <w:rsid w:val="006C7D81"/>
    <w:rsid w:val="00851A0F"/>
    <w:rsid w:val="008A386C"/>
    <w:rsid w:val="008F3076"/>
    <w:rsid w:val="00905C21"/>
    <w:rsid w:val="009E1AB3"/>
    <w:rsid w:val="00EA59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823B"/>
  <w15:chartTrackingRefBased/>
  <w15:docId w15:val="{666A2A89-CCF1-4E43-B96F-7FE93E70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3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3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38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38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38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38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38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38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38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38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38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38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38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38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38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38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38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386C"/>
    <w:rPr>
      <w:rFonts w:eastAsiaTheme="majorEastAsia" w:cstheme="majorBidi"/>
      <w:color w:val="272727" w:themeColor="text1" w:themeTint="D8"/>
    </w:rPr>
  </w:style>
  <w:style w:type="paragraph" w:styleId="Titel">
    <w:name w:val="Title"/>
    <w:basedOn w:val="Standard"/>
    <w:next w:val="Standard"/>
    <w:link w:val="TitelZchn"/>
    <w:uiPriority w:val="10"/>
    <w:qFormat/>
    <w:rsid w:val="008A3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38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38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38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38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386C"/>
    <w:rPr>
      <w:i/>
      <w:iCs/>
      <w:color w:val="404040" w:themeColor="text1" w:themeTint="BF"/>
    </w:rPr>
  </w:style>
  <w:style w:type="paragraph" w:styleId="Listenabsatz">
    <w:name w:val="List Paragraph"/>
    <w:basedOn w:val="Standard"/>
    <w:uiPriority w:val="34"/>
    <w:qFormat/>
    <w:rsid w:val="008A386C"/>
    <w:pPr>
      <w:ind w:left="720"/>
      <w:contextualSpacing/>
    </w:pPr>
  </w:style>
  <w:style w:type="character" w:styleId="IntensiveHervorhebung">
    <w:name w:val="Intense Emphasis"/>
    <w:basedOn w:val="Absatz-Standardschriftart"/>
    <w:uiPriority w:val="21"/>
    <w:qFormat/>
    <w:rsid w:val="008A386C"/>
    <w:rPr>
      <w:i/>
      <w:iCs/>
      <w:color w:val="0F4761" w:themeColor="accent1" w:themeShade="BF"/>
    </w:rPr>
  </w:style>
  <w:style w:type="paragraph" w:styleId="IntensivesZitat">
    <w:name w:val="Intense Quote"/>
    <w:basedOn w:val="Standard"/>
    <w:next w:val="Standard"/>
    <w:link w:val="IntensivesZitatZchn"/>
    <w:uiPriority w:val="30"/>
    <w:qFormat/>
    <w:rsid w:val="008A3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386C"/>
    <w:rPr>
      <w:i/>
      <w:iCs/>
      <w:color w:val="0F4761" w:themeColor="accent1" w:themeShade="BF"/>
    </w:rPr>
  </w:style>
  <w:style w:type="character" w:styleId="IntensiverVerweis">
    <w:name w:val="Intense Reference"/>
    <w:basedOn w:val="Absatz-Standardschriftart"/>
    <w:uiPriority w:val="32"/>
    <w:qFormat/>
    <w:rsid w:val="008A386C"/>
    <w:rPr>
      <w:b/>
      <w:bCs/>
      <w:smallCaps/>
      <w:color w:val="0F4761" w:themeColor="accent1" w:themeShade="BF"/>
      <w:spacing w:val="5"/>
    </w:rPr>
  </w:style>
  <w:style w:type="character" w:styleId="Hyperlink">
    <w:name w:val="Hyperlink"/>
    <w:basedOn w:val="Absatz-Standardschriftart"/>
    <w:uiPriority w:val="99"/>
    <w:unhideWhenUsed/>
    <w:rsid w:val="008A386C"/>
    <w:rPr>
      <w:color w:val="467886" w:themeColor="hyperlink"/>
      <w:u w:val="single"/>
    </w:rPr>
  </w:style>
  <w:style w:type="character" w:styleId="NichtaufgelsteErwhnung">
    <w:name w:val="Unresolved Mention"/>
    <w:basedOn w:val="Absatz-Standardschriftart"/>
    <w:uiPriority w:val="99"/>
    <w:semiHidden/>
    <w:unhideWhenUsed/>
    <w:rsid w:val="008A386C"/>
    <w:rPr>
      <w:color w:val="605E5C"/>
      <w:shd w:val="clear" w:color="auto" w:fill="E1DFDD"/>
    </w:rPr>
  </w:style>
  <w:style w:type="character" w:styleId="BesuchterLink">
    <w:name w:val="FollowedHyperlink"/>
    <w:basedOn w:val="Absatz-Standardschriftart"/>
    <w:uiPriority w:val="99"/>
    <w:semiHidden/>
    <w:unhideWhenUsed/>
    <w:rsid w:val="003F3F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2328">
      <w:bodyDiv w:val="1"/>
      <w:marLeft w:val="0"/>
      <w:marRight w:val="0"/>
      <w:marTop w:val="0"/>
      <w:marBottom w:val="0"/>
      <w:divBdr>
        <w:top w:val="none" w:sz="0" w:space="0" w:color="auto"/>
        <w:left w:val="none" w:sz="0" w:space="0" w:color="auto"/>
        <w:bottom w:val="none" w:sz="0" w:space="0" w:color="auto"/>
        <w:right w:val="none" w:sz="0" w:space="0" w:color="auto"/>
      </w:divBdr>
      <w:divsChild>
        <w:div w:id="159851665">
          <w:marLeft w:val="0"/>
          <w:marRight w:val="0"/>
          <w:marTop w:val="0"/>
          <w:marBottom w:val="0"/>
          <w:divBdr>
            <w:top w:val="none" w:sz="0" w:space="0" w:color="auto"/>
            <w:left w:val="none" w:sz="0" w:space="0" w:color="auto"/>
            <w:bottom w:val="none" w:sz="0" w:space="0" w:color="auto"/>
            <w:right w:val="none" w:sz="0" w:space="0" w:color="auto"/>
          </w:divBdr>
          <w:divsChild>
            <w:div w:id="4464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22">
      <w:bodyDiv w:val="1"/>
      <w:marLeft w:val="0"/>
      <w:marRight w:val="0"/>
      <w:marTop w:val="0"/>
      <w:marBottom w:val="0"/>
      <w:divBdr>
        <w:top w:val="none" w:sz="0" w:space="0" w:color="auto"/>
        <w:left w:val="none" w:sz="0" w:space="0" w:color="auto"/>
        <w:bottom w:val="none" w:sz="0" w:space="0" w:color="auto"/>
        <w:right w:val="none" w:sz="0" w:space="0" w:color="auto"/>
      </w:divBdr>
      <w:divsChild>
        <w:div w:id="964776884">
          <w:marLeft w:val="0"/>
          <w:marRight w:val="0"/>
          <w:marTop w:val="0"/>
          <w:marBottom w:val="0"/>
          <w:divBdr>
            <w:top w:val="none" w:sz="0" w:space="0" w:color="auto"/>
            <w:left w:val="none" w:sz="0" w:space="0" w:color="auto"/>
            <w:bottom w:val="none" w:sz="0" w:space="0" w:color="auto"/>
            <w:right w:val="none" w:sz="0" w:space="0" w:color="auto"/>
          </w:divBdr>
          <w:divsChild>
            <w:div w:id="8511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4453">
      <w:bodyDiv w:val="1"/>
      <w:marLeft w:val="0"/>
      <w:marRight w:val="0"/>
      <w:marTop w:val="0"/>
      <w:marBottom w:val="0"/>
      <w:divBdr>
        <w:top w:val="none" w:sz="0" w:space="0" w:color="auto"/>
        <w:left w:val="none" w:sz="0" w:space="0" w:color="auto"/>
        <w:bottom w:val="none" w:sz="0" w:space="0" w:color="auto"/>
        <w:right w:val="none" w:sz="0" w:space="0" w:color="auto"/>
      </w:divBdr>
      <w:divsChild>
        <w:div w:id="986318781">
          <w:marLeft w:val="0"/>
          <w:marRight w:val="0"/>
          <w:marTop w:val="0"/>
          <w:marBottom w:val="0"/>
          <w:divBdr>
            <w:top w:val="none" w:sz="0" w:space="0" w:color="auto"/>
            <w:left w:val="none" w:sz="0" w:space="0" w:color="auto"/>
            <w:bottom w:val="none" w:sz="0" w:space="0" w:color="auto"/>
            <w:right w:val="none" w:sz="0" w:space="0" w:color="auto"/>
          </w:divBdr>
          <w:divsChild>
            <w:div w:id="1926723989">
              <w:marLeft w:val="0"/>
              <w:marRight w:val="0"/>
              <w:marTop w:val="0"/>
              <w:marBottom w:val="0"/>
              <w:divBdr>
                <w:top w:val="none" w:sz="0" w:space="0" w:color="auto"/>
                <w:left w:val="none" w:sz="0" w:space="0" w:color="auto"/>
                <w:bottom w:val="none" w:sz="0" w:space="0" w:color="auto"/>
                <w:right w:val="none" w:sz="0" w:space="0" w:color="auto"/>
              </w:divBdr>
            </w:div>
            <w:div w:id="1259024609">
              <w:marLeft w:val="0"/>
              <w:marRight w:val="0"/>
              <w:marTop w:val="0"/>
              <w:marBottom w:val="0"/>
              <w:divBdr>
                <w:top w:val="none" w:sz="0" w:space="0" w:color="auto"/>
                <w:left w:val="none" w:sz="0" w:space="0" w:color="auto"/>
                <w:bottom w:val="none" w:sz="0" w:space="0" w:color="auto"/>
                <w:right w:val="none" w:sz="0" w:space="0" w:color="auto"/>
              </w:divBdr>
              <w:divsChild>
                <w:div w:id="1597521202">
                  <w:marLeft w:val="0"/>
                  <w:marRight w:val="0"/>
                  <w:marTop w:val="0"/>
                  <w:marBottom w:val="0"/>
                  <w:divBdr>
                    <w:top w:val="none" w:sz="0" w:space="0" w:color="auto"/>
                    <w:left w:val="none" w:sz="0" w:space="0" w:color="auto"/>
                    <w:bottom w:val="none" w:sz="0" w:space="0" w:color="auto"/>
                    <w:right w:val="none" w:sz="0" w:space="0" w:color="auto"/>
                  </w:divBdr>
                  <w:divsChild>
                    <w:div w:id="1535968048">
                      <w:marLeft w:val="0"/>
                      <w:marRight w:val="0"/>
                      <w:marTop w:val="0"/>
                      <w:marBottom w:val="0"/>
                      <w:divBdr>
                        <w:top w:val="none" w:sz="0" w:space="0" w:color="auto"/>
                        <w:left w:val="none" w:sz="0" w:space="0" w:color="auto"/>
                        <w:bottom w:val="none" w:sz="0" w:space="0" w:color="auto"/>
                        <w:right w:val="none" w:sz="0" w:space="0" w:color="auto"/>
                      </w:divBdr>
                      <w:divsChild>
                        <w:div w:id="20689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329386">
      <w:bodyDiv w:val="1"/>
      <w:marLeft w:val="0"/>
      <w:marRight w:val="0"/>
      <w:marTop w:val="0"/>
      <w:marBottom w:val="0"/>
      <w:divBdr>
        <w:top w:val="none" w:sz="0" w:space="0" w:color="auto"/>
        <w:left w:val="none" w:sz="0" w:space="0" w:color="auto"/>
        <w:bottom w:val="none" w:sz="0" w:space="0" w:color="auto"/>
        <w:right w:val="none" w:sz="0" w:space="0" w:color="auto"/>
      </w:divBdr>
      <w:divsChild>
        <w:div w:id="958872682">
          <w:marLeft w:val="0"/>
          <w:marRight w:val="0"/>
          <w:marTop w:val="0"/>
          <w:marBottom w:val="0"/>
          <w:divBdr>
            <w:top w:val="none" w:sz="0" w:space="0" w:color="auto"/>
            <w:left w:val="none" w:sz="0" w:space="0" w:color="auto"/>
            <w:bottom w:val="none" w:sz="0" w:space="0" w:color="auto"/>
            <w:right w:val="none" w:sz="0" w:space="0" w:color="auto"/>
          </w:divBdr>
          <w:divsChild>
            <w:div w:id="1865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0510">
      <w:bodyDiv w:val="1"/>
      <w:marLeft w:val="0"/>
      <w:marRight w:val="0"/>
      <w:marTop w:val="0"/>
      <w:marBottom w:val="0"/>
      <w:divBdr>
        <w:top w:val="none" w:sz="0" w:space="0" w:color="auto"/>
        <w:left w:val="none" w:sz="0" w:space="0" w:color="auto"/>
        <w:bottom w:val="none" w:sz="0" w:space="0" w:color="auto"/>
        <w:right w:val="none" w:sz="0" w:space="0" w:color="auto"/>
      </w:divBdr>
      <w:divsChild>
        <w:div w:id="1105423594">
          <w:marLeft w:val="0"/>
          <w:marRight w:val="0"/>
          <w:marTop w:val="0"/>
          <w:marBottom w:val="0"/>
          <w:divBdr>
            <w:top w:val="none" w:sz="0" w:space="0" w:color="auto"/>
            <w:left w:val="none" w:sz="0" w:space="0" w:color="auto"/>
            <w:bottom w:val="none" w:sz="0" w:space="0" w:color="auto"/>
            <w:right w:val="none" w:sz="0" w:space="0" w:color="auto"/>
          </w:divBdr>
          <w:divsChild>
            <w:div w:id="20391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9747">
      <w:bodyDiv w:val="1"/>
      <w:marLeft w:val="0"/>
      <w:marRight w:val="0"/>
      <w:marTop w:val="0"/>
      <w:marBottom w:val="0"/>
      <w:divBdr>
        <w:top w:val="none" w:sz="0" w:space="0" w:color="auto"/>
        <w:left w:val="none" w:sz="0" w:space="0" w:color="auto"/>
        <w:bottom w:val="none" w:sz="0" w:space="0" w:color="auto"/>
        <w:right w:val="none" w:sz="0" w:space="0" w:color="auto"/>
      </w:divBdr>
      <w:divsChild>
        <w:div w:id="431895148">
          <w:marLeft w:val="0"/>
          <w:marRight w:val="0"/>
          <w:marTop w:val="0"/>
          <w:marBottom w:val="0"/>
          <w:divBdr>
            <w:top w:val="none" w:sz="0" w:space="0" w:color="auto"/>
            <w:left w:val="none" w:sz="0" w:space="0" w:color="auto"/>
            <w:bottom w:val="none" w:sz="0" w:space="0" w:color="auto"/>
            <w:right w:val="none" w:sz="0" w:space="0" w:color="auto"/>
          </w:divBdr>
          <w:divsChild>
            <w:div w:id="1000503373">
              <w:marLeft w:val="0"/>
              <w:marRight w:val="0"/>
              <w:marTop w:val="0"/>
              <w:marBottom w:val="0"/>
              <w:divBdr>
                <w:top w:val="none" w:sz="0" w:space="0" w:color="auto"/>
                <w:left w:val="none" w:sz="0" w:space="0" w:color="auto"/>
                <w:bottom w:val="none" w:sz="0" w:space="0" w:color="auto"/>
                <w:right w:val="none" w:sz="0" w:space="0" w:color="auto"/>
              </w:divBdr>
            </w:div>
            <w:div w:id="1670328327">
              <w:marLeft w:val="0"/>
              <w:marRight w:val="0"/>
              <w:marTop w:val="0"/>
              <w:marBottom w:val="0"/>
              <w:divBdr>
                <w:top w:val="none" w:sz="0" w:space="0" w:color="auto"/>
                <w:left w:val="none" w:sz="0" w:space="0" w:color="auto"/>
                <w:bottom w:val="none" w:sz="0" w:space="0" w:color="auto"/>
                <w:right w:val="none" w:sz="0" w:space="0" w:color="auto"/>
              </w:divBdr>
              <w:divsChild>
                <w:div w:id="752354040">
                  <w:marLeft w:val="0"/>
                  <w:marRight w:val="0"/>
                  <w:marTop w:val="0"/>
                  <w:marBottom w:val="0"/>
                  <w:divBdr>
                    <w:top w:val="none" w:sz="0" w:space="0" w:color="auto"/>
                    <w:left w:val="none" w:sz="0" w:space="0" w:color="auto"/>
                    <w:bottom w:val="none" w:sz="0" w:space="0" w:color="auto"/>
                    <w:right w:val="none" w:sz="0" w:space="0" w:color="auto"/>
                  </w:divBdr>
                  <w:divsChild>
                    <w:div w:id="1421290330">
                      <w:marLeft w:val="0"/>
                      <w:marRight w:val="0"/>
                      <w:marTop w:val="0"/>
                      <w:marBottom w:val="0"/>
                      <w:divBdr>
                        <w:top w:val="none" w:sz="0" w:space="0" w:color="auto"/>
                        <w:left w:val="none" w:sz="0" w:space="0" w:color="auto"/>
                        <w:bottom w:val="none" w:sz="0" w:space="0" w:color="auto"/>
                        <w:right w:val="none" w:sz="0" w:space="0" w:color="auto"/>
                      </w:divBdr>
                      <w:divsChild>
                        <w:div w:id="10607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114036">
      <w:bodyDiv w:val="1"/>
      <w:marLeft w:val="0"/>
      <w:marRight w:val="0"/>
      <w:marTop w:val="0"/>
      <w:marBottom w:val="0"/>
      <w:divBdr>
        <w:top w:val="none" w:sz="0" w:space="0" w:color="auto"/>
        <w:left w:val="none" w:sz="0" w:space="0" w:color="auto"/>
        <w:bottom w:val="none" w:sz="0" w:space="0" w:color="auto"/>
        <w:right w:val="none" w:sz="0" w:space="0" w:color="auto"/>
      </w:divBdr>
    </w:div>
    <w:div w:id="1616861798">
      <w:bodyDiv w:val="1"/>
      <w:marLeft w:val="0"/>
      <w:marRight w:val="0"/>
      <w:marTop w:val="0"/>
      <w:marBottom w:val="0"/>
      <w:divBdr>
        <w:top w:val="none" w:sz="0" w:space="0" w:color="auto"/>
        <w:left w:val="none" w:sz="0" w:space="0" w:color="auto"/>
        <w:bottom w:val="none" w:sz="0" w:space="0" w:color="auto"/>
        <w:right w:val="none" w:sz="0" w:space="0" w:color="auto"/>
      </w:divBdr>
    </w:div>
    <w:div w:id="1674915639">
      <w:bodyDiv w:val="1"/>
      <w:marLeft w:val="0"/>
      <w:marRight w:val="0"/>
      <w:marTop w:val="0"/>
      <w:marBottom w:val="0"/>
      <w:divBdr>
        <w:top w:val="none" w:sz="0" w:space="0" w:color="auto"/>
        <w:left w:val="none" w:sz="0" w:space="0" w:color="auto"/>
        <w:bottom w:val="none" w:sz="0" w:space="0" w:color="auto"/>
        <w:right w:val="none" w:sz="0" w:space="0" w:color="auto"/>
      </w:divBdr>
    </w:div>
    <w:div w:id="1699232606">
      <w:bodyDiv w:val="1"/>
      <w:marLeft w:val="0"/>
      <w:marRight w:val="0"/>
      <w:marTop w:val="0"/>
      <w:marBottom w:val="0"/>
      <w:divBdr>
        <w:top w:val="none" w:sz="0" w:space="0" w:color="auto"/>
        <w:left w:val="none" w:sz="0" w:space="0" w:color="auto"/>
        <w:bottom w:val="none" w:sz="0" w:space="0" w:color="auto"/>
        <w:right w:val="none" w:sz="0" w:space="0" w:color="auto"/>
      </w:divBdr>
      <w:divsChild>
        <w:div w:id="453718223">
          <w:marLeft w:val="0"/>
          <w:marRight w:val="0"/>
          <w:marTop w:val="0"/>
          <w:marBottom w:val="0"/>
          <w:divBdr>
            <w:top w:val="none" w:sz="0" w:space="0" w:color="auto"/>
            <w:left w:val="none" w:sz="0" w:space="0" w:color="auto"/>
            <w:bottom w:val="none" w:sz="0" w:space="0" w:color="auto"/>
            <w:right w:val="none" w:sz="0" w:space="0" w:color="auto"/>
          </w:divBdr>
          <w:divsChild>
            <w:div w:id="4339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3001">
      <w:bodyDiv w:val="1"/>
      <w:marLeft w:val="0"/>
      <w:marRight w:val="0"/>
      <w:marTop w:val="0"/>
      <w:marBottom w:val="0"/>
      <w:divBdr>
        <w:top w:val="none" w:sz="0" w:space="0" w:color="auto"/>
        <w:left w:val="none" w:sz="0" w:space="0" w:color="auto"/>
        <w:bottom w:val="none" w:sz="0" w:space="0" w:color="auto"/>
        <w:right w:val="none" w:sz="0" w:space="0" w:color="auto"/>
      </w:divBdr>
      <w:divsChild>
        <w:div w:id="30348504">
          <w:marLeft w:val="0"/>
          <w:marRight w:val="0"/>
          <w:marTop w:val="0"/>
          <w:marBottom w:val="0"/>
          <w:divBdr>
            <w:top w:val="none" w:sz="0" w:space="0" w:color="auto"/>
            <w:left w:val="none" w:sz="0" w:space="0" w:color="auto"/>
            <w:bottom w:val="none" w:sz="0" w:space="0" w:color="auto"/>
            <w:right w:val="none" w:sz="0" w:space="0" w:color="auto"/>
          </w:divBdr>
          <w:divsChild>
            <w:div w:id="12480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9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rations1.com/de/glossar/quality-gate" TargetMode="External"/><Relationship Id="rId3" Type="http://schemas.openxmlformats.org/officeDocument/2006/relationships/settings" Target="settings.xml"/><Relationship Id="rId7" Type="http://schemas.openxmlformats.org/officeDocument/2006/relationships/hyperlink" Target="https://t2informatik.de/wissen-kompakt/quality-ga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wikipedia.org/wiki/Quality_Gate" TargetMode="External"/><Relationship Id="rId11" Type="http://schemas.openxmlformats.org/officeDocument/2006/relationships/fontTable" Target="fontTable.xml"/><Relationship Id="rId5" Type="http://schemas.openxmlformats.org/officeDocument/2006/relationships/hyperlink" Target="https://www.pureconsultant.de/de/projektmanagement/quality-gate/" TargetMode="External"/><Relationship Id="rId10" Type="http://schemas.openxmlformats.org/officeDocument/2006/relationships/hyperlink" Target="https://blog.mayflower.de/17814-quality-gates.html" TargetMode="External"/><Relationship Id="rId4" Type="http://schemas.openxmlformats.org/officeDocument/2006/relationships/webSettings" Target="webSettings.xml"/><Relationship Id="rId9" Type="http://schemas.openxmlformats.org/officeDocument/2006/relationships/hyperlink" Target="https://www.deutschebahn.com/de/quality_gate_methode-687684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3753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Marz Steffen</dc:creator>
  <cp:keywords/>
  <dc:description/>
  <cp:lastModifiedBy>Marz Steffen</cp:lastModifiedBy>
  <cp:revision>5</cp:revision>
  <cp:lastPrinted>2025-07-07T21:37:00Z</cp:lastPrinted>
  <dcterms:created xsi:type="dcterms:W3CDTF">2025-07-07T21:10:00Z</dcterms:created>
  <dcterms:modified xsi:type="dcterms:W3CDTF">2025-07-07T21:38:00Z</dcterms:modified>
</cp:coreProperties>
</file>