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E48169" w14:textId="77777777">
      <w:pPr>
        <w:pBdr/>
        <w:tabs>
          <w:tab w:val="left" w:leader="none" w:pos="2268"/>
        </w:tabs>
        <w:spacing/>
        <w:ind w:firstLine="0"/>
        <w:jc w:val="center"/>
        <w:rPr>
          <w:rFonts w:eastAsia="Calibri" w:cs="Times New Roman"/>
          <w:b/>
          <w:color w:val="auto"/>
          <w:sz w:val="20"/>
          <w:szCs w:val="12"/>
        </w:rPr>
      </w:pPr>
      <w:r/>
      <w:bookmarkStart w:id="0" w:name="_Hlk213920727"/>
      <w:r>
        <w:rPr>
          <w:rFonts w:eastAsia="Calibri" w:cs="Times New Roman"/>
          <w:b/>
          <w:sz w:val="20"/>
          <w:szCs w:val="12"/>
        </w:rPr>
        <w:t xml:space="preserve">РОССИЙСКАЯ ФЕДЕРАЦИЯ</w:t>
      </w:r>
      <w:r>
        <w:rPr>
          <w:rFonts w:eastAsia="Calibri" w:cs="Times New Roman"/>
          <w:b/>
          <w:color w:val="auto"/>
          <w:sz w:val="20"/>
          <w:szCs w:val="12"/>
        </w:rPr>
      </w:r>
      <w:r>
        <w:rPr>
          <w:rFonts w:eastAsia="Calibri" w:cs="Times New Roman"/>
          <w:b/>
          <w:color w:val="auto"/>
          <w:sz w:val="20"/>
          <w:szCs w:val="12"/>
        </w:rPr>
      </w:r>
    </w:p>
    <w:p w14:paraId="46457F59" w14:textId="77777777">
      <w:pPr>
        <w:pBdr/>
        <w:tabs>
          <w:tab w:val="left" w:leader="none" w:pos="2268"/>
        </w:tabs>
        <w:spacing/>
        <w:ind w:firstLine="0"/>
        <w:jc w:val="center"/>
        <w:rPr>
          <w:rFonts w:eastAsia="Calibri" w:cs="Times New Roman"/>
          <w:b/>
          <w:sz w:val="20"/>
          <w:szCs w:val="12"/>
        </w:rPr>
      </w:pPr>
      <w:r>
        <w:rPr>
          <w:rFonts w:eastAsia="Calibri" w:cs="Times New Roman"/>
          <w:b/>
          <w:sz w:val="20"/>
          <w:szCs w:val="12"/>
        </w:rPr>
        <w:t xml:space="preserve">ХАНТЫ-МАНСИЙСКИЙ АВТОНОМНЫЙ ОКРУГ-ЮГРА</w:t>
      </w:r>
      <w:r>
        <w:rPr>
          <w:rFonts w:eastAsia="Calibri" w:cs="Times New Roman"/>
          <w:b/>
          <w:sz w:val="20"/>
          <w:szCs w:val="12"/>
        </w:rPr>
      </w:r>
      <w:r>
        <w:rPr>
          <w:rFonts w:eastAsia="Calibri" w:cs="Times New Roman"/>
          <w:b/>
          <w:sz w:val="20"/>
          <w:szCs w:val="12"/>
        </w:rPr>
      </w:r>
    </w:p>
    <w:p w14:paraId="733349E1" w14:textId="75422AA0">
      <w:pPr>
        <w:pBdr/>
        <w:tabs>
          <w:tab w:val="left" w:leader="none" w:pos="2268"/>
        </w:tabs>
        <w:spacing/>
        <w:ind w:firstLine="0"/>
        <w:jc w:val="center"/>
        <w:rPr>
          <w:rFonts w:eastAsia="Calibri" w:cs="Times New Roman"/>
          <w:b/>
          <w:sz w:val="14"/>
          <w:szCs w:val="12"/>
        </w:rPr>
      </w:pPr>
      <w:r>
        <w:rPr>
          <w:rFonts w:eastAsia="Calibri" w:cs="Times New Roman"/>
          <w:b/>
          <w:sz w:val="14"/>
          <w:szCs w:val="12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56360" cy="1181100"/>
                <wp:effectExtent l="0" t="0" r="0" b="0"/>
                <wp:docPr id="1" name="Picture 16" descr="Log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Logo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356360" cy="11810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6.80pt;height:93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eastAsia="Calibri" w:cs="Times New Roman"/>
          <w:b/>
          <w:sz w:val="14"/>
          <w:szCs w:val="12"/>
        </w:rPr>
      </w:r>
      <w:r>
        <w:rPr>
          <w:rFonts w:eastAsia="Calibri" w:cs="Times New Roman"/>
          <w:b/>
          <w:sz w:val="14"/>
          <w:szCs w:val="12"/>
        </w:rPr>
      </w:r>
    </w:p>
    <w:p w14:paraId="11A620B2" w14:textId="77777777">
      <w:pPr>
        <w:pBdr/>
        <w:tabs>
          <w:tab w:val="left" w:leader="none" w:pos="2268"/>
        </w:tabs>
        <w:spacing/>
        <w:ind w:firstLine="0"/>
        <w:jc w:val="center"/>
        <w:rPr>
          <w:rFonts w:eastAsia="Calibri" w:cs="Times New Roman"/>
          <w:b/>
          <w:sz w:val="20"/>
          <w:szCs w:val="12"/>
        </w:rPr>
      </w:pPr>
      <w:r>
        <w:rPr>
          <w:rFonts w:eastAsia="Calibri" w:cs="Times New Roman"/>
          <w:b/>
          <w:sz w:val="20"/>
          <w:szCs w:val="12"/>
        </w:rPr>
        <w:t xml:space="preserve">АВТОНОМНАЯ НЕКОММЕРЧЕСКАЯ ПРОФЕССИОНАЛЬНАЯ ОБРАЗОВАТЕЛЬНАЯ ОРГАНИЗАЦИЯ</w:t>
      </w:r>
      <w:r>
        <w:rPr>
          <w:rFonts w:eastAsia="Calibri" w:cs="Times New Roman"/>
          <w:b/>
          <w:sz w:val="20"/>
          <w:szCs w:val="12"/>
        </w:rPr>
      </w:r>
      <w:r>
        <w:rPr>
          <w:rFonts w:eastAsia="Calibri" w:cs="Times New Roman"/>
          <w:b/>
          <w:sz w:val="20"/>
          <w:szCs w:val="12"/>
        </w:rPr>
      </w:r>
    </w:p>
    <w:p w14:paraId="2D410C21" w14:textId="77777777">
      <w:pPr>
        <w:pBdr/>
        <w:tabs>
          <w:tab w:val="left" w:leader="none" w:pos="2268"/>
        </w:tabs>
        <w:spacing w:after="160"/>
        <w:ind w:firstLine="0"/>
        <w:jc w:val="center"/>
        <w:rPr>
          <w:rFonts w:eastAsia="Calibri" w:cs="Times New Roman"/>
          <w:b/>
          <w:sz w:val="20"/>
          <w:szCs w:val="12"/>
          <w:shd w:val="clear" w:color="auto" w:fill="ffffff"/>
        </w:rPr>
      </w:pPr>
      <w:r>
        <w:rPr>
          <w:rFonts w:eastAsia="Calibri" w:cs="Times New Roman"/>
          <w:b/>
          <w:sz w:val="20"/>
          <w:szCs w:val="12"/>
          <w:shd w:val="clear" w:color="auto" w:fill="ffffff"/>
        </w:rPr>
        <w:t xml:space="preserve"> «СУРГУТСКИЙ ИНСТИТУТ ЭКОНОМИКИ, УПРАВЛЕНИЯ И ПРАВА»</w:t>
      </w:r>
      <w:r>
        <w:rPr>
          <w:rFonts w:eastAsia="Calibri" w:cs="Times New Roman"/>
          <w:b/>
          <w:sz w:val="20"/>
          <w:szCs w:val="12"/>
          <w:shd w:val="clear" w:color="auto" w:fill="ffffff"/>
        </w:rPr>
      </w:r>
      <w:r>
        <w:rPr>
          <w:rFonts w:eastAsia="Calibri" w:cs="Times New Roman"/>
          <w:b/>
          <w:sz w:val="20"/>
          <w:szCs w:val="12"/>
          <w:shd w:val="clear" w:color="auto" w:fill="ffffff"/>
        </w:rPr>
      </w:r>
    </w:p>
    <w:p w14:paraId="337B220F" w14:textId="77777777"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09.02.07 Информационные системы и программирование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5D66BA6" w14:textId="77777777">
      <w:pPr>
        <w:pBdr/>
        <w:spacing/>
        <w:ind/>
        <w:jc w:val="center"/>
        <w:rPr>
          <w:rFonts w:cs="Times New Roman"/>
          <w:sz w:val="44"/>
        </w:rPr>
      </w:pPr>
      <w:r>
        <w:rPr>
          <w:rFonts w:cs="Times New Roman"/>
          <w:sz w:val="44"/>
        </w:rPr>
      </w:r>
      <w:r>
        <w:rPr>
          <w:rFonts w:cs="Times New Roman"/>
          <w:sz w:val="44"/>
        </w:rPr>
      </w:r>
      <w:r>
        <w:rPr>
          <w:rFonts w:cs="Times New Roman"/>
          <w:sz w:val="44"/>
        </w:rPr>
      </w:r>
    </w:p>
    <w:p w14:paraId="5DEC7CBF" w14:textId="77777777">
      <w:pPr>
        <w:pBdr/>
        <w:spacing/>
        <w:ind/>
        <w:jc w:val="center"/>
        <w:rPr>
          <w:rFonts w:cs="Times New Roman"/>
          <w:sz w:val="44"/>
        </w:rPr>
      </w:pPr>
      <w:r>
        <w:rPr>
          <w:rFonts w:cs="Times New Roman"/>
          <w:sz w:val="44"/>
        </w:rPr>
      </w:r>
      <w:r>
        <w:rPr>
          <w:rFonts w:cs="Times New Roman"/>
          <w:sz w:val="44"/>
        </w:rPr>
      </w:r>
      <w:r>
        <w:rPr>
          <w:rFonts w:cs="Times New Roman"/>
          <w:sz w:val="44"/>
        </w:rPr>
      </w:r>
    </w:p>
    <w:p w14:paraId="547A8320" w14:textId="77777777">
      <w:pPr>
        <w:pBdr/>
        <w:spacing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КУРСОВАЯ РАБОТА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7B05575C" w14:textId="77777777">
      <w:pPr>
        <w:pBdr/>
        <w:tabs>
          <w:tab w:val="left" w:leader="none" w:pos="284"/>
        </w:tabs>
        <w:spacing/>
        <w:ind w:firstLine="0"/>
        <w:jc w:val="center"/>
        <w:rPr>
          <w:rFonts w:cs="Times New Roman"/>
          <w:bCs/>
          <w:szCs w:val="28"/>
        </w:rPr>
      </w:pPr>
      <w:r>
        <w:rPr>
          <w:rFonts w:cs="Times New Roman"/>
          <w:szCs w:val="28"/>
        </w:rPr>
        <w:t xml:space="preserve">по дисциплине «МДК.05.02 Разработка кода информационных систем»</w:t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16F5647A" w14:textId="77777777">
      <w:pPr>
        <w:pBdr/>
        <w:tabs>
          <w:tab w:val="left" w:leader="none" w:pos="284"/>
        </w:tabs>
        <w:spacing/>
        <w:ind w:firstLine="0"/>
        <w:jc w:val="center"/>
        <w:rPr>
          <w:rFonts w:cs="Times New Roman"/>
          <w:bCs/>
          <w:szCs w:val="28"/>
          <w:u w:val="single"/>
        </w:rPr>
      </w:pPr>
      <w:r>
        <w:rPr>
          <w:rFonts w:cs="Times New Roman"/>
          <w:bCs/>
          <w:szCs w:val="28"/>
        </w:rPr>
        <w:t xml:space="preserve">на тему</w:t>
      </w:r>
      <w:r>
        <w:rPr>
          <w:rFonts w:cs="Times New Roman"/>
          <w:szCs w:val="28"/>
          <w14:ligatures w14:val="standardContextual"/>
        </w:rPr>
        <w:t xml:space="preserve"> «</w:t>
      </w:r>
      <w:r>
        <w:rPr>
          <w:rFonts w:cs="Times New Roman"/>
          <w:szCs w:val="28"/>
        </w:rPr>
        <w:t xml:space="preserve">Разработка информационной системы для оптимизации бизнес-процессов сервиса автоспортивных мероприятий с использованием платформы 1С Предприятие</w:t>
      </w:r>
      <w:r>
        <w:rPr>
          <w:rFonts w:eastAsia="Calibri" w:cs="Times New Roman"/>
          <w:b/>
          <w:szCs w:val="28"/>
          <w:shd w:val="clear" w:color="auto" w:fill="ffffff"/>
          <w14:ligatures w14:val="standardContextual"/>
        </w:rPr>
        <w:t xml:space="preserve">»</w:t>
      </w:r>
      <w:r>
        <w:rPr>
          <w:rFonts w:cs="Times New Roman"/>
          <w:bCs/>
          <w:szCs w:val="28"/>
          <w:u w:val="single"/>
        </w:rPr>
      </w:r>
      <w:r>
        <w:rPr>
          <w:rFonts w:cs="Times New Roman"/>
          <w:bCs/>
          <w:szCs w:val="28"/>
          <w:u w:val="single"/>
        </w:rPr>
      </w:r>
    </w:p>
    <w:p w14:paraId="5F1C6021" w14:textId="77777777">
      <w:pPr>
        <w:pBdr/>
        <w:tabs>
          <w:tab w:val="left" w:leader="none" w:pos="284"/>
        </w:tabs>
        <w:spacing w:line="240" w:lineRule="auto"/>
        <w:ind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EA0BA96" w14:textId="77777777">
      <w:pPr>
        <w:pBdr/>
        <w:tabs>
          <w:tab w:val="left" w:leader="none" w:pos="284"/>
        </w:tabs>
        <w:spacing w:line="240" w:lineRule="auto"/>
        <w:ind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722FC36" w14:textId="77777777">
      <w:pPr>
        <w:pBdr/>
        <w:tabs>
          <w:tab w:val="left" w:leader="none" w:pos="284"/>
        </w:tabs>
        <w:spacing w:line="240" w:lineRule="auto"/>
        <w:ind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743276C9" w14:textId="77777777">
      <w:pPr>
        <w:pBdr/>
        <w:tabs>
          <w:tab w:val="left" w:leader="none" w:pos="284"/>
        </w:tabs>
        <w:spacing w:line="240" w:lineRule="auto"/>
        <w:ind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4F03EEAF" w14:textId="77777777">
      <w:pPr>
        <w:pBdr/>
        <w:tabs>
          <w:tab w:val="left" w:leader="none" w:pos="284"/>
        </w:tabs>
        <w:spacing w:line="240" w:lineRule="auto"/>
        <w:ind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64E89E8B" w14:textId="2A54DE09">
      <w:pPr>
        <w:pBdr/>
        <w:spacing w:line="247" w:lineRule="auto"/>
        <w:ind w:right="57" w:firstLine="0" w:left="552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Выполнила: </w:t>
      </w:r>
      <w:r>
        <w:rPr>
          <w:rFonts w:cs="Times New Roman"/>
          <w:szCs w:val="28"/>
        </w:rPr>
        <w:t xml:space="preserve">Хазипов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М</w:t>
      </w:r>
      <w:r>
        <w:rPr>
          <w:rFonts w:cs="Times New Roman"/>
          <w:szCs w:val="28"/>
        </w:rPr>
        <w:t xml:space="preserve">.</w:t>
      </w:r>
      <w:r>
        <w:rPr>
          <w:rFonts w:cs="Times New Roman"/>
          <w:szCs w:val="28"/>
        </w:rPr>
        <w:t xml:space="preserve">В</w:t>
      </w:r>
      <w:r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B1714B6" w14:textId="77777777">
      <w:pPr>
        <w:pBdr/>
        <w:spacing w:line="259" w:lineRule="auto"/>
        <w:ind w:right="57" w:firstLine="0" w:left="552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студентка группы ИС23/9-1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F825844" w14:textId="77777777">
      <w:pPr>
        <w:pBdr/>
        <w:spacing w:line="259" w:lineRule="auto"/>
        <w:ind w:right="57" w:firstLine="0" w:left="552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Руководитель: Преподаватель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68113D9" w14:textId="77777777">
      <w:pPr>
        <w:pBdr/>
        <w:spacing w:line="259" w:lineRule="auto"/>
        <w:ind w:right="57" w:firstLine="0" w:left="552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профессиональных дисциплин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0E3624B" w14:textId="77777777">
      <w:pPr>
        <w:pBdr/>
        <w:spacing w:line="259" w:lineRule="auto"/>
        <w:ind w:right="57" w:firstLine="0" w:left="552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Зыков М.М.</w:t>
      </w:r>
      <w:bookmarkStart w:id="1" w:name="_Hlk214368631"/>
      <w:r>
        <w:rPr>
          <w:rFonts w:cs="Times New Roman"/>
          <w:szCs w:val="28"/>
        </w:rPr>
        <w:t xml:space="preserve">_____________</w:t>
      </w:r>
      <w:bookmarkEnd w:id="1"/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E3EB7C2" w14:textId="77777777">
      <w:pPr>
        <w:pBdr/>
        <w:spacing w:line="259" w:lineRule="auto"/>
        <w:ind w:right="57" w:firstLine="0" w:left="552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Оценка ____________________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71C3F27" w14:textId="77777777">
      <w:pPr>
        <w:pBdr/>
        <w:spacing w:line="259" w:lineRule="auto"/>
        <w:ind w:right="57" w:firstLine="0" w:left="552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Подпись ___________________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1AFA56B" w14:textId="77777777">
      <w:pPr>
        <w:pBdr/>
        <w:spacing w:line="259" w:lineRule="auto"/>
        <w:ind w:right="57" w:firstLine="0" w:left="552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Дата ______________________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A69C314" w14:textId="77777777">
      <w:pPr>
        <w:pBdr/>
        <w:tabs>
          <w:tab w:val="left" w:leader="none" w:pos="284"/>
        </w:tabs>
        <w:spacing w:line="240" w:lineRule="auto"/>
        <w:ind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62790124" w14:textId="2B25F9A3">
      <w:pPr>
        <w:pBdr/>
        <w:spacing w:line="240" w:lineRule="auto"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6AE6A8DF" w14:textId="2DE957DE">
      <w:pPr>
        <w:pBdr/>
        <w:spacing w:line="240" w:lineRule="auto"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457B2097" w14:textId="77777777">
      <w:pPr>
        <w:pBdr/>
        <w:spacing w:line="240" w:lineRule="auto"/>
        <w:ind w:firstLine="0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5113D946" w14:textId="572D9C5E">
      <w:pPr>
        <w:pBdr/>
        <w:spacing/>
        <w:ind w:firstLine="0"/>
        <w:jc w:val="center"/>
        <w:rPr/>
      </w:pPr>
      <w:r>
        <w:rPr>
          <w:rFonts w:cs="Times New Roman"/>
          <w:szCs w:val="20"/>
        </w:rPr>
        <w:t xml:space="preserve">Сургут, 202</w:t>
      </w:r>
      <w:bookmarkEnd w:id="0"/>
      <w:r>
        <w:rPr>
          <w:rFonts w:cs="Times New Roman"/>
          <w:szCs w:val="20"/>
        </w:rPr>
        <w:t xml:space="preserve">6</w:t>
      </w:r>
      <w:r>
        <w:br w:type="page" w:clear="all"/>
      </w:r>
      <w:r/>
    </w:p>
    <w:sdt>
      <w:sdtPr>
        <w15:appearance w15:val="boundingBox"/>
        <w:id w:val="-1368603357"/>
        <w:docPartObj>
          <w:docPartGallery w:val="Table of Contents"/>
          <w:docPartUnique w:val="true"/>
        </w:docPartObj>
        <w:rPr/>
      </w:sdtPr>
      <w:sdtContent>
        <w:p w14:paraId="45DCB043" w14:textId="09B0720C">
          <w:pPr>
            <w:pStyle w:val="881"/>
            <w:pBdr/>
            <w:spacing/>
            <w:ind/>
            <w:rPr/>
          </w:pPr>
          <w:r>
            <w:t xml:space="preserve">СОДЕРЖАНИЕ</w:t>
          </w:r>
          <w:r/>
        </w:p>
        <w:p w14:paraId="3E62D8FA" w14:textId="77777777">
          <w:pPr>
            <w:pBdr/>
            <w:spacing/>
            <w:ind/>
            <w:rPr/>
          </w:pPr>
          <w:r/>
          <w:r/>
        </w:p>
        <w:p w14:paraId="712AB21A" w14:textId="77777777">
          <w:pPr>
            <w:pStyle w:val="895"/>
            <w:pBdr/>
            <w:tabs>
              <w:tab w:val="right" w:leader="none" w:pos="9345"/>
            </w:tabs>
            <w:spacing/>
            <w:ind w:firstLine="0"/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27524998" w:anchor="_Toc227524998" w:history="1">
            <w:r>
              <w:rPr>
                <w:rStyle w:val="897"/>
              </w:rPr>
              <w:t xml:space="preserve">ВВЕДЕНИЕ</w:t>
            </w:r>
            <w:r>
              <w:tab/>
            </w:r>
            <w:r>
              <w:fldChar w:fldCharType="begin"/>
            </w:r>
            <w:r>
              <w:instrText xml:space="preserve"> PAGEREF _Toc227524998 \h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</w:p>
        <w:p w14:paraId="0DFF93FF" w14:textId="77777777">
          <w:pPr>
            <w:pStyle w:val="895"/>
            <w:pBdr/>
            <w:tabs>
              <w:tab w:val="right" w:leader="none" w:pos="9345"/>
            </w:tabs>
            <w:spacing/>
            <w:ind w:firstLine="0"/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pPr>
          <w:r/>
          <w:hyperlink w:tooltip="#_Toc227524999" w:anchor="_Toc227524999" w:history="1">
            <w:r>
              <w:rPr>
                <w:rStyle w:val="897"/>
              </w:rPr>
              <w:t xml:space="preserve">ГЛАВА 1. ТЕОРЕТИЧЕСКАЯ ЧАСТЬ</w:t>
            </w:r>
            <w:r>
              <w:tab/>
            </w:r>
            <w:r>
              <w:fldChar w:fldCharType="begin"/>
            </w:r>
            <w:r>
              <w:instrText xml:space="preserve"> PAGEREF _Toc227524999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</w:p>
        <w:p w14:paraId="20DD5D8E" w14:textId="77777777">
          <w:pPr>
            <w:pStyle w:val="896"/>
            <w:pBdr/>
            <w:spacing/>
            <w:ind/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pPr>
          <w:r/>
          <w:hyperlink w:tooltip="#_Toc227525000" w:anchor="_Toc227525000" w:history="1">
            <w:r>
              <w:rPr>
                <w:rStyle w:val="897"/>
              </w:rPr>
              <w:t xml:space="preserve">1.1</w:t>
            </w:r>
            <w:r>
              <w:rPr>
                <w:rFonts w:asciiTheme="minorHAnsi" w:hAnsiTheme="minorHAnsi" w:eastAsiaTheme="minorEastAsia"/>
                <w:color w:val="auto"/>
                <w:sz w:val="22"/>
                <w:lang w:eastAsia="ru-RU"/>
              </w:rPr>
              <w:tab/>
            </w:r>
            <w:r>
              <w:rPr>
                <w:rStyle w:val="897"/>
              </w:rPr>
              <w:t xml:space="preserve">Анализ предметной области и специфика бизнес-процессов автоспортивного сервиса</w:t>
            </w:r>
            <w:r>
              <w:tab/>
            </w:r>
            <w:r>
              <w:fldChar w:fldCharType="begin"/>
            </w:r>
            <w:r>
              <w:instrText xml:space="preserve"> PAGEREF _Toc227525000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</w:p>
        <w:p w14:paraId="675AC1BD" w14:textId="77777777">
          <w:pPr>
            <w:pStyle w:val="896"/>
            <w:pBdr/>
            <w:spacing/>
            <w:ind/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pPr>
          <w:r/>
          <w:hyperlink w:tooltip="#_Toc227525001" w:anchor="_Toc227525001" w:history="1">
            <w:r>
              <w:rPr>
                <w:rStyle w:val="897"/>
              </w:rPr>
              <w:t xml:space="preserve">1.2</w:t>
            </w:r>
            <w:r>
              <w:rPr>
                <w:rFonts w:asciiTheme="minorHAnsi" w:hAnsiTheme="minorHAnsi" w:eastAsiaTheme="minorEastAsia"/>
                <w:color w:val="auto"/>
                <w:sz w:val="22"/>
                <w:lang w:eastAsia="ru-RU"/>
              </w:rPr>
              <w:tab/>
            </w:r>
            <w:r>
              <w:rPr>
                <w:rStyle w:val="897"/>
              </w:rPr>
              <w:t xml:space="preserve">Обзор и сравнительный анализ существующих систем автоматизации в сфере автоспорта и управления событиями</w:t>
            </w:r>
            <w:r>
              <w:tab/>
            </w:r>
            <w:r>
              <w:fldChar w:fldCharType="begin"/>
            </w:r>
            <w:r>
              <w:instrText xml:space="preserve"> PAGEREF _Toc227525001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</w:p>
        <w:p w14:paraId="1FC74F7F" w14:textId="77777777">
          <w:pPr>
            <w:pStyle w:val="896"/>
            <w:pBdr/>
            <w:spacing/>
            <w:ind/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pPr>
          <w:r/>
          <w:hyperlink w:tooltip="#_Toc227525002" w:anchor="_Toc227525002" w:history="1">
            <w:r>
              <w:rPr>
                <w:rStyle w:val="897"/>
              </w:rPr>
              <w:t xml:space="preserve">1.3</w:t>
            </w:r>
            <w:r>
              <w:rPr>
                <w:rFonts w:asciiTheme="minorHAnsi" w:hAnsiTheme="minorHAnsi" w:eastAsiaTheme="minorEastAsia"/>
                <w:color w:val="auto"/>
                <w:sz w:val="22"/>
                <w:lang w:eastAsia="ru-RU"/>
              </w:rPr>
              <w:tab/>
            </w:r>
            <w:r>
              <w:rPr>
                <w:rStyle w:val="897"/>
              </w:rPr>
              <w:t xml:space="preserve">Обоснование выбора платформы «1С:Предприятие» в качестве инструмента разработки</w:t>
            </w:r>
            <w:r>
              <w:tab/>
            </w:r>
            <w:r>
              <w:fldChar w:fldCharType="begin"/>
            </w:r>
            <w:r>
              <w:instrText xml:space="preserve"> PAGEREF _Toc227525002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</w:p>
        <w:p w14:paraId="3C417AD4" w14:textId="77777777">
          <w:pPr>
            <w:pStyle w:val="895"/>
            <w:pBdr/>
            <w:tabs>
              <w:tab w:val="right" w:leader="none" w:pos="9345"/>
            </w:tabs>
            <w:spacing/>
            <w:ind w:firstLine="0"/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pPr>
          <w:r/>
          <w:hyperlink w:tooltip="#_Toc227525003" w:anchor="_Toc227525003" w:history="1">
            <w:r>
              <w:rPr>
                <w:rStyle w:val="897"/>
              </w:rPr>
              <w:t xml:space="preserve">ГЛАВА 2. ПРАКТИЧЕСКАЯ ЧАСТЬ</w:t>
            </w:r>
            <w:r>
              <w:tab/>
            </w:r>
            <w:r>
              <w:fldChar w:fldCharType="begin"/>
            </w:r>
            <w:r>
              <w:instrText xml:space="preserve"> PAGEREF _Toc227525003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</w:p>
        <w:p w14:paraId="3711D9A1" w14:textId="77777777">
          <w:pPr>
            <w:pStyle w:val="896"/>
            <w:pBdr/>
            <w:spacing/>
            <w:ind/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pPr>
          <w:r/>
          <w:hyperlink w:tooltip="#_Toc227525004" w:anchor="_Toc227525004" w:history="1">
            <w:r>
              <w:rPr>
                <w:rStyle w:val="897"/>
              </w:rPr>
              <w:t xml:space="preserve">2.1.Проектирование нормативно-справочной информации и объектной модели</w:t>
            </w:r>
            <w:r>
              <w:tab/>
            </w:r>
            <w:r>
              <w:fldChar w:fldCharType="begin"/>
            </w:r>
            <w:r>
              <w:instrText xml:space="preserve"> PAGEREF _Toc227525004 \h </w:instrText>
            </w:r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</w:p>
        <w:p w14:paraId="42D6BB52" w14:textId="77777777">
          <w:pPr>
            <w:pStyle w:val="896"/>
            <w:pBdr/>
            <w:spacing/>
            <w:ind/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pPr>
          <w:r/>
          <w:hyperlink w:tooltip="#_Toc227525005" w:anchor="_Toc227525005" w:history="1">
            <w:r>
              <w:rPr>
                <w:rStyle w:val="897"/>
              </w:rPr>
              <w:t xml:space="preserve">2.2.Разработка подсистемы приема и обработки заявок на участие</w:t>
            </w:r>
            <w:r>
              <w:tab/>
            </w:r>
            <w:r>
              <w:fldChar w:fldCharType="begin"/>
            </w:r>
            <w:r>
              <w:instrText xml:space="preserve"> PAGEREF _Toc227525005 \h </w:instrText>
            </w:r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</w:p>
        <w:p w14:paraId="42DD1DB8" w14:textId="77777777">
          <w:pPr>
            <w:pStyle w:val="896"/>
            <w:pBdr/>
            <w:spacing/>
            <w:ind/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pPr>
          <w:r/>
          <w:hyperlink w:tooltip="#_Toc227525006" w:anchor="_Toc227525006" w:history="1">
            <w:r>
              <w:rPr>
                <w:rStyle w:val="897"/>
              </w:rPr>
              <w:t xml:space="preserve">2.3.Учет спортивных результатов и применение штрафных санкций</w:t>
            </w:r>
            <w:r>
              <w:tab/>
            </w:r>
            <w:r>
              <w:fldChar w:fldCharType="begin"/>
            </w:r>
            <w:r>
              <w:instrText xml:space="preserve"> PAGEREF _Toc227525006 \h </w:instrText>
            </w:r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</w:p>
        <w:p w14:paraId="37C9E905" w14:textId="77777777">
          <w:pPr>
            <w:pStyle w:val="896"/>
            <w:pBdr/>
            <w:spacing/>
            <w:ind/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pPr>
          <w:r/>
          <w:hyperlink w:tooltip="#_Toc227525007" w:anchor="_Toc227525007" w:history="1">
            <w:r>
              <w:rPr>
                <w:rStyle w:val="897"/>
              </w:rPr>
              <w:t xml:space="preserve">2.4.Документирование финансовых операций</w:t>
            </w:r>
            <w:r>
              <w:tab/>
            </w:r>
            <w:r>
              <w:fldChar w:fldCharType="begin"/>
            </w:r>
            <w:r>
              <w:instrText xml:space="preserve"> PAGEREF _Toc227525007 \h </w:instrText>
            </w:r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</w:p>
        <w:p w14:paraId="57FD421A" w14:textId="77777777">
          <w:pPr>
            <w:pStyle w:val="896"/>
            <w:pBdr/>
            <w:spacing/>
            <w:ind/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pPr>
          <w:r/>
          <w:hyperlink w:tooltip="#_Toc227525008" w:anchor="_Toc227525008" w:history="1">
            <w:r>
              <w:rPr>
                <w:rStyle w:val="897"/>
              </w:rPr>
              <w:t xml:space="preserve">2.5.Разработка аналитической подсистемы: обработка «РейтингПилотовПоТрассам»</w:t>
            </w:r>
            <w:r>
              <w:tab/>
            </w:r>
            <w:r>
              <w:fldChar w:fldCharType="begin"/>
            </w:r>
            <w:r>
              <w:instrText xml:space="preserve"> PAGEREF _Toc227525008 \h </w:instrText>
            </w:r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</w:p>
        <w:p w14:paraId="29DDBEC1" w14:textId="77777777">
          <w:pPr>
            <w:pStyle w:val="895"/>
            <w:pBdr/>
            <w:tabs>
              <w:tab w:val="right" w:leader="none" w:pos="9345"/>
            </w:tabs>
            <w:spacing/>
            <w:ind w:firstLine="0"/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pPr>
          <w:r/>
          <w:hyperlink w:tooltip="#_Toc227525009" w:anchor="_Toc227525009" w:history="1">
            <w:r>
              <w:rPr>
                <w:rStyle w:val="897"/>
              </w:rPr>
              <w:t xml:space="preserve">ЗАКЛЮЧЕНИЕ</w:t>
            </w:r>
            <w:r>
              <w:tab/>
            </w:r>
            <w:r>
              <w:fldChar w:fldCharType="begin"/>
            </w:r>
            <w:r>
              <w:instrText xml:space="preserve"> PAGEREF _Toc227525009 \h </w:instrText>
            </w:r>
            <w:r>
              <w:fldChar w:fldCharType="separate"/>
            </w:r>
            <w:r>
              <w:t xml:space="preserve">28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  <w:r>
            <w:rPr>
              <w:rFonts w:asciiTheme="minorHAnsi" w:hAnsiTheme="minorHAnsi" w:eastAsiaTheme="minorEastAsia"/>
              <w:color w:val="auto"/>
              <w:sz w:val="22"/>
              <w:lang w:eastAsia="ru-RU"/>
            </w:rPr>
          </w:r>
        </w:p>
        <w:p w14:paraId="3AEBCDC0" w14:textId="77777777">
          <w:pPr>
            <w:pBdr/>
            <w:spacing/>
            <w:ind/>
            <w:rPr>
              <w:b/>
              <w:bCs/>
            </w:rPr>
          </w:pPr>
          <w:r>
            <w:fldChar w:fldCharType="end"/>
          </w:r>
          <w:r>
            <w:rPr>
              <w:b/>
              <w:bCs/>
            </w:rPr>
          </w:r>
          <w:r>
            <w:rPr>
              <w:b/>
              <w:bCs/>
            </w:rPr>
          </w:r>
        </w:p>
      </w:sdtContent>
    </w:sdt>
    <w:p w14:paraId="21FAC4B8" w14:textId="7F101BC8">
      <w:pPr>
        <w:pBdr/>
        <w:bidi w:val="false"/>
        <w:spacing w:after="160" w:line="259" w:lineRule="auto"/>
        <w:ind w:firstLine="0"/>
        <w:jc w:val="left"/>
        <w:rPr/>
      </w:pPr>
      <w:r>
        <w:br w:type="page" w:clear="all"/>
      </w:r>
      <w:r/>
    </w:p>
    <w:p w14:paraId="037AA25B" w14:textId="36BFE6FC">
      <w:pPr>
        <w:pStyle w:val="881"/>
        <w:pBdr/>
        <w:spacing/>
        <w:ind/>
        <w:rPr/>
      </w:pPr>
      <w:r/>
      <w:bookmarkStart w:id="2" w:name="_Toc227524998"/>
      <w:r>
        <w:t xml:space="preserve">ВВЕДЕНИЕ</w:t>
      </w:r>
      <w:bookmarkEnd w:id="2"/>
      <w:r/>
      <w:r/>
    </w:p>
    <w:p w14:paraId="4F672909" w14:textId="77777777">
      <w:pPr>
        <w:pBdr/>
        <w:spacing/>
        <w:ind/>
        <w:rPr/>
      </w:pPr>
      <w:r/>
      <w:r/>
    </w:p>
    <w:p w14:paraId="11336102" w14:textId="1C4F558D">
      <w:pPr>
        <w:pBdr/>
        <w:spacing/>
        <w:ind/>
        <w:rPr/>
      </w:pPr>
      <w:r>
        <w:t xml:space="preserve">Современный автоспорт переживает период стремительного роста и трансформации, вых</w:t>
      </w:r>
      <w:r>
        <w:t xml:space="preserve">одя за рамки исключительно профессиональных соревнований и охватывая все более широкую аудиторию любителей. Мировые тенденции свидетельствуют о рекордной популярности гоночных дисциплин: только в сезоне 2025 года чемпионат MotoGP посетило более 3,6 миллион</w:t>
      </w:r>
      <w:r>
        <w:t xml:space="preserve">а зрителей, что стало историческим максимумом для этой серии, а глобальная фан-база выросла на 12% по сравнению с предыдущим годом, достигнув 632 миллионов человек. Параллельно с профессиональными гонками растет и число любительских автоспортивных событий </w:t>
      </w:r>
      <w:r>
        <w:t xml:space="preserve">-</w:t>
      </w:r>
      <w:r>
        <w:t xml:space="preserve"> трек-дней, клубных соревнований, фестивалей скорости, </w:t>
      </w:r>
      <w:r>
        <w:t xml:space="preserve">-</w:t>
      </w:r>
      <w:r>
        <w:t xml:space="preserve"> которые привлекают тысячи участников и зрителей. Масштаб современных мероприятий требует от организаторо</w:t>
      </w:r>
      <w:r>
        <w:t xml:space="preserve">в решения множества сложных задач: от регистрации участников и контроля технического состояния автомобилей до координации временных слотов, обеспечения безопасности на трассе и ведения финансовой отчетности. При этом многие сервисы, особенно небольшие и ра</w:t>
      </w:r>
      <w:r>
        <w:t xml:space="preserve">звивающиеся, до сих пор используют разрозненные инструменты учета, такие как электронные таблицы и бумажные журналы, что ведет к росту числа ошибок, неэффективному использованию времени персонала и, как следствие, к снижению качества предоставляемых услуг.</w:t>
      </w:r>
      <w:r/>
    </w:p>
    <w:p w14:paraId="05AE9A27" w14:textId="4650B628">
      <w:pPr>
        <w:pBdr/>
        <w:spacing/>
        <w:ind/>
        <w:rPr/>
      </w:pPr>
      <w:r>
        <w:t xml:space="preserve">Автоматизация бизнес-процессов в этой сфере становится необходимостью. Внедрение специал</w:t>
      </w:r>
      <w:r>
        <w:t xml:space="preserve">изированных информационных систем позволяет вывести управление мероприятиями на качественно новый уровень. Одной из ведущих платформ для построения подобных решений в отечественной практике является «1С:Предприятие». Эта система зарекомендовала себя как мо</w:t>
      </w:r>
      <w:r>
        <w:t xml:space="preserve">щный и гибкий инструмент для автоматизации деятельности организаций различного профиля, от производства и торговли до сферы услуг. Как показывает опыт внедрения, использование «1С» дает возможность сократить издержки процессов до 15% и в 5–10 раз повысить </w:t>
      </w:r>
      <w:r>
        <w:t xml:space="preserve">эффективность коммуникаций между подразделениями. Платформа позволяет создавать конфигурации, точно адаптированные под уникальные потребности конкретного бизнеса, будь то управление закупками, финансами</w:t>
      </w:r>
      <w:r>
        <w:t xml:space="preserve"> и </w:t>
      </w:r>
      <w:r>
        <w:t xml:space="preserve">взаимоотношениями с клиентами</w:t>
      </w:r>
      <w:r>
        <w:t xml:space="preserve">.</w:t>
      </w:r>
      <w:r/>
    </w:p>
    <w:p w14:paraId="2168E60A" w14:textId="439E2F69">
      <w:pPr>
        <w:pBdr/>
        <w:spacing/>
        <w:ind/>
        <w:rPr/>
      </w:pPr>
      <w:r>
        <w:t xml:space="preserve">Целью курсовой работы является </w:t>
      </w:r>
      <w:r>
        <w:t xml:space="preserve">разработка информационной системы для оптимизации бизнес-процессов сервиса автоспортивных мероприятий</w:t>
      </w:r>
      <w:r>
        <w:t xml:space="preserve">. Для достижения цели необходимо решить ряд задач. </w:t>
      </w:r>
      <w:r/>
    </w:p>
    <w:p w14:paraId="4760B5B3">
      <w:pPr>
        <w:pStyle w:val="891"/>
        <w:numPr>
          <w:ilvl w:val="0"/>
          <w:numId w:val="3"/>
        </w:numPr>
        <w:pBdr/>
        <w:spacing/>
        <w:ind w:right="0" w:firstLine="709" w:left="0"/>
        <w:rPr/>
      </w:pPr>
      <w:r>
        <w:t xml:space="preserve">На первом этапе предстоит провести </w:t>
      </w:r>
      <w:r>
        <w:t xml:space="preserve">анализ предметной области и специфики бизнес-процессов автоспортивного сервиса</w:t>
      </w:r>
      <w:r>
        <w:t xml:space="preserve">. </w:t>
      </w:r>
      <w:r/>
    </w:p>
    <w:p w14:paraId="108771C8">
      <w:pPr>
        <w:pStyle w:val="891"/>
        <w:numPr>
          <w:ilvl w:val="0"/>
          <w:numId w:val="3"/>
        </w:numPr>
        <w:pBdr/>
        <w:spacing/>
        <w:ind w:right="0" w:firstLine="709" w:left="0"/>
        <w:rPr/>
      </w:pPr>
      <w:r>
        <w:t xml:space="preserve">Далее, </w:t>
      </w:r>
      <w:r>
        <w:t xml:space="preserve">обзор и сравнительный анализ существующих систем автоматизации в сфере автоспорта и управления событиями</w:t>
      </w:r>
      <w:r>
        <w:t xml:space="preserve">. </w:t>
      </w:r>
      <w:r/>
    </w:p>
    <w:p w14:paraId="5CD852A9">
      <w:pPr>
        <w:pStyle w:val="891"/>
        <w:numPr>
          <w:ilvl w:val="0"/>
          <w:numId w:val="3"/>
        </w:numPr>
        <w:pBdr/>
        <w:spacing/>
        <w:ind w:right="0" w:firstLine="709" w:left="0"/>
        <w:rPr/>
      </w:pPr>
      <w:r>
        <w:t xml:space="preserve">Следующим этапом выделим причины выбора</w:t>
      </w:r>
      <w:r>
        <w:t xml:space="preserve"> платформы «1С:Предприятие» в качестве инструмента разработки</w:t>
      </w:r>
      <w:r>
        <w:t xml:space="preserve">. </w:t>
      </w:r>
      <w:r/>
    </w:p>
    <w:p w14:paraId="1C270B9D">
      <w:pPr>
        <w:pStyle w:val="891"/>
        <w:numPr>
          <w:ilvl w:val="0"/>
          <w:numId w:val="3"/>
        </w:numPr>
        <w:pBdr/>
        <w:spacing/>
        <w:ind w:right="0" w:firstLine="709" w:left="0"/>
        <w:rPr/>
      </w:pPr>
      <w:r>
        <w:t xml:space="preserve">Проектирование нормативно-справочной информации и объектной модели</w:t>
      </w:r>
      <w:r>
        <w:t xml:space="preserve">.</w:t>
      </w:r>
      <w:r/>
    </w:p>
    <w:p w14:paraId="757F1BDA">
      <w:pPr>
        <w:pStyle w:val="891"/>
        <w:numPr>
          <w:ilvl w:val="0"/>
          <w:numId w:val="3"/>
        </w:numPr>
        <w:pBdr/>
        <w:spacing/>
        <w:ind w:right="0" w:firstLine="709" w:left="0"/>
        <w:rPr/>
      </w:pPr>
      <w:r>
        <w:rPr>
          <w:highlight w:val="none"/>
        </w:rPr>
      </w:r>
      <w:r>
        <w:t xml:space="preserve">Разработка подсистемы приема и обработки заявок на участие</w:t>
      </w:r>
      <w:r>
        <w:rPr>
          <w:highlight w:val="none"/>
        </w:rPr>
        <w:t xml:space="preserve">.</w:t>
      </w:r>
      <w:r/>
    </w:p>
    <w:p w14:paraId="1F558761">
      <w:pPr>
        <w:pStyle w:val="891"/>
        <w:numPr>
          <w:ilvl w:val="0"/>
          <w:numId w:val="3"/>
        </w:numPr>
        <w:pBdr/>
        <w:spacing/>
        <w:ind w:right="0" w:firstLine="709" w:left="0"/>
        <w:rPr/>
      </w:pPr>
      <w:r>
        <w:rPr>
          <w:highlight w:val="none"/>
        </w:rPr>
      </w:r>
      <w:r>
        <w:t xml:space="preserve">Учет спортивных результатов и применение штрафных санкций</w:t>
      </w:r>
      <w:r>
        <w:rPr>
          <w:highlight w:val="none"/>
        </w:rPr>
        <w:t xml:space="preserve">.</w:t>
      </w:r>
      <w:r/>
    </w:p>
    <w:p w14:paraId="01CEDDAF">
      <w:pPr>
        <w:pStyle w:val="891"/>
        <w:numPr>
          <w:ilvl w:val="0"/>
          <w:numId w:val="3"/>
        </w:numPr>
        <w:pBdr/>
        <w:spacing/>
        <w:ind w:right="0" w:firstLine="709" w:left="0"/>
        <w:rPr/>
      </w:pPr>
      <w:r>
        <w:rPr>
          <w:highlight w:val="none"/>
        </w:rPr>
      </w:r>
      <w:r>
        <w:t xml:space="preserve">Документирование финансовых операций</w:t>
      </w:r>
      <w:r>
        <w:rPr>
          <w:highlight w:val="none"/>
        </w:rPr>
      </w:r>
      <w:r/>
    </w:p>
    <w:p w14:paraId="4A37790E">
      <w:pPr>
        <w:pStyle w:val="891"/>
        <w:numPr>
          <w:ilvl w:val="0"/>
          <w:numId w:val="3"/>
        </w:numPr>
        <w:pBdr/>
        <w:spacing/>
        <w:ind w:right="0" w:firstLine="709" w:left="0"/>
        <w:rPr/>
      </w:pPr>
      <w:r>
        <w:rPr>
          <w:highlight w:val="none"/>
        </w:rPr>
      </w:r>
      <w:r>
        <w:t xml:space="preserve">Разработка аналитической подсистемы</w:t>
      </w:r>
      <w:r>
        <w:rPr>
          <w:highlight w:val="none"/>
          <w:lang w:val="en-US"/>
        </w:rPr>
        <w:t xml:space="preserve">.</w:t>
      </w:r>
      <w:r>
        <w:rPr>
          <w:highlight w:val="none"/>
        </w:rPr>
      </w:r>
      <w:r/>
    </w:p>
    <w:p w14:paraId="351F9ADA" w14:textId="728E26B8">
      <w:pPr>
        <w:pBdr/>
        <w:spacing/>
        <w:ind/>
        <w:rPr/>
      </w:pPr>
      <w:r>
        <w:t xml:space="preserve">В рамках данной работы объектом исследования выступает деятельность сервиса, специализирующегося на организации и проведении автоспортивн</w:t>
      </w:r>
      <w:r>
        <w:t xml:space="preserve">ых мероприятий различного формата. В свою очередь, предметом исследования являются методы и средства автоматизации процессов управления такими мероприятиями, включая учет участников, управление расписанием и ресурсами, а также контроль финансовых операций.</w:t>
      </w:r>
      <w:r/>
    </w:p>
    <w:p w14:paraId="06E74B2A" w14:textId="60A2D312">
      <w:pPr>
        <w:pBdr/>
        <w:spacing/>
        <w:ind/>
        <w:rPr/>
      </w:pPr>
      <w:r>
        <w:t xml:space="preserve">Практическая значимость работы заключается в создании прототипа информационной системы на базе платформы «1С:Пре</w:t>
      </w:r>
      <w:r>
        <w:t xml:space="preserve">дприятие». Данный прототип позволит продемонстрировать, как можно повысить общую </w:t>
      </w:r>
      <w:r>
        <w:t xml:space="preserve">эффективность предприятия.</w:t>
      </w:r>
      <w:r/>
    </w:p>
    <w:p w14:paraId="26673682" w14:textId="47533335">
      <w:pPr>
        <w:pStyle w:val="881"/>
        <w:pBdr/>
        <w:spacing/>
        <w:ind/>
        <w:rPr/>
      </w:pPr>
      <w:r>
        <w:br w:type="page" w:clear="all"/>
      </w:r>
      <w:bookmarkStart w:id="3" w:name="_Toc227524999"/>
      <w:r>
        <w:t xml:space="preserve">ГЛАВА 1. ТЕОРЕТИЧЕСКАЯ ЧАСТЬ</w:t>
      </w:r>
      <w:bookmarkEnd w:id="3"/>
      <w:r/>
      <w:r/>
    </w:p>
    <w:p w14:paraId="17599DC0" w14:textId="77777777">
      <w:pPr>
        <w:pBdr/>
        <w:spacing/>
        <w:ind/>
        <w:rPr/>
      </w:pPr>
      <w:r/>
      <w:r/>
    </w:p>
    <w:p w14:paraId="60E589EB" w14:textId="7E33B344">
      <w:pPr>
        <w:pStyle w:val="882"/>
        <w:numPr>
          <w:ilvl w:val="1"/>
          <w:numId w:val="1"/>
        </w:numPr>
        <w:pBdr/>
        <w:spacing/>
        <w:ind/>
        <w:rPr/>
      </w:pPr>
      <w:r/>
      <w:bookmarkStart w:id="4" w:name="_Toc227525000"/>
      <w:r>
        <w:t xml:space="preserve">Анализ предметной области и специфика бизнес-процессов автоспортивного сервиса</w:t>
      </w:r>
      <w:bookmarkEnd w:id="4"/>
      <w:r/>
      <w:r/>
    </w:p>
    <w:p w14:paraId="41AF84C3" w14:textId="268DB3A0">
      <w:pPr>
        <w:pBdr/>
        <w:spacing/>
        <w:ind/>
        <w:rPr/>
      </w:pPr>
      <w:r/>
      <w:r/>
    </w:p>
    <w:p w14:paraId="2530CADB" w14:textId="1B9ED8F9">
      <w:pPr>
        <w:pBdr/>
        <w:spacing/>
        <w:ind/>
        <w:rPr/>
      </w:pPr>
      <w:r>
        <w:t xml:space="preserve">Автоспортивный сервис представляет собой организацию, деятельность которой направлена на обеспечение проведения различных мероприятий, связанных с эксплуатацией автомобилей на гоночных трассах. Современная инфраструктура, примером кото</w:t>
      </w:r>
      <w:r>
        <w:t xml:space="preserve">рой может служить автодром Moscow Raceway позволяет проводить соревнования самого высокого уровня, включая этапы «Формулы-1». В рамках деятельности такого сервиса можно выделить несколько основных типов проводимых мероприятий, каждое из которых имеет свою </w:t>
      </w:r>
      <w:r>
        <w:t xml:space="preserve">специфику. К ним относятся любительские трек-дни, предоставляющие возможность владельцам автомобилей опробовать свои навыки на гоночной трассе в контролируемых условиях; профессиональные гонки, включая этапы национальных и международных чемпионатов; корпор</w:t>
      </w:r>
      <w:r>
        <w:t xml:space="preserve">ативные заезды, организуемые для клиентов и партнеров компаний; а также аренда трассы сторонними организаторами. Каждый из этих типов мероприятий предъявляет различные требования к управлению ресурсами, составу участников и уровню обеспечения безопасности.</w:t>
      </w:r>
      <w:r/>
    </w:p>
    <w:p w14:paraId="37F6909D" w14:textId="44D49C68">
      <w:pPr>
        <w:pBdr/>
        <w:spacing/>
        <w:ind/>
        <w:rPr/>
      </w:pPr>
      <w:r>
        <w:t xml:space="preserve">Основу деятельности сервиса составляет ряд ключевых бизнес</w:t>
      </w:r>
      <w:r>
        <w:noBreakHyphen/>
      </w:r>
      <w:r>
        <w:t xml:space="preserve">процессов, эффективность которых напрямую влияет на качество предоставляемых услуг и безопасность участников. Цен</w:t>
      </w:r>
      <w:r>
        <w:t xml:space="preserve">тральным процессом является прием и обработка заявок от пилотов. Этот процесс включает в себя не только сбор персональных и контактных данных, но и проверку соответствия участника требованиям конкретного события. Следующим важным процессом является управле</w:t>
      </w:r>
      <w:r>
        <w:t xml:space="preserve">ние расписанием сессий, которое требует точной координации времени выездов различных групп участников на трассу, учета перерывов и обеспечения равномерной загрузки инфраструктуры. В автоспорте, где безопасность является абсолютным приоритетом, критическое </w:t>
      </w:r>
      <w:r>
        <w:t xml:space="preserve">значение приобретают процессы, связанные с обеспечением готовности персонала и инфраструктуры. Как отмечают эксперты, на многих</w:t>
      </w:r>
      <w:r>
        <w:t xml:space="preserve"> площадках требуется тщательное управление транспортом и пешеходными потоками, что подчеркивает необходимость в централизованном решении для планирования. К таким процессам относятся: учет состояния автомобилей участников, учет и распределение технического</w:t>
      </w:r>
      <w:r>
        <w:t xml:space="preserve"> персонала и маршалов, а также обязательное прохождение участниками медицинского контроля и инструктажей. Все эти процессы взаимосвязаны и должны выполняться в строгой последовательности для минимизации рисков и обеспечения бесперебойного хода мероприятия.</w:t>
      </w:r>
      <w:r/>
    </w:p>
    <w:p w14:paraId="71971987" w14:textId="2B81212B">
      <w:pPr>
        <w:pBdr/>
        <w:spacing/>
        <w:ind/>
        <w:rPr/>
      </w:pPr>
      <w:r>
        <w:t xml:space="preserve">В настоящее время многие сервисы полагаются на </w:t>
      </w:r>
      <w:r>
        <w:t xml:space="preserve">такие </w:t>
      </w:r>
      <w:r>
        <w:t xml:space="preserve">методы управления,</w:t>
      </w:r>
      <w:r>
        <w:t xml:space="preserve"> </w:t>
      </w:r>
      <w:r>
        <w:t xml:space="preserve">как бумажный документооборот или использование разрозненных электронных таблиц. </w:t>
      </w:r>
      <w:r>
        <w:t xml:space="preserve">П</w:t>
      </w:r>
      <w:r>
        <w:t xml:space="preserve">одобный подход приводит к появлению серьезных проблем. </w:t>
      </w:r>
      <w:r>
        <w:t xml:space="preserve">Р</w:t>
      </w:r>
      <w:r>
        <w:t xml:space="preserve">учной ввод данных из бумажных заявок в электронные таблицы требует значительных временных затрат и чреват ошибками. Один из координаторов трек-дней, использующий программируем</w:t>
      </w:r>
      <w:r>
        <w:t xml:space="preserve">ый Excel-файл, столкнулся с тем, что он перестал справляться с большим количеством ежегодных мероприятий и не мог обеспечить требуемую функциональность. Более того, использование Excel для управления критически важными бизнес-процессами сопряжено с высоким</w:t>
      </w:r>
      <w:r>
        <w:t xml:space="preserve">и рисками: отсутствует контроль версий, сложно обеспечить аудит изменений, а единый файл редко является единственным источником достоверных данных, что ведет к появлению множества копий с противоречивой информацией. Как показывает опыт даже команд «Формулы</w:t>
      </w:r>
      <w:r>
        <w:noBreakHyphen/>
      </w:r>
      <w:r>
        <w:t xml:space="preserve">1», попытка управлять 20 000 детал</w:t>
      </w:r>
      <w:r>
        <w:t xml:space="preserve">ями</w:t>
      </w:r>
      <w:r>
        <w:t xml:space="preserve"> болида с помощью Excel вызывает </w:t>
      </w:r>
      <w:r>
        <w:t xml:space="preserve">проблемы</w:t>
      </w:r>
      <w:r>
        <w:t xml:space="preserve">, что </w:t>
      </w:r>
      <w:r>
        <w:t xml:space="preserve">показывает</w:t>
      </w:r>
      <w:r>
        <w:t xml:space="preserve"> непригодность подобных инструментов для управления сложными и динамичными процессами. Таким образом, выявленные проблемы</w:t>
      </w:r>
      <w:r>
        <w:t xml:space="preserve"> </w:t>
      </w:r>
      <w:r>
        <w:t xml:space="preserve">обосновывают необходимость внедрения специализированной информационной системы, способной автоматизировать ключевые бизнес-процессы автоспортивного сервиса.</w:t>
      </w:r>
      <w:r/>
    </w:p>
    <w:p w14:paraId="13E22ADE" w14:textId="42C4F9F8">
      <w:pPr>
        <w:pStyle w:val="882"/>
        <w:numPr>
          <w:ilvl w:val="1"/>
          <w:numId w:val="1"/>
        </w:numPr>
        <w:pBdr/>
        <w:spacing/>
        <w:ind/>
        <w:rPr/>
      </w:pPr>
      <w:r/>
      <w:bookmarkStart w:id="5" w:name="_Toc227525001"/>
      <w:r>
        <w:t xml:space="preserve">Обзор и сравнительный анализ существующих систем автоматизации в сфере автоспорта и управления событиями</w:t>
      </w:r>
      <w:bookmarkEnd w:id="5"/>
      <w:r/>
      <w:r/>
    </w:p>
    <w:p w14:paraId="6A9C0323" w14:textId="2BA7B27E">
      <w:pPr>
        <w:pBdr/>
        <w:spacing/>
        <w:ind/>
        <w:rPr/>
      </w:pPr>
      <w:r/>
      <w:r/>
    </w:p>
    <w:p w14:paraId="4C8798CD" w14:textId="77777777">
      <w:pPr>
        <w:pBdr/>
        <w:spacing/>
        <w:ind/>
        <w:rPr/>
      </w:pPr>
      <w:r>
        <w:t xml:space="preserve">На международном рынке существует несколько известных решений, получивших широкое признание в сообществе организат</w:t>
      </w:r>
      <w:r>
        <w:t xml:space="preserve">оров автоспортивных событий. Наиболее заметным из них является платформа MotorsportReg, которая позиционируется как ведущая система онлайн-регистрации для автоспортивных мероприятий. Она используется более чем 8 500 организаторами из 1 500 клубов и автодро</w:t>
      </w:r>
      <w:r>
        <w:t xml:space="preserve">мов и обеспечивает автоматизацию таких задач, как управление списками участников, прием платежей, интеграция с системами хронометража, а также формирование отчетности. Платформа предлагает развитый функционал для сбора данных о пилотах и автомобилях, управ</w:t>
      </w:r>
      <w:r>
        <w:t xml:space="preserve">ления членством и лицензиями, что значительно сокращает временные затраты на предварительную подготовку к мероприятию. Другим примером является мобильное приложение Race Monitor, предоставляющее участникам и зрителям доступ к данным живого хронометража, ре</w:t>
      </w:r>
      <w:r>
        <w:t xml:space="preserve">зультатам заездов и позициям гонщиков на трассе в режиме реального времени. Однако, несмотря на функциональную развитость и популярность за рубежом, применение подобных международных систем в российских условиях сопряжено с рядом существенных ограничений. </w:t>
      </w:r>
      <w:r/>
    </w:p>
    <w:p w14:paraId="5E22C01C" w14:textId="7630E329">
      <w:pPr>
        <w:pBdr/>
        <w:spacing/>
        <w:ind/>
        <w:rPr/>
      </w:pPr>
      <w:r>
        <w:t xml:space="preserve">Во</w:t>
      </w:r>
      <w:r>
        <w:noBreakHyphen/>
      </w:r>
      <w:r>
        <w:t xml:space="preserve">первых, они не адаптированы к требованиям российского бухгалтерского и налогового учета, не поддерживают интеграцию с отечественными банковскими и кассовыми сервисами в соответствии с законодательством о применении контрольно</w:t>
      </w:r>
      <w:r>
        <w:noBreakHyphen/>
      </w:r>
      <w:r>
        <w:t xml:space="preserve">кассовой техники. </w:t>
      </w:r>
      <w:r/>
    </w:p>
    <w:p w14:paraId="0A1C3E30" w14:textId="77777777">
      <w:pPr>
        <w:pBdr/>
        <w:spacing/>
        <w:ind/>
        <w:rPr/>
      </w:pPr>
      <w:r>
        <w:t xml:space="preserve">Во</w:t>
      </w:r>
      <w:r>
        <w:noBreakHyphen/>
      </w:r>
      <w:r>
        <w:t xml:space="preserve">вторых, их интерфейсы и документация, как правило, доступны только на иностранных языках, что создает дополнительные сложности для персонала. </w:t>
      </w:r>
      <w:r/>
    </w:p>
    <w:p w14:paraId="5B775D72" w14:textId="788A710E">
      <w:pPr>
        <w:pBdr/>
        <w:spacing/>
        <w:ind/>
        <w:rPr/>
      </w:pPr>
      <w:r>
        <w:t xml:space="preserve">В</w:t>
      </w:r>
      <w:r>
        <w:noBreakHyphen/>
      </w:r>
      <w:r>
        <w:t xml:space="preserve">третьих, стоимость подписки и технической поддержки таких облачных сервисов, номинированная в иностранной валюте, может быть </w:t>
      </w:r>
      <w:r>
        <w:t xml:space="preserve">непредсказуемой и экономически нецелесообразной для небольших и средних российских организаторов.</w:t>
      </w:r>
      <w:r/>
    </w:p>
    <w:p w14:paraId="72201A12" w14:textId="506FC6E6">
      <w:pPr>
        <w:pBdr/>
        <w:spacing/>
        <w:ind/>
        <w:rPr/>
      </w:pPr>
      <w:r>
        <w:t xml:space="preserve">Альтернативой зарубежным платформам могут служить конфигурации на базе «1С:Предприятие», которые изначально разработаны с учетом российской специфики учета и управле</w:t>
      </w:r>
      <w:r>
        <w:t xml:space="preserve">ния. Среди них особого внимания заслуживают такие решения, как «1С:Фитнес клуб» и «1С:Управление небольшой фирмой». Конфигурация «1С:Фитнес клуб» предназначена для автоматизации управленческого и оперативного учета в организациях, предоставляющих спортивно</w:t>
      </w:r>
      <w:r>
        <w:noBreakHyphen/>
      </w:r>
      <w:r>
        <w:t xml:space="preserve">оздоровительные услуги, и включает в себя функционал для работы с рас</w:t>
      </w:r>
      <w:r>
        <w:t xml:space="preserve">писанием занятий, учета клиентов, продажи абонементов и контроля посещаемости. Визуально и логически эти процессы схожи с задачами автоспортивного сервиса: управление сессиями на трассе, регистрация участников и учет оплат. Однако предметная область фитнес</w:t>
      </w:r>
      <w:r>
        <w:noBreakHyphen/>
      </w:r>
      <w:r>
        <w:t xml:space="preserve">клуба не учитывает такую специфику, как техничес</w:t>
      </w:r>
      <w:r>
        <w:t xml:space="preserve">кая инспекция автомобилей, классификация участников по уровню подготовки и типам машин, а также необходимость строгого учета времени круга и распределения по заездам с учетом мер безопасности. С другой стороны, конфигурация «1С:Управление небольшой фирмой»</w:t>
      </w:r>
      <w:r>
        <w:t xml:space="preserve"> представляет собой более универсальный инструмент для комплексной автоматизации малого бизнеса, включая модули CRM, управления продажами, закупками и финансами. Она обладает значительной гибкостью и может быть адаптирована под многие бизнес-процессы, одна</w:t>
      </w:r>
      <w:r>
        <w:t xml:space="preserve">ко для полноценного решения задач автоспортивного сервиса потребуется ее глубокая доработка, по сути, создание на ее основе новой, узкоспециализированной подсистемы. Отсутствие «из коробки» необходимых справочников, документов и отчетов для управления трек</w:t>
      </w:r>
      <w:r>
        <w:noBreakHyphen/>
      </w:r>
      <w:r>
        <w:t xml:space="preserve">днями означает, что использование УНФ потребует от разработчика значительных трудозатрат и высокой квалификации, сравнимых с созданием самостоятельной конфигурации.</w:t>
      </w:r>
      <w:r/>
    </w:p>
    <w:p w14:paraId="6B2E4EAD" w14:textId="394B1662">
      <w:pPr>
        <w:pBdr/>
        <w:spacing/>
        <w:ind/>
        <w:rPr/>
      </w:pPr>
      <w:r>
        <w:t xml:space="preserve">Таким образом, проведенный обзор демонстрирует, что на российском рынке программного обеспечения отсутствует готовое решение, которое бы в </w:t>
      </w:r>
      <w:r>
        <w:t xml:space="preserve">по</w:t>
      </w:r>
      <w:r>
        <w:t xml:space="preserve">лной мере удовлетворяло потребности сервиса по организации и проведению автоспортивных мероприятий. Международные системы не адаптированы к российским правовым и учетным реалиям, а типовые конфигурации «1С» не учитывают ключевые бизнес-процессы автоспортив</w:t>
      </w:r>
      <w:r>
        <w:t xml:space="preserve">ной сферы и требуют кардинальной доработки. Данное обстоятельство делает разработку специализированной конфигурации на платформе «1С:Предприятие» не только обоснованной, но и единственно верной стратегией для достижения целей повышения эффективности и каче</w:t>
      </w:r>
      <w:r>
        <w:t xml:space="preserve">ства управления автоспортивным сервисом. Создание такой конфигурации позволит объединить преимущества отечественной платформы с глубокой отраслевой спецификой, обеспечив тем самым комплексную автоматизацию всех уникальных аспектов деятельности организации.</w:t>
      </w:r>
      <w:r/>
    </w:p>
    <w:p w14:paraId="10A6795B" w14:textId="77777777">
      <w:pPr>
        <w:pBdr/>
        <w:spacing/>
        <w:ind/>
        <w:rPr/>
      </w:pPr>
      <w:r/>
      <w:r/>
    </w:p>
    <w:p w14:paraId="44E89B6B" w14:textId="0A0C3C0D">
      <w:pPr>
        <w:pStyle w:val="882"/>
        <w:numPr>
          <w:ilvl w:val="1"/>
          <w:numId w:val="1"/>
        </w:numPr>
        <w:pBdr/>
        <w:spacing/>
        <w:ind w:firstLine="0" w:left="0"/>
        <w:rPr/>
      </w:pPr>
      <w:r/>
      <w:bookmarkStart w:id="6" w:name="_Toc227525002"/>
      <w:r>
        <w:t xml:space="preserve">Обоснование выбора платформы «1С:Предприятие» в качестве инструмента разработки</w:t>
      </w:r>
      <w:bookmarkEnd w:id="6"/>
      <w:r/>
      <w:r/>
    </w:p>
    <w:p w14:paraId="190D9648" w14:textId="77777777">
      <w:pPr>
        <w:pBdr/>
        <w:spacing/>
        <w:ind/>
        <w:rPr/>
      </w:pPr>
      <w:r/>
      <w:r/>
    </w:p>
    <w:p w14:paraId="3C163111" w14:textId="69432C38">
      <w:pPr>
        <w:pBdr/>
        <w:spacing/>
        <w:ind/>
        <w:rPr/>
      </w:pPr>
      <w:r>
        <w:t xml:space="preserve">В контексте поставленной задачи автоматизации бизнес</w:t>
      </w:r>
      <w:r>
        <w:noBreakHyphen/>
      </w:r>
      <w:r>
        <w:t xml:space="preserve">процессов сервиса автоспортивных мероприятий п</w:t>
      </w:r>
      <w:r>
        <w:t xml:space="preserve">латформа «1С:Предприятие» была выбрана в качестве базовой среды разработки на основании ряда преимуществ, которые делают её оптимальным инструментом для создания специализированного решения, полностью адаптированного под российские условия ведения бизнеса.</w:t>
      </w:r>
      <w:r>
        <w:t xml:space="preserve"> </w:t>
      </w:r>
      <w:r>
        <w:t xml:space="preserve">Одним из наиболее значимых достоинств платформы является её модель разработки, основанная на концепции метаданных и объектно-ориентированном подходе. В отличие от традиционных сред программирования, где разработчик вручную описыва</w:t>
      </w:r>
      <w:r>
        <w:t xml:space="preserve">ет</w:t>
      </w:r>
      <w:r>
        <w:t xml:space="preserve"> структуры баз данных, интерфейсные формы и алгоритмы бизнес-логики, «1С:Предприятие» предлагает </w:t>
      </w:r>
      <w:r>
        <w:t xml:space="preserve">другой</w:t>
      </w:r>
      <w:r>
        <w:t xml:space="preserve"> подход: все прикладное решение описывается в виде конфигурации, представляющей собой совокупность объектов, выбираемых из жестко определенного, но при этом универсального набора прототипов. К таким прототипам относятся: справочники, документы, </w:t>
      </w:r>
      <w:r>
        <w:t xml:space="preserve">регистры накопления, планы видов характеристик и другие объекты метаданных. Каждый из этих прототипов уже содержит базовую реализацию, определяющую структуру хранимых данных, набор типов встроенного языка, методы, свойства и события, а также типовые сп</w:t>
      </w:r>
      <w:r>
        <w:t xml:space="preserve">особы отображения и редактирования информации. При создании нового объекта конфигурации разработчик выбирает подходящий прототип и, при необходимости, доопределяет его свойства, дополняет структуру данных или реализует специфические алгоритмы. Такой подход</w:t>
      </w:r>
      <w:r>
        <w:t xml:space="preserve"> </w:t>
      </w:r>
      <w:r>
        <w:t xml:space="preserve">значительно ускоряет процесс разработки, и обеспечивает единообразие в работе с данными</w:t>
      </w:r>
      <w:r>
        <w:t xml:space="preserve">.</w:t>
      </w:r>
      <w:r/>
    </w:p>
    <w:p w14:paraId="06199481" w14:textId="77777777">
      <w:pPr>
        <w:pBdr/>
        <w:spacing/>
        <w:ind/>
        <w:rPr/>
      </w:pPr>
      <w:r>
        <w:t xml:space="preserve">Гибкость объектной модели пла</w:t>
      </w:r>
      <w:r>
        <w:t xml:space="preserve">тформы «1С:Предприятие» позволяет решать задачи по управлению сложными структурами данных, характерными для автоспортивного сервиса. Например, такие сущности, как «Участники», «Автомобили», «Сессии», «Технические инспекции», могут быть легко реализованы в </w:t>
      </w:r>
      <w:r>
        <w:t xml:space="preserve">виде соответствующих справочников и документов. При этом объектный подход к манипулированию данными, реализованный в платформе, позволяет оперировать этими сущностями как едиными объектами со своей внутренней логикой и методами, что значительно упрощает на</w:t>
      </w:r>
      <w:r>
        <w:t xml:space="preserve">писание программного кода и повышает его читаемость и надежность. Важным дополнением к объектной модели является встроенный язык запросов, который предоставляет разработчику мощный инструмент для выполнения сложной аналитической обработки данных. Этот язык</w:t>
      </w:r>
      <w:r>
        <w:t xml:space="preserve"> </w:t>
      </w:r>
      <w:r>
        <w:t xml:space="preserve">позволяет обращаться к данным в реляционной</w:t>
      </w:r>
      <w:r>
        <w:t xml:space="preserve"> модели, но при этом полностью интегрирован в среду «1С:Предприятие» и учитывает особенности объектной модели данных. Для сервиса автоспортивных мероприятий данная возможность является важной, так как позволяет формировать разнообразные аналитические отчет</w:t>
      </w:r>
      <w:r>
        <w:t xml:space="preserve">ы, например, по загрузке трассы в различные временные интервалы, по статистике посещаемости мероприятий разными категориями участников, по результатам технических инспекций или по времени прохождения кругов. С помощью языка запросов можно получать сводные </w:t>
      </w:r>
      <w:r>
        <w:t xml:space="preserve">данные, необходимые для принятия управленческих решений по оптимизации расписания и повышению эффективности использования ресурсов трассы.</w:t>
      </w:r>
      <w:r>
        <w:t xml:space="preserve"> </w:t>
      </w:r>
      <w:r/>
    </w:p>
    <w:p w14:paraId="510456BB" w14:textId="11CB5634">
      <w:pPr>
        <w:pBdr/>
        <w:spacing/>
        <w:ind/>
        <w:rPr/>
      </w:pPr>
      <w:r>
        <w:t xml:space="preserve">Крайне важным фактором, обусловившим выбор платформы «1С:Предприятие», является её полное соответствие требованиям российского бухгалтерск</w:t>
      </w:r>
      <w:r>
        <w:t xml:space="preserve">ого и налогового законодательства. Для любой организации, ведущей коммерческую деятельность на территории Российской Федерации, корректное ведение регламентированного учета является строго обязательным условием. Платформа «1С:Предприятие» изначально проект</w:t>
      </w:r>
      <w:r>
        <w:t xml:space="preserve">ировалась с учетом российской специфики учета, и все типовые конфигурации, а также сама платформа, содержат встроенные механизмы для ведения бухгалтерского и налогового учета в соответствии с текущими нормативными актами. Регламентированный учет в системе </w:t>
      </w:r>
      <w:r>
        <w:t xml:space="preserve">-</w:t>
      </w:r>
      <w:r>
        <w:t xml:space="preserve"> это учет, правила ведения которого определены законодат</w:t>
      </w:r>
      <w:r>
        <w:t xml:space="preserve">ельно и закреплены в учетной политике предприятия. Использование «1С:Предприятие» гарантирует, что разрабатываемая специализированная конфигурация сможет интегрироваться с существующими механизмами учета, обеспечивая автоматическое формирование проводок, р</w:t>
      </w:r>
      <w:r>
        <w:t xml:space="preserve">егистров налогового учета и регламентированной отчетности. Это избавляет от необходимости вести двойной учет или тратить значительные ресурсы на ручное сопоставление данных между оперативной системой управления мероприятиями и системой бухгалтерского учета</w:t>
      </w:r>
      <w:r>
        <w:t xml:space="preserve">.</w:t>
      </w:r>
      <w:r/>
    </w:p>
    <w:p w14:paraId="601A0D5E" w14:textId="42EBE607">
      <w:pPr>
        <w:pBdr/>
        <w:spacing/>
        <w:ind/>
        <w:rPr/>
      </w:pPr>
      <w:r>
        <w:t xml:space="preserve">П</w:t>
      </w:r>
      <w:r>
        <w:t xml:space="preserve">латформа «1С:Предприятие» обладает развитыми возможностями для интеграции с широким спектром внешнего оборудования и веб</w:t>
      </w:r>
      <w:r>
        <w:noBreakHyphen/>
      </w:r>
      <w:r>
        <w:t xml:space="preserve">сервисов</w:t>
      </w:r>
      <w:r>
        <w:t xml:space="preserve">. </w:t>
      </w:r>
      <w:r>
        <w:t xml:space="preserve">Современный автодром оснащается разнообразными техническими средствами: системами электронного хронометража, фиксирующими</w:t>
      </w:r>
      <w:r>
        <w:t xml:space="preserve"> время прохождения кругов с высокой точностью; системами контроля доступа, включающими шлагбаумы и турникеты; оборудованием для видеонаблюдения и др. «1С:Предприятие» предоставляет несколько технологий для организации взаимодействия с таким оборудованием. </w:t>
      </w:r>
      <w:r>
        <w:t xml:space="preserve">П</w:t>
      </w:r>
      <w:r>
        <w:t xml:space="preserve">латформа позволяет подключать различные устройства через технологию внешних компонент</w:t>
      </w:r>
      <w:r>
        <w:t xml:space="preserve">ов</w:t>
      </w:r>
      <w:r>
        <w:t xml:space="preserve">. Это дает возможность реализовать обмен данными в </w:t>
      </w:r>
      <w:r>
        <w:t xml:space="preserve">режиме реального времени, например, автоматически получать результаты хронометража и связывать их с данными о конкретных участниках и сессиях, а также управлять исполнительными устройствами, такими как шлагбаумы, на основе информации о регистрации и оплате</w:t>
      </w:r>
      <w:r>
        <w:t xml:space="preserve">. Кроме того, платформа предоставляет средства для интеграции с веб-сервисами. В конфигурации можно создавать собственные Web-сервисы и HTTP-сервисы, которые после публикации на веб-сервере становятся доступны внешним потребителям через интернет-протоколы.</w:t>
      </w:r>
      <w:r/>
    </w:p>
    <w:p w14:paraId="3635A7C1" w14:textId="593E2CAD">
      <w:pPr>
        <w:pBdr/>
        <w:spacing/>
        <w:ind/>
        <w:rPr/>
      </w:pPr>
      <w:r>
        <w:t xml:space="preserve">Таким образом, сочетание таких факторов, как уникальная объектно</w:t>
      </w:r>
      <w:r>
        <w:noBreakHyphen/>
      </w:r>
      <w:r>
        <w:t xml:space="preserve">ориентир</w:t>
      </w:r>
      <w:r>
        <w:t xml:space="preserve">ованная модель разработки на основе метаданных, мощный встроенный язык запросов для аналитической обработки данных, полное соответствие требованиям российского бухгалтерского и налогового учета, а также развитые возможности по интеграции с внешним оборудов</w:t>
      </w:r>
      <w:r>
        <w:t xml:space="preserve">анием и веб-сервисами, делает платформу «1С:Предприятие» не просто возможным, а наиболее обоснованным и стратегически верным выбором для разработки информационной системы, предназначенной для оптимизации бизнес-процессов сервиса автоспортивных мероприятий.</w:t>
      </w:r>
      <w:r>
        <w:tab/>
      </w:r>
      <w:r/>
    </w:p>
    <w:p w14:paraId="4144BCB1" w14:textId="77777777">
      <w:pPr>
        <w:pBdr/>
        <w:spacing w:after="160" w:line="259" w:lineRule="auto"/>
        <w:ind w:firstLine="0"/>
        <w:jc w:val="left"/>
        <w:rPr/>
      </w:pPr>
      <w:r>
        <w:br w:type="page" w:clear="all"/>
      </w:r>
      <w:r/>
    </w:p>
    <w:p w14:paraId="458D4FE0" w14:textId="2F1D647A">
      <w:pPr>
        <w:pStyle w:val="881"/>
        <w:pBdr/>
        <w:spacing/>
        <w:ind/>
        <w:rPr/>
      </w:pPr>
      <w:r/>
      <w:bookmarkStart w:id="7" w:name="_Toc227525003"/>
      <w:r>
        <w:t xml:space="preserve">ГЛАВА 2. ПРАКТИЧЕСКАЯ ЧАСТЬ</w:t>
      </w:r>
      <w:bookmarkEnd w:id="7"/>
      <w:r/>
      <w:r/>
    </w:p>
    <w:p w14:paraId="7E752A7E" w14:textId="6FEC20E7">
      <w:pPr>
        <w:pBdr/>
        <w:spacing/>
        <w:ind/>
        <w:rPr/>
      </w:pPr>
      <w:r/>
      <w:r/>
    </w:p>
    <w:p w14:paraId="789C0EC5" w14:textId="5D05DF5C">
      <w:pPr>
        <w:pStyle w:val="882"/>
        <w:pBdr/>
        <w:spacing/>
        <w:ind/>
        <w:rPr/>
      </w:pPr>
      <w:r/>
      <w:bookmarkStart w:id="8" w:name="_Toc227525004"/>
      <w:r>
        <w:t xml:space="preserve">2.1. Проектирование нормативно-справочной информации и объектной модели</w:t>
      </w:r>
      <w:bookmarkEnd w:id="8"/>
      <w:r/>
      <w:r/>
    </w:p>
    <w:p w14:paraId="23A243F8" w14:textId="23164189">
      <w:pPr>
        <w:pBdr/>
        <w:spacing/>
        <w:ind/>
        <w:rPr/>
      </w:pPr>
      <w:r/>
      <w:r/>
    </w:p>
    <w:p w14:paraId="27DCE057" w14:textId="4BEA13F6">
      <w:pPr>
        <w:pBdr/>
        <w:spacing/>
        <w:ind/>
        <w:rPr/>
      </w:pPr>
      <w:r>
        <w:t xml:space="preserve">С</w:t>
      </w:r>
      <w:r>
        <w:t xml:space="preserve">правочники обеспечивают хранение условно-постоянных данных, необходимых для описания объектов предметной области, их классифика</w:t>
      </w:r>
      <w:r>
        <w:t xml:space="preserve">ции и взаимосвязей. В рамках разработки конфигурации для сервиса автоспортивных мероприятий был спроектирован и реализован ряд взаимосвязанных справочников, перечислений, а также определены ключевые реквизиты, отражающие специфику деятельности организации.</w:t>
      </w:r>
      <w:r/>
    </w:p>
    <w:p w14:paraId="6E0C8FF8" w14:textId="3D28D689">
      <w:pPr>
        <w:pBdr/>
        <w:spacing/>
        <w:ind/>
        <w:rPr>
          <w:highlight w:val="none"/>
        </w:rPr>
      </w:pPr>
      <w:r>
        <w:t xml:space="preserve">Разработанная структура справочников охватывает все основные сущности, участв</w:t>
      </w:r>
      <w:r>
        <w:t xml:space="preserve">ующие в бизнес-процессах автоспортивного сервиса. В первую очередь был создан справочник «Участники», предназначенный для ведения базы данных пилотов. В его реквизитный состав включены поля, необходимые для идентификации личности и поддержания коммуникации</w:t>
      </w:r>
      <w:r>
        <w:t xml:space="preserve">: фамилия (строка), имя (строка), отчество (строка), дата рождения (дата), контактный телефон (строка), адрес электронной почты (строка). Кроме того, для учета спортивной квалификации добавлен реквизит «СпортивныйРазряд»</w:t>
      </w:r>
      <w:r>
        <w:t xml:space="preserve">, связанный с справочником «СпортивныеРазряды», а для накопления статистики </w:t>
      </w:r>
      <w:r>
        <w:t xml:space="preserve">-</w:t>
      </w:r>
      <w:r>
        <w:t xml:space="preserve"> числовое поле «КоличествоЗаездов». Данные справочник представлен на рисунке 2.1.</w:t>
      </w:r>
      <w:r/>
    </w:p>
    <w:p w14:paraId="62E7A38C">
      <w:pPr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27615" cy="205072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21695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327614" cy="2050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3.28pt;height:161.4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8B546A4">
      <w:pPr>
        <w:pBdr/>
        <w:spacing/>
        <w:ind w:right="0" w:firstLine="0" w:left="0"/>
        <w:jc w:val="center"/>
        <w:rPr/>
      </w:pPr>
      <w:r>
        <w:rPr>
          <w:highlight w:val="none"/>
        </w:rPr>
      </w:r>
      <w:r>
        <w:t xml:space="preserve">Рисунок 2.1. Структура справочника Участники</w:t>
      </w:r>
      <w:r>
        <w:rPr>
          <w:highlight w:val="none"/>
        </w:rPr>
      </w:r>
    </w:p>
    <w:p w14:paraId="05D8606D">
      <w:pPr>
        <w:pBdr/>
        <w:spacing/>
        <w:ind/>
        <w:rPr>
          <w:highlight w:val="none"/>
        </w:rPr>
      </w:pPr>
      <w:r>
        <w:t xml:space="preserve"> Следующая группа справочников описывает автомобили и их классификацию. Справочники «МаркиАвтомобилей» и «МоделиАвтомобилей» и</w:t>
      </w:r>
      <w:r>
        <w:t xml:space="preserve">меют простую структуру и содержат только реквизит «Наименование», что обеспечивает удобство ведения перечня производителей и моделей транспортных средств. Для более детального описания гоночных машин создан справочник «Автомобиль», который будет подробно р</w:t>
      </w:r>
      <w:r>
        <w:t xml:space="preserve">ассмотрен далее. Важным элементом классификации является справочник «КлассыГонок», позволяющий разграничивать участников по техническим регламентам и спортивным категориям, в его состав входит стандартный реквизит наименования и реквизит для учета стоимости с типом число (Рис. 2.2).</w:t>
      </w:r>
      <w:r/>
    </w:p>
    <w:p w14:paraId="3841E4DC">
      <w:pPr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87817" cy="14932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7613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087816" cy="1493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1.88pt;height:117.5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5913FFC">
      <w:pPr>
        <w:pBdr/>
        <w:spacing/>
        <w:ind w:right="0" w:firstLine="0" w:left="0"/>
        <w:jc w:val="center"/>
        <w:rPr/>
      </w:pPr>
      <w:r>
        <w:rPr>
          <w:highlight w:val="none"/>
        </w:rPr>
      </w:r>
      <w:r>
        <w:t xml:space="preserve">Рисунок 2.2. Структура справочника КлассыГонок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D6ADBD">
      <w:pPr>
        <w:pBdr/>
        <w:spacing/>
        <w:ind/>
        <w:rPr>
          <w:highlight w:val="none"/>
        </w:rPr>
      </w:pPr>
      <w:r>
        <w:t xml:space="preserve"> Для учета инфраструктуры, на которой проводятся мероприятия, разработан справочник </w:t>
      </w:r>
      <w:r>
        <w:t xml:space="preserve">«Трассы». Его реквизитный состав включает в себя такие важные параметры, как «Город» (</w:t>
      </w:r>
      <w:r/>
      <w:r>
        <w:t xml:space="preserve">СправочникСсылка.Города</w:t>
      </w:r>
      <w:r>
        <w:t xml:space="preserve">), «ДлинаКругаКМ» (число) и «СтоимостьАрендыЗаДень» (число), «ПокрытиеТрассы» (</w:t>
      </w:r>
      <w:r>
        <w:t xml:space="preserve">ПеречислениеСсылка.ПокрытияТрасс</w:t>
      </w:r>
      <w:r>
        <w:t xml:space="preserve">) и «Адрес» (Строка), структура данного справочника приведена на рисунке 2.3. </w:t>
      </w:r>
      <w:r>
        <w:t xml:space="preserve">Д</w:t>
      </w:r>
      <w:r>
        <w:t xml:space="preserve">ля ведения информации об организаторах событий служит справочник «Организаторы» с единственным реквизитом «Наименование».</w:t>
      </w:r>
      <w:r/>
      <w:r/>
    </w:p>
    <w:p w14:paraId="5E063951">
      <w:pPr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87196" cy="181873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8200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987195" cy="1818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5.21pt;height:143.2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p w14:paraId="73BD4A32">
      <w:pPr>
        <w:pBdr/>
        <w:spacing/>
        <w:ind w:right="0" w:firstLine="0" w:left="0"/>
        <w:jc w:val="center"/>
        <w:rPr/>
      </w:pPr>
      <w:r>
        <w:rPr>
          <w:highlight w:val="none"/>
        </w:rPr>
      </w:r>
      <w:r>
        <w:t xml:space="preserve">Рисунок 2.3. Структура справочника Трассы</w:t>
      </w:r>
      <w:r>
        <w:rPr>
          <w:highlight w:val="none"/>
        </w:rPr>
      </w:r>
      <w:r>
        <w:rPr>
          <w:highlight w:val="none"/>
        </w:rPr>
      </w:r>
    </w:p>
    <w:p w14:paraId="06C4D501" w14:textId="79CA6843">
      <w:pPr>
        <w:pBdr/>
        <w:spacing/>
        <w:ind/>
        <w:rPr>
          <w:highlight w:val="none"/>
        </w:rPr>
      </w:pPr>
      <w:r>
        <w:t xml:space="preserve">Р</w:t>
      </w:r>
      <w:r>
        <w:t xml:space="preserve">еализация справочника «Автомобиль»</w:t>
      </w:r>
      <w:r>
        <w:t xml:space="preserve"> </w:t>
      </w:r>
      <w:r>
        <w:t xml:space="preserve">демонстрирует примен</w:t>
      </w:r>
      <w:r>
        <w:t xml:space="preserve">ение программной логики для автоматизации рутинных операций и обеспечения целостности данных. Данный справочник агрегирует информацию о конкретном транспортном средстве, связывая его с ранее описанными сущностями. Структура его реквизитов включает: «Марка»</w:t>
      </w:r>
      <w:r>
        <w:t xml:space="preserve">: </w:t>
      </w:r>
      <w:r>
        <w:t xml:space="preserve">ссылка на справочник «МаркиАвтомобилей», «Модель»</w:t>
      </w:r>
      <w:r>
        <w:t xml:space="preserve">: </w:t>
      </w:r>
      <w:r>
        <w:t xml:space="preserve">ссылка на справочник «МоделиАвтомобилей», «ГодВыпуска» (число), «МощностьЛС» (число) и «ОбъемДвигателяКубСм» (число), «Класс»</w:t>
      </w:r>
      <w:r>
        <w:t xml:space="preserve">: </w:t>
      </w:r>
      <w:r>
        <w:t xml:space="preserve">ссылка на справочник «КлассыГонок»</w:t>
      </w:r>
      <w:r>
        <w:t xml:space="preserve">, </w:t>
      </w:r>
      <w:r>
        <w:t xml:space="preserve">«Пилот»</w:t>
      </w:r>
      <w:r>
        <w:t xml:space="preserve">: </w:t>
      </w:r>
      <w:r>
        <w:t xml:space="preserve">ссылка на справочник «Участники»</w:t>
      </w:r>
      <w:r>
        <w:t xml:space="preserve"> </w:t>
      </w:r>
      <w:r>
        <w:t xml:space="preserve">и «Статус»</w:t>
      </w:r>
      <w:r>
        <w:t xml:space="preserve">: </w:t>
      </w:r>
      <w:r>
        <w:t xml:space="preserve">ссылка на перечисление «</w:t>
      </w:r>
      <w:r>
        <w:t xml:space="preserve">СтатусыАвтомобилей</w:t>
      </w:r>
      <w:r>
        <w:t xml:space="preserve">»</w:t>
      </w:r>
      <w:r>
        <w:t xml:space="preserve">. Структура данного справочника показана на рисунке 2.4.</w:t>
      </w:r>
      <w:r/>
    </w:p>
    <w:p w14:paraId="2C515361">
      <w:pPr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86050" cy="24384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34948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686050" cy="2438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11.50pt;height:192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997FF1C">
      <w:pPr>
        <w:pBdr/>
        <w:spacing/>
        <w:ind w:right="0" w:firstLine="0" w:left="0"/>
        <w:jc w:val="center"/>
        <w:rPr/>
      </w:pPr>
      <w:r>
        <w:rPr>
          <w:highlight w:val="none"/>
        </w:rPr>
      </w:r>
      <w:r>
        <w:t xml:space="preserve">Рисунок 2.4. Структура справочника Автомобиль</w:t>
      </w:r>
      <w:r>
        <w:rPr>
          <w:highlight w:val="none"/>
        </w:rPr>
      </w:r>
    </w:p>
    <w:p w14:paraId="3F8E2A49">
      <w:pPr>
        <w:pBdr/>
        <w:spacing/>
        <w:ind w:firstLine="708"/>
        <w:rPr/>
      </w:pPr>
      <w:r>
        <w:t xml:space="preserve">Б</w:t>
      </w:r>
      <w:r>
        <w:t xml:space="preserve">ыла реализована процедура автоматического формирования наименования а</w:t>
      </w:r>
      <w:r>
        <w:t xml:space="preserve">втомобиля. Данная процедура размещена в модуле объекта справочника и выполняется в событии «ПередЗаписью». Алгоритм работы процедуры заключается в том, что при создании нового элемента или при изменении реквизита «Марка» автоматически формируется строковое</w:t>
      </w:r>
      <w:r>
        <w:t xml:space="preserve"> представление автомобиля путем конкатенации значений полей «Марка», «Модель», «Класс» и «ГодВыпуска» через пробел. После чего полученная строка, очищенная от лишних пробелов с помощью функции «СокрЛП», присваивается стандартному реквизиту «Наименование». </w:t>
      </w:r>
      <w:r>
        <w:t xml:space="preserve">Реализация данной процедуры представлена на рисунке 2.5.</w:t>
      </w:r>
      <w:r/>
      <w:r/>
    </w:p>
    <w:p w14:paraId="650EDD54" w14:textId="2DBF1FFB"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6570" cy="1912620"/>
                <wp:effectExtent l="0" t="0" r="635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829219" cy="1964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6.97pt;height:150.6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183AA56C" w14:textId="19D0B578">
      <w:pPr>
        <w:pBdr/>
        <w:spacing/>
        <w:ind w:firstLine="0"/>
        <w:jc w:val="center"/>
        <w:rPr/>
      </w:pPr>
      <w:r>
        <w:t xml:space="preserve">Рисунок 2.5. Процедура для автомотического заполнения наименования автомобиля</w:t>
      </w:r>
      <w:r/>
    </w:p>
    <w:p w14:paraId="76CE8B57" w14:textId="2D598B00">
      <w:pPr>
        <w:pBdr/>
        <w:spacing/>
        <w:ind/>
        <w:rPr/>
      </w:pPr>
      <w:r>
        <w:t xml:space="preserve">Для фиксации ограниченного набора возможных состояний или свойств объектов в конфигурации были со</w:t>
      </w:r>
      <w:r>
        <w:t xml:space="preserve">зданы перечисления. В рамках проектирования системы были разработаны следующие перечисления: «ПокрытияТрасс» (Значения</w:t>
      </w:r>
      <w:r>
        <w:rPr>
          <w:lang w:val="en-US"/>
        </w:rPr>
        <w:t xml:space="preserve">: </w:t>
      </w:r>
      <w:r>
        <w:rPr>
          <w:lang w:val="en-US"/>
        </w:rPr>
        <w:t xml:space="preserve">Активен</w:t>
      </w:r>
      <w:r>
        <w:rPr>
          <w:lang w:val="ru-RU"/>
        </w:rPr>
        <w:t xml:space="preserve">, </w:t>
      </w:r>
      <w:r>
        <w:rPr>
          <w:lang w:val="ru-RU"/>
        </w:rPr>
        <w:t xml:space="preserve">ВРемонте</w:t>
      </w:r>
      <w:r>
        <w:rPr>
          <w:lang w:val="ru-RU"/>
        </w:rPr>
        <w:t xml:space="preserve">, </w:t>
      </w:r>
      <w:r>
        <w:rPr>
          <w:lang w:val="ru-RU"/>
        </w:rPr>
        <w:t xml:space="preserve">Списан</w:t>
      </w:r>
      <w:r>
        <w:rPr>
          <w:lang w:val="ru-RU"/>
        </w:rPr>
      </w:r>
      <w:r>
        <w:t xml:space="preserve">), «СтатусыАвтомобилей» </w:t>
      </w:r>
      <w:r>
        <w:t xml:space="preserve">(Значения</w:t>
      </w:r>
      <w:r>
        <w:rPr>
          <w:lang w:val="en-US"/>
        </w:rPr>
        <w:t xml:space="preserve">: </w:t>
      </w:r>
      <w:r>
        <w:rPr>
          <w:lang w:val="en-US"/>
        </w:rPr>
      </w:r>
      <w:r>
        <w:rPr>
          <w:lang w:val="en-US"/>
        </w:rPr>
        <w:t xml:space="preserve">Асфальтобетон</w:t>
      </w:r>
      <w:r>
        <w:rPr>
          <w:lang w:val="en-US"/>
        </w:rPr>
      </w:r>
      <w:r>
        <w:rPr>
          <w:lang w:val="ru-RU"/>
        </w:rPr>
        <w:t xml:space="preserve">, </w:t>
      </w:r>
      <w:r>
        <w:rPr>
          <w:lang w:val="ru-RU"/>
        </w:rPr>
      </w:r>
      <w:r>
        <w:rPr>
          <w:lang w:val="ru-RU"/>
        </w:rPr>
        <w:t xml:space="preserve">РезиноваяКрошка</w:t>
      </w:r>
      <w:r>
        <w:rPr>
          <w:lang w:val="ru-RU"/>
        </w:rPr>
      </w:r>
      <w:r>
        <w:rPr>
          <w:lang w:val="ru-RU"/>
        </w:rPr>
        <w:t xml:space="preserve">, </w:t>
      </w:r>
      <w:r>
        <w:rPr>
          <w:lang w:val="ru-RU"/>
        </w:rPr>
      </w:r>
      <w:r>
        <w:rPr>
          <w:lang w:val="ru-RU"/>
        </w:rPr>
        <w:t xml:space="preserve">ПВХНастил</w:t>
      </w:r>
      <w:r>
        <w:rPr>
          <w:lang w:val="ru-RU"/>
        </w:rPr>
        <w:t xml:space="preserve">, </w:t>
      </w:r>
      <w:r>
        <w:rPr>
          <w:lang w:val="ru-RU"/>
        </w:rPr>
        <w:t xml:space="preserve">Грунт</w:t>
      </w:r>
      <w:r>
        <w:rPr>
          <w:lang w:val="ru-RU"/>
        </w:rPr>
      </w:r>
      <w:r>
        <w:t xml:space="preserve">)</w:t>
      </w:r>
      <w:r/>
      <w:r>
        <w:t xml:space="preserve"> и «СпособыОплаты» </w:t>
      </w:r>
      <w:r/>
      <w:r>
        <w:t xml:space="preserve">(Значения</w:t>
      </w:r>
      <w:r>
        <w:rPr>
          <w:lang w:val="en-US"/>
        </w:rPr>
        <w:t xml:space="preserve">: </w:t>
      </w:r>
      <w:r>
        <w:rPr>
          <w:lang w:val="en-US"/>
        </w:rPr>
      </w:r>
      <w:r>
        <w:rPr>
          <w:lang w:val="en-US"/>
        </w:rPr>
        <w:t xml:space="preserve">Наличная</w:t>
      </w:r>
      <w:r>
        <w:rPr>
          <w:lang w:val="en-US"/>
        </w:rPr>
      </w:r>
      <w:r>
        <w:rPr>
          <w:lang w:val="ru-RU"/>
        </w:rPr>
        <w:t xml:space="preserve">, </w:t>
      </w:r>
      <w:r>
        <w:rPr>
          <w:lang w:val="ru-RU"/>
        </w:rPr>
      </w:r>
      <w:r>
        <w:rPr>
          <w:lang w:val="ru-RU"/>
        </w:rPr>
        <w:t xml:space="preserve">Карта</w:t>
      </w:r>
      <w:r>
        <w:rPr>
          <w:lang w:val="ru-RU"/>
        </w:rPr>
      </w:r>
      <w:r>
        <w:t xml:space="preserve">)</w:t>
      </w:r>
      <w:r/>
      <w:r>
        <w:t xml:space="preserve">. Включение перечислений в реквизитный состав соответствующих объектов обеспечивает строгую типизацию данных</w:t>
      </w:r>
      <w:r>
        <w:t xml:space="preserve">. </w:t>
      </w:r>
      <w:r/>
    </w:p>
    <w:p w14:paraId="5F364069" w14:textId="77777777">
      <w:pPr>
        <w:pBdr/>
        <w:spacing/>
        <w:ind/>
        <w:rPr/>
      </w:pPr>
      <w:r/>
      <w:r/>
    </w:p>
    <w:p w14:paraId="69D1B6AA" w14:textId="207963ED">
      <w:pPr>
        <w:pStyle w:val="882"/>
        <w:pBdr/>
        <w:spacing/>
        <w:ind/>
        <w:rPr>
          <w:sz w:val="24"/>
        </w:rPr>
      </w:pPr>
      <w:r/>
      <w:r>
        <w:t xml:space="preserve">2.2. </w:t>
      </w:r>
      <w:r>
        <w:t xml:space="preserve">Разработка подсистемы приема и обработки заявок на участие</w:t>
      </w:r>
      <w:r>
        <w:rPr>
          <w:sz w:val="24"/>
        </w:rPr>
      </w:r>
      <w:r>
        <w:rPr>
          <w:sz w:val="24"/>
        </w:rPr>
      </w:r>
    </w:p>
    <w:p w14:paraId="24417DE9" w14:textId="3F51EBF0">
      <w:pPr>
        <w:pBdr/>
        <w:spacing/>
        <w:ind/>
        <w:rPr/>
      </w:pPr>
      <w:r/>
      <w:r/>
    </w:p>
    <w:p w14:paraId="44D53054" w14:textId="0C6A0160">
      <w:pPr>
        <w:pBdr/>
        <w:spacing/>
        <w:ind/>
        <w:rPr/>
      </w:pPr>
      <w:r>
        <w:t xml:space="preserve">Центральным элементом разрабатываемой информационной системы, связывающим во</w:t>
      </w:r>
      <w:r>
        <w:t xml:space="preserve">едино данные об участниках, автомобилях и мероприятиях, является подсистема приема и обработки заявок. Именно через нее реализуется основной бизнес-процесс регистрации пилота на конкретное событие. В рамках данной подсистемы был спроектирован документ «Зая</w:t>
      </w:r>
      <w:r>
        <w:t xml:space="preserve">вкаНаУчастие», в который заложены механизмы, обеспечивающие не только фиксацию факта регистрации, но и автоматический контроль вводимых данных, предотвращение конфликтных ситуаций, а также расчет стоимости участия с учетом истории взаимодействия с пилотом.</w:t>
      </w:r>
      <w:r/>
    </w:p>
    <w:p w14:paraId="59C3852F" w14:textId="411FC52E">
      <w:pPr>
        <w:pBdr/>
        <w:spacing/>
        <w:ind/>
        <w:rPr>
          <w:highlight w:val="none"/>
        </w:rPr>
      </w:pPr>
      <w:r>
        <w:t xml:space="preserve">Документ «ЗаявкаНаУчастие» обладает развитой структурой реквизитов, позволяющей однозначно идентифицировать все ключевые параметры регистрации. В его состав входят реквизиты, определяющие </w:t>
      </w:r>
      <w:r>
        <w:t xml:space="preserve">временные рамки мероприятия</w:t>
      </w:r>
      <w:r>
        <w:t xml:space="preserve">: «</w:t>
      </w:r>
      <w:r>
        <w:t xml:space="preserve">ДатаНачалаМероприятия» (дата) и «ДатаОкончанияМероприятия» (дата), идентифицирующие организатора события</w:t>
      </w:r>
      <w:r>
        <w:t xml:space="preserve">: </w:t>
      </w:r>
      <w:r>
        <w:t xml:space="preserve">«Организатор» </w:t>
      </w:r>
      <w:r>
        <w:t xml:space="preserve">-</w:t>
      </w:r>
      <w:r>
        <w:t xml:space="preserve"> ссылка на одноименный справочник, «Участник»</w:t>
      </w:r>
      <w:r>
        <w:t xml:space="preserve">: </w:t>
      </w:r>
      <w:r>
        <w:t xml:space="preserve">ссылка на справочник «Участники», «Автомобиль»</w:t>
      </w:r>
      <w:r>
        <w:t xml:space="preserve">: </w:t>
      </w:r>
      <w:r>
        <w:t xml:space="preserve">ссылка на справочник «Автомобиль», «КлассГонки»</w:t>
      </w:r>
      <w:r>
        <w:t xml:space="preserve">:</w:t>
      </w:r>
      <w:r>
        <w:t xml:space="preserve"> </w:t>
      </w:r>
      <w:r>
        <w:t xml:space="preserve">ссылка на справочник «КлассыГонок» и «НомерАвтомобиля»</w:t>
      </w:r>
      <w:r>
        <w:t xml:space="preserve">: </w:t>
      </w:r>
      <w:r>
        <w:t xml:space="preserve">числовое поле, предназначенное для отображения стартового номера. Финансовая составляющая заявки представлена реквизитом «СуммаКОплате», значение которого формируется автоматически. Структура данного документа представлена на рисунке 2.6.</w:t>
      </w:r>
      <w:r/>
    </w:p>
    <w:p w14:paraId="5838B69E">
      <w:pPr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25431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6679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000375" cy="2543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36.25pt;height:200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4C1486F">
      <w:pPr>
        <w:pBdr/>
        <w:spacing/>
        <w:ind w:right="0" w:firstLine="0" w:left="0"/>
        <w:jc w:val="center"/>
        <w:rPr/>
      </w:pPr>
      <w:r>
        <w:rPr>
          <w:highlight w:val="none"/>
        </w:rPr>
      </w:r>
      <w:r>
        <w:t xml:space="preserve">Рисунок 2.6. Структура документа ЗаявкаНаУчастие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E06F22" w14:textId="6E5DE2FE">
      <w:pPr>
        <w:pBdr/>
        <w:spacing/>
        <w:ind/>
        <w:rPr/>
      </w:pPr>
      <w:r>
        <w:t xml:space="preserve">Одной из ключевых задач при разработке подсистемы </w:t>
      </w:r>
      <w:r>
        <w:t xml:space="preserve">являлось</w:t>
      </w:r>
      <w:r>
        <w:t xml:space="preserve"> обеспечение невозможности регистрации одного и того же автомобиля или одного и того же пилота на</w:t>
      </w:r>
      <w:r>
        <w:t xml:space="preserve"> два разных мероприятия, проводимых в пересекающиеся временные интервалы. Для решения этой задачи была разработана функция «ПроверитьКонфликтЗаявок», размещенная в модуле менеджера документа. Функция выполняет две последовательные проверки с использованием</w:t>
      </w:r>
      <w:r>
        <w:t xml:space="preserve"> встроенного языка запросов. Первая проверка анализирует наличие других заявок, в которых фигурирует тот же автомобиль. Условие запроса отбирает документы, у которых ссылка на автомобиль совпадает с проверяемой, при этом проверяемый документ исключается из</w:t>
      </w:r>
      <w:r>
        <w:t xml:space="preserve"> выборки, а интервал дат мероприятия пересекается с интервалом дат текущей заявки. Логика пересечения реализована классическим способом: дата начала существующей заявки должна быть меньше или равна дате окончания проверяемой, а дата окончания существующей </w:t>
      </w:r>
      <w:r>
        <w:t xml:space="preserve">-</w:t>
      </w:r>
      <w:r>
        <w:t xml:space="preserve"> больше или равна дате начала проверяемой. Вторая проверка выполняется по аналогичному принципу, но для реквизита «Участник». Если хотя бы одна из проверок возвращает непустой результат, функция </w:t>
      </w:r>
      <w:r>
        <w:t xml:space="preserve">отправляет</w:t>
      </w:r>
      <w:r>
        <w:t xml:space="preserve"> информативное сообщение об ошибке с указанием конкретной причины и возвращает значение «Ложь». </w:t>
      </w:r>
      <w:r>
        <w:t xml:space="preserve">Реализация данной функции показана на рисунке 2.7.</w:t>
      </w:r>
      <w:r/>
    </w:p>
    <w:p w14:paraId="451590FB" w14:textId="4691005B"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64635"/>
                <wp:effectExtent l="0" t="0" r="3175" b="0"/>
                <wp:docPr id="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4064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20.0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43C78B0F" w14:textId="2B0F94A5">
      <w:pPr>
        <w:pBdr/>
        <w:spacing/>
        <w:ind w:firstLine="0"/>
        <w:jc w:val="center"/>
        <w:rPr/>
      </w:pPr>
      <w:r>
        <w:t xml:space="preserve">Рисунок 2.</w:t>
      </w:r>
      <w:r>
        <w:t xml:space="preserve">7. </w:t>
      </w:r>
      <w:r>
        <w:t xml:space="preserve">Функция для проверки на пересечение дат</w:t>
      </w:r>
      <w:r/>
    </w:p>
    <w:p w14:paraId="3E228E1B" w14:textId="383D23C4">
      <w:pPr>
        <w:pBdr/>
        <w:spacing/>
        <w:ind/>
        <w:rPr/>
      </w:pPr>
      <w:r>
        <w:t xml:space="preserve">Вызов данной функции интегрирован</w:t>
      </w:r>
      <w:r>
        <w:t xml:space="preserve"> в обработчик события «ПередЗаписью» модуля объекта документа. В случае возврата значения «Ложь» параметр «Отказ» устанавливается в «Истина», что приводит к блокировке сохранения документа и информированию пользователя о невозможности выполнения операции. </w:t>
      </w:r>
      <w:r>
        <w:t xml:space="preserve">Обработчик события перед записью показан на рисунке 2.8.</w:t>
      </w:r>
      <w:r/>
    </w:p>
    <w:p w14:paraId="1229ACCC" w14:textId="354F2436"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42315"/>
                <wp:effectExtent l="0" t="0" r="3175" b="635"/>
                <wp:docPr id="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5" cy="742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58.4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 w14:paraId="382D06E1" w14:textId="4E237B8C">
      <w:pPr>
        <w:pBdr/>
        <w:spacing/>
        <w:ind w:firstLine="0"/>
        <w:jc w:val="center"/>
        <w:rPr/>
      </w:pPr>
      <w:r>
        <w:t xml:space="preserve">Рисунок 2.</w:t>
      </w:r>
      <w:r>
        <w:t xml:space="preserve">8. </w:t>
      </w:r>
      <w:r>
        <w:t xml:space="preserve">Обработчик события перед записью</w:t>
      </w:r>
      <w:r/>
    </w:p>
    <w:p w14:paraId="424777B6" w14:textId="7A69CD48">
      <w:pPr>
        <w:pBdr/>
        <w:spacing/>
        <w:ind/>
        <w:rPr/>
      </w:pPr>
      <w:r>
        <w:t xml:space="preserve">Для повышения удобства работы пользователя и минимизации ошибок при выборе автомобиля в форме документа была реализована динамическая фильтрация списка доступных</w:t>
      </w:r>
      <w:r>
        <w:t xml:space="preserve"> значений. В идеальной ситуации пилот может управлять несколькими автомобилями, но на конкретную гонку он заявляется в определенном классе, следовательно, автомобиль должен не только принадлежать этому пилоту, но и соответствовать выбранному классу гонки. </w:t>
      </w:r>
      <w:r>
        <w:t xml:space="preserve">Для реализации данной логики используется механизм па</w:t>
      </w:r>
      <w:r>
        <w:t xml:space="preserve">раметров выбора, управляемый через клиент-серверное взаимодействие. При изменении значений в полях «Участник» или «КлассГонки» на клиенте срабатывают соответствующие обработчики событий, которые вызывают процедуру «ОбновитьСписокАвтомобилей». Эта процедура</w:t>
      </w:r>
      <w:r>
        <w:t xml:space="preserve"> </w:t>
      </w:r>
      <w:r>
        <w:t xml:space="preserve">обращается к серверному методу «УстановитьФильтрАвтомобилейНаСервере», где формируется массив параметров выбора. В массив добавляются параметры «Отбор.Пилот» и «Отбор.Класс» со значениями, равными выбранным в документе участнику и классу гонк</w:t>
      </w:r>
      <w:r>
        <w:t xml:space="preserve">и. Полученный фиксированный массив присваивается свойству «ПараметрыВыбора» элемента формы «Автомобиль». В результате при открытии списка выбора автомобилей пользователю будут показаны только те записи справочника, которые удовлетворяют заданным условиям. </w:t>
      </w:r>
      <w:r>
        <w:t xml:space="preserve">П</w:t>
      </w:r>
      <w:r>
        <w:t xml:space="preserve">роцедура «ОбновитьСписокАвтомобилей» включает дополнительную проверку на сервере: если автомобиль уже был выбран, но после смены участника или класса он перестал соответствовать критериям отбора, его значение сбрасывается.</w:t>
      </w:r>
      <w:r>
        <w:t xml:space="preserve"> Логика отображения только удовлетворяющих всем условиям автомобилей представлена на рисунке 2.9.</w:t>
      </w:r>
      <w:r/>
    </w:p>
    <w:p w14:paraId="394FAC15" w14:textId="255F6F39"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9480" cy="3697950"/>
                <wp:effectExtent l="0" t="0" r="7620" b="0"/>
                <wp:docPr id="10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472628" cy="3712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72.40pt;height:291.1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593AB299" w14:textId="148746F4">
      <w:pPr>
        <w:pBdr/>
        <w:spacing/>
        <w:ind w:firstLine="0"/>
        <w:jc w:val="center"/>
        <w:rPr/>
      </w:pPr>
      <w:r>
        <w:t xml:space="preserve">Рисунок 2.</w:t>
      </w:r>
      <w:r>
        <w:t xml:space="preserve">9. </w:t>
      </w:r>
      <w:r>
        <w:t xml:space="preserve">Отображение только нужных автомобилей</w:t>
      </w:r>
      <w:r/>
    </w:p>
    <w:p w14:paraId="41EA64AA" w14:textId="51F413B1">
      <w:pPr>
        <w:pBdr/>
        <w:spacing/>
        <w:ind/>
        <w:rPr/>
      </w:pPr>
      <w:r>
        <w:t xml:space="preserve">Завершающим элементом подсистемы приема з</w:t>
      </w:r>
      <w:r>
        <w:t xml:space="preserve">аявок является модуль автоматизированного расчета стоимости участия с учетом фактора лояльности. Для этого в справочник «КлассыГонок» был добавлен числовой реквизит «Стоимость», хранящий базовую цену участия для данного класса. Основная логика расчета соср</w:t>
      </w:r>
      <w:r>
        <w:t xml:space="preserve">едоточена в серверной функции «ПолучитьСтоимостьУчастияНаСервере». Функция принимает на вход ссылки на участника, класс гонки и, опционально, ссылку на текущий документ для исключения его самого из подсчета статистики. Первым шагом из справочника «КлассыГо</w:t>
      </w:r>
      <w:r>
        <w:t xml:space="preserve">нок» извлекается значение базовой стоимости. Далее выполняется запрос к проведенным документам «ЗаявкаНаУчастие», в котором подсчитывается количество заявок, зарегистрированных на данного участника ранее. Если количество таких заявок больше нуля, к базовой</w:t>
      </w:r>
      <w:r>
        <w:t xml:space="preserve"> стоимости применяется понижающий коэффициент 0,9, что соответствует скидке в 10% для повторных участников. Итоговая сумма округляется до целого числа с помощью функции «Окр». Вызов расчета инициируется нажатием кнопки «Заполнить сумму» в форме документа, </w:t>
      </w:r>
      <w:r>
        <w:t xml:space="preserve">после чего клиентская процедура «РассчитатьСтоимость» проверяет заполненность обязательных полей и вызывает серверную процедуру «РассчитатьИЗаполнитьСуммуНаСервере», которая присваивает вычисленное значение реквизиту «СуммаКОплате». Реализованный механизм </w:t>
      </w:r>
      <w:r>
        <w:t xml:space="preserve">представлен на рисунке 2.10.</w:t>
      </w:r>
      <w:r/>
    </w:p>
    <w:p w14:paraId="1BA44651" w14:textId="762E71D9"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82385"/>
                <wp:effectExtent l="0" t="0" r="3175" b="0"/>
                <wp:docPr id="1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5" cy="6382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502.5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6ED27D0D" w14:textId="1DF97B0D">
      <w:pPr>
        <w:pBdr/>
        <w:spacing/>
        <w:ind w:firstLine="0"/>
        <w:jc w:val="center"/>
        <w:rPr/>
      </w:pPr>
      <w:r>
        <w:t xml:space="preserve">Рисунок 2.</w:t>
      </w:r>
      <w:r>
        <w:t xml:space="preserve">10. </w:t>
      </w:r>
      <w:r>
        <w:t xml:space="preserve">Автоматическое вычисление суммы взноса за участие</w:t>
      </w:r>
      <w:r/>
    </w:p>
    <w:p w14:paraId="06F276FF" w14:textId="77777777">
      <w:pPr>
        <w:pBdr/>
        <w:spacing/>
        <w:ind w:firstLine="0"/>
        <w:jc w:val="center"/>
        <w:rPr/>
      </w:pPr>
      <w:r/>
      <w:r/>
    </w:p>
    <w:p w14:paraId="086065B0" w14:textId="1B2BBE64">
      <w:pPr>
        <w:pStyle w:val="882"/>
        <w:pBdr/>
        <w:spacing/>
        <w:ind/>
        <w:rPr/>
      </w:pPr>
      <w:r/>
      <w:bookmarkStart w:id="10" w:name="_Toc227525006"/>
      <w:r>
        <w:rPr>
          <w:rStyle w:val="892"/>
          <w:b w:val="0"/>
          <w:bCs w:val="0"/>
        </w:rPr>
        <w:t xml:space="preserve">2.3. Учет спортивных результатов и применение штрафных санкций</w:t>
      </w:r>
      <w:bookmarkEnd w:id="10"/>
      <w:r/>
      <w:r/>
    </w:p>
    <w:p w14:paraId="24B9C0A8" w14:textId="77777777">
      <w:pPr>
        <w:pBdr/>
        <w:spacing/>
        <w:ind/>
        <w:rPr/>
      </w:pPr>
      <w:r/>
      <w:r/>
    </w:p>
    <w:p w14:paraId="6BCC3AFF" w14:textId="49F70C71">
      <w:pPr>
        <w:pBdr/>
        <w:spacing/>
        <w:ind/>
        <w:rPr/>
      </w:pPr>
      <w:r>
        <w:t xml:space="preserve">Одним из ключевых этапов проведения автоспортивного мероприятия является фиксация с</w:t>
      </w:r>
      <w:r>
        <w:t xml:space="preserve">портивных результатов, достигнутых участниками в ходе заездов. Помимо объективных показателей времени прохождения круга, значительное влияние на итоговый результат оказывает дисциплина пилотов на трассе, выражающаяся в количестве допущенных нарушений. Для </w:t>
      </w:r>
      <w:r>
        <w:t xml:space="preserve">автоматизации данного процесса в разрабатываемой конфигурации был </w:t>
      </w:r>
      <w:r>
        <w:t xml:space="preserve">создан</w:t>
      </w:r>
      <w:r>
        <w:t xml:space="preserve"> документ «РезультатыЗаезда», который агрегирует данные о времени прохождения кругов и позволяет в автоматизированном режиме рассчитывать итоговое время каждого участника с учетом наложенных штрафных санкций.</w:t>
      </w:r>
      <w:r/>
    </w:p>
    <w:p w14:paraId="25A5148F" w14:textId="191ACFB6">
      <w:pPr>
        <w:pBdr/>
        <w:spacing/>
        <w:ind/>
        <w:rPr>
          <w:highlight w:val="none"/>
        </w:rPr>
      </w:pPr>
      <w:r>
        <w:t xml:space="preserve">Документ «РезультатыЗаезда» имеет двухуровневую структуру, в</w:t>
      </w:r>
      <w:r>
        <w:t xml:space="preserve">ключающую шапку и табличную часть. В шапке документа размещены реквизиты, определяющие общие условия заезда: «Трасса» (</w:t>
      </w:r>
      <w:r>
        <w:t xml:space="preserve">СправочникСсылка.Трассы</w:t>
      </w:r>
      <w:r>
        <w:t xml:space="preserve">) и «ДатаЗаезда» (дата). Данные реквизиты позволяют идентифицировать событие, к которому относятся фиксируемые результаты, и в дальнейше</w:t>
      </w:r>
      <w:r>
        <w:t xml:space="preserve">м использовать их для аналитической отчетности. Основным информационным блоком документа является табличная часть, каждая строка которой соответствует отдельному участнику, подавшему заявку на данное мероприятие. Структура табличной части в</w:t>
      </w:r>
      <w:r>
        <w:t xml:space="preserve">ключает следующие реквизиты: «Заявка» (</w:t>
      </w:r>
      <w:r>
        <w:t xml:space="preserve">ДокументСсылка.ЗаявкаНаУчастие</w:t>
      </w:r>
      <w:r>
        <w:t xml:space="preserve">), «ОбщееВремяКругаСек» (число), «ЛучшееВремяКругаСек» (число), «КоличествоНарушений» (число) и «ИтоговоеВремяСек» (число). Структура данного документа показана на рисунке 2.11.</w:t>
      </w:r>
      <w:r/>
    </w:p>
    <w:p w14:paraId="155D3864">
      <w:pPr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05125" cy="28003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9029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905124" cy="2800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28.75pt;height:220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27F39FB">
      <w:pPr>
        <w:pBdr/>
        <w:spacing/>
        <w:ind w:right="0" w:firstLine="0" w:left="0"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t xml:space="preserve">Рисунок 2.</w:t>
      </w:r>
      <w:r>
        <w:t xml:space="preserve">11. </w:t>
      </w:r>
      <w:r>
        <w:t xml:space="preserve">Структура документа РезультатыЗаезда</w:t>
      </w:r>
      <w:r>
        <w:rPr>
          <w:highlight w:val="none"/>
        </w:rPr>
      </w:r>
    </w:p>
    <w:p w14:paraId="7E71C110" w14:textId="3B103D5D">
      <w:pPr>
        <w:pBdr/>
        <w:spacing/>
        <w:ind/>
        <w:rPr/>
      </w:pPr>
      <w:r>
        <w:t xml:space="preserve">Центральным элементом бизнес-логики документа является алгоритм расчета итогового времени с учетом штрафных санкций,</w:t>
      </w:r>
      <w:r>
        <w:t xml:space="preserve"> реализованный в серверной процедуре «ОбработатьШтрафыНаСервере», размещенной в модуле формы документа. Алгоритм исходит из следующего спортивного регламента: за каждые полные три зафиксированных нарушения к общему времени прохождения дистанции добавляется</w:t>
      </w:r>
      <w:r>
        <w:t xml:space="preserve"> пять штрафных секунд. Реализация данной логики осуществляется путем последовательного обхода всех строк табличной части в цикле. Для каждой строки считывается текущее значение реквизита «КоличествоНарушений», после чего организуется внутренний цикл, в кот</w:t>
      </w:r>
      <w:r>
        <w:t xml:space="preserve">ором переменная-счетчик нарушений уменьшается на три до тех пор, пока ее значение остается больше либо равным трем. При каждой итерации внутреннего цикла к переменной-аккумулятору штрафного времени прибавляется пять секунд. По завершении внутреннего цикла </w:t>
      </w:r>
      <w:r>
        <w:t xml:space="preserve">итоговое время участника вычисляется как су</w:t>
      </w:r>
      <w:r>
        <w:t xml:space="preserve">мма значений реквизита «ОбщееВремяКругаСек» и накопленного штрафного времени, после чего результат присваивается реквизиту «ИтоговоеВремяСек». Инициирование процедуры расчета происходит по команде пользователя: при нажатии на кнопку «ПрименитьШтрафы» в фор</w:t>
      </w:r>
      <w:r>
        <w:t xml:space="preserve">ме документа вызывается клиентская процедура, которая, в свою очередь, отправляет запрос на сервер для выполнения описанной обработки. По завершении серверных вычислений табличная часть на форме обновляется, отображая актуальные значения итогового времени.</w:t>
      </w:r>
      <w:r>
        <w:t xml:space="preserve"> Данная процедура представлена на рисунке </w:t>
      </w:r>
      <w:r>
        <w:t xml:space="preserve">2.12.</w:t>
      </w:r>
      <w:r/>
    </w:p>
    <w:p w14:paraId="790EFBC3" w14:textId="26FCBE55"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62400" cy="2998378"/>
                <wp:effectExtent l="0" t="0" r="0" b="0"/>
                <wp:docPr id="13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968516" cy="3003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12.00pt;height:236.0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491E90BB" w14:textId="43DBD95A">
      <w:pPr>
        <w:pBdr/>
        <w:spacing/>
        <w:ind w:firstLine="0"/>
        <w:jc w:val="center"/>
        <w:rPr/>
      </w:pPr>
      <w:r>
        <w:t xml:space="preserve">Рисунок 2.</w:t>
      </w:r>
      <w:r>
        <w:t xml:space="preserve">12. Автоматическое вычисление </w:t>
      </w:r>
      <w:r>
        <w:t xml:space="preserve">итогового времения</w:t>
      </w:r>
      <w:r/>
      <w:r/>
      <w:r/>
      <w:r/>
    </w:p>
    <w:p w14:paraId="3C96A77D" w14:textId="6E43BD99">
      <w:pPr>
        <w:pStyle w:val="882"/>
        <w:pBdr/>
        <w:spacing/>
        <w:ind/>
        <w:rPr>
          <w:sz w:val="24"/>
        </w:rPr>
      </w:pPr>
      <w:r/>
      <w:bookmarkStart w:id="11" w:name="_Toc227525007"/>
      <w:r>
        <w:t xml:space="preserve">2.4. Документирование финансовых операций</w:t>
      </w:r>
      <w:bookmarkEnd w:id="11"/>
      <w:r>
        <w:rPr>
          <w:sz w:val="24"/>
        </w:rPr>
      </w:r>
      <w:r>
        <w:rPr>
          <w:sz w:val="24"/>
        </w:rPr>
      </w:r>
    </w:p>
    <w:p w14:paraId="6D90A06D" w14:textId="7AA429EB">
      <w:pPr>
        <w:pBdr/>
        <w:spacing/>
        <w:ind/>
        <w:rPr/>
      </w:pPr>
      <w:r/>
      <w:r/>
    </w:p>
    <w:p w14:paraId="06E90F77" w14:textId="7FC0B514">
      <w:pPr>
        <w:pBdr/>
        <w:spacing/>
        <w:ind/>
        <w:rPr>
          <w:highlight w:val="none"/>
        </w:rPr>
      </w:pPr>
      <w:r>
        <w:t xml:space="preserve">Д</w:t>
      </w:r>
      <w:r>
        <w:t xml:space="preserve">ля регистрации факта оплаты участия в мероприятии </w:t>
      </w:r>
      <w:r>
        <w:t xml:space="preserve">создан </w:t>
      </w:r>
      <w:r>
        <w:t xml:space="preserve">документ «ОплатаУчастия», который фиксирует первичные данные о платеже</w:t>
      </w:r>
      <w:r>
        <w:t xml:space="preserve">. </w:t>
      </w:r>
      <w:r>
        <w:t xml:space="preserve">Центральным связующим звеном</w:t>
      </w:r>
      <w:r>
        <w:t xml:space="preserve"> реквизитной структуры документа</w:t>
      </w:r>
      <w:r>
        <w:t xml:space="preserve"> является реквизит «Зая</w:t>
      </w:r>
      <w:r>
        <w:t xml:space="preserve">вка», имеющий тип «ДокументСсылка.ЗаявкаНаУчастие». Данный реквизит устанавливает прямую связь между поступившей оплатой и конкретной регистрационной записью участника на мероприятие, что позволяет однозначно идентифицировать назначение платежа и избежать </w:t>
      </w:r>
      <w:r>
        <w:t xml:space="preserve">неоднозначности при отнесении денежных средств. Суммовой показатель представлен реквизитом «СуммаОплаты» (число), который фиксирует фактически получен</w:t>
      </w:r>
      <w:r>
        <w:t xml:space="preserve">ную от участника денежную сумму. Для временной привязки операции служит реквизит «ДатаОплаты» (дата), значение которого определяет момент совершения платежа. Завершает состав реквизитов поле «СпособОплаты», тип которого соответствует перечислению «СпособыОплаты».</w:t>
      </w:r>
      <w:r>
        <w:t xml:space="preserve"> </w:t>
      </w:r>
      <w:r>
        <w:t xml:space="preserve">Основное назначение документа «ОплатаУчастия» заключается в регистрации факта поступления денежных средств от участника в счет погашения обязательства, возникшего на основании документа «ЗаявкаНаУчастие». Структура данного документа представлена на рисунке 2.13.</w:t>
      </w:r>
      <w:r/>
    </w:p>
    <w:p w14:paraId="58123BDA">
      <w:pPr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05025" cy="14954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1275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2105024" cy="1495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65.75pt;height:117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E5471E3">
      <w:pPr>
        <w:pBdr/>
        <w:spacing/>
        <w:ind w:right="0" w:firstLine="0" w:left="0"/>
        <w:jc w:val="center"/>
        <w:rPr/>
      </w:pPr>
      <w:r>
        <w:rPr>
          <w:highlight w:val="none"/>
        </w:rPr>
      </w:r>
      <w:r>
        <w:t xml:space="preserve">Рисунок 2.</w:t>
      </w:r>
      <w:r>
        <w:t xml:space="preserve">1</w:t>
      </w:r>
      <w:r>
        <w:rPr>
          <w:lang w:val="en-US"/>
        </w:rPr>
        <w:t xml:space="preserve">3</w:t>
      </w:r>
      <w:r>
        <w:t xml:space="preserve">. </w:t>
      </w:r>
      <w:r>
        <w:rPr>
          <w:lang w:val="ru-RU"/>
        </w:rPr>
        <w:t xml:space="preserve">Структура документа ОплатаУчастия</w:t>
      </w:r>
      <w:r>
        <w:rPr>
          <w:highlight w:val="none"/>
        </w:rPr>
      </w:r>
    </w:p>
    <w:p w14:paraId="2DAD8B54">
      <w:pPr>
        <w:pBdr/>
        <w:spacing/>
        <w:ind/>
        <w:rPr/>
      </w:pPr>
      <w:r/>
      <w:r/>
      <w:r/>
    </w:p>
    <w:p w14:paraId="1EEFB6A8" w14:textId="6D3EFE34">
      <w:pPr>
        <w:pBdr/>
        <w:spacing/>
        <w:ind/>
        <w:rPr/>
      </w:pPr>
      <w:r/>
      <w:r/>
    </w:p>
    <w:p w14:paraId="24AB136B" w14:textId="65A12AC5">
      <w:pPr>
        <w:pStyle w:val="882"/>
        <w:pBdr/>
        <w:spacing/>
        <w:ind/>
        <w:rPr>
          <w:rStyle w:val="892"/>
          <w:b w:val="0"/>
          <w:bCs w:val="0"/>
        </w:rPr>
      </w:pPr>
      <w:r/>
      <w:bookmarkStart w:id="12" w:name="_Toc227525008"/>
      <w:r>
        <w:rPr>
          <w:rStyle w:val="892"/>
          <w:b w:val="0"/>
          <w:bCs w:val="0"/>
        </w:rPr>
        <w:t xml:space="preserve">2.5. Разработка аналитической подсистемы: обработка «РейтингПилотовПоТрассам»</w:t>
      </w:r>
      <w:bookmarkEnd w:id="12"/>
      <w:r>
        <w:rPr>
          <w:rStyle w:val="892"/>
          <w:b w:val="0"/>
          <w:bCs w:val="0"/>
        </w:rPr>
      </w:r>
      <w:r>
        <w:rPr>
          <w:rStyle w:val="892"/>
          <w:b w:val="0"/>
          <w:bCs w:val="0"/>
        </w:rPr>
      </w:r>
    </w:p>
    <w:p w14:paraId="745DFAD9" w14:textId="546D3A90">
      <w:pPr>
        <w:pBdr/>
        <w:spacing/>
        <w:ind/>
        <w:rPr/>
      </w:pPr>
      <w:r/>
      <w:r/>
    </w:p>
    <w:p w14:paraId="7D6C7728" w14:textId="27C794C3">
      <w:pPr>
        <w:pBdr/>
        <w:spacing/>
        <w:ind/>
        <w:rPr/>
      </w:pPr>
      <w:r>
        <w:t xml:space="preserve">Руководству сервиса и самим пилотам необходима объективная информация для оценки уровня подготовки, выявления сильнейших спортсменов и отслеживания динамики результатов на различных трассах. Для решения данной задачи была создана</w:t>
      </w:r>
      <w:r>
        <w:t xml:space="preserve"> </w:t>
      </w:r>
      <w:r>
        <w:t xml:space="preserve">обработка «РейтингПилот</w:t>
      </w:r>
      <w:r>
        <w:t xml:space="preserve">овПоТрассам». Данная обработка предоставляет пользователю возможность в интерактивном режиме формировать отчет, содержащий ранжированный список пилотов с указанием их среднего времени прохождения круга в разрезе каждой трассы за выбранный временной период.</w:t>
      </w:r>
      <w:r/>
    </w:p>
    <w:p w14:paraId="2EA2D256" w14:textId="1B8E882B">
      <w:pPr>
        <w:pBdr/>
        <w:spacing/>
        <w:ind/>
        <w:rPr/>
      </w:pPr>
      <w:r>
        <w:t xml:space="preserve">Управляемая</w:t>
      </w:r>
      <w:r>
        <w:t xml:space="preserve"> форма содержит минимально необходимый набор элементов управления, обеспечивающий выполнение основной функции без перегрузки интерфейса второстепенными деталями. В верхней части формы расположены поля ввода для указания границ отчетного периода: «ДатаНач» </w:t>
      </w:r>
      <w:r>
        <w:t xml:space="preserve">и «ДатаКон», имеющие тип «Дата». Значения этих полей используются в качестве параметров запроса, ограничивающих выборку документов «РезультатыЗаезда» заданным временным интервалом. Основную площадь формы занимает элемент «ТабДок» типа «ТабличныйДокумент», </w:t>
      </w:r>
      <w:r>
        <w:t xml:space="preserve">предназначенный для вывода сформи</w:t>
      </w:r>
      <w:r>
        <w:t xml:space="preserve">рованного отчета. Инициирование процесса построения рейтинга осуществляется нажатием командной кнопки «СформироватьРейтинг», обработчик которой вызывает серверную процедуру «ПостроитьРейтингНаСервере», где и реализована вся вычислительная логика обработки.</w:t>
      </w:r>
      <w:r>
        <w:t xml:space="preserve"> Вид обработки представлен на рисунке 2.14.</w:t>
      </w:r>
      <w:r/>
    </w:p>
    <w:p w14:paraId="5387AE34" w14:textId="52C5C24E"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4954" cy="2524477"/>
                <wp:effectExtent l="0" t="0" r="0" b="0"/>
                <wp:docPr id="15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324954" cy="2524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40.55pt;height:198.7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 w14:paraId="07BC1E41" w14:textId="3C5DE3D3">
      <w:pPr>
        <w:pBdr/>
        <w:spacing/>
        <w:ind w:firstLine="0"/>
        <w:jc w:val="center"/>
        <w:rPr>
          <w:rStyle w:val="892"/>
          <w:b w:val="0"/>
          <w:bCs w:val="0"/>
        </w:rPr>
      </w:pPr>
      <w:r>
        <w:t xml:space="preserve">Рисунок 2.</w:t>
      </w:r>
      <w:r>
        <w:t xml:space="preserve">14. </w:t>
      </w:r>
      <w:r>
        <w:t xml:space="preserve">Вид окна обработки </w:t>
      </w:r>
      <w:r>
        <w:rPr>
          <w:rStyle w:val="892"/>
          <w:b w:val="0"/>
          <w:bCs w:val="0"/>
        </w:rPr>
        <w:t xml:space="preserve">«РейтингПилотовПоТрассам»</w:t>
      </w:r>
      <w:r>
        <w:rPr>
          <w:rStyle w:val="892"/>
          <w:b w:val="0"/>
          <w:bCs w:val="0"/>
        </w:rPr>
      </w:r>
      <w:r>
        <w:rPr>
          <w:rStyle w:val="892"/>
          <w:b w:val="0"/>
          <w:bCs w:val="0"/>
        </w:rPr>
      </w:r>
    </w:p>
    <w:p w14:paraId="6262ED85" w14:textId="762FA7D1">
      <w:pPr>
        <w:pBdr/>
        <w:spacing/>
        <w:ind/>
        <w:rPr/>
      </w:pPr>
      <w:r>
        <w:t xml:space="preserve">Алгоритм сбора и агрегации данных, реализованный в процедуре «ПостроитьРейтингНаСервере», представляет собой последовательность этапов, обеспечивающих извлечение первичной информации из базы данных, ее преобразование и последующую </w:t>
      </w:r>
      <w:r>
        <w:t xml:space="preserve">визуализацию. На первом этапе выполняется запрос к документам «РезультатыЗаезда» и их табличным частям. Текст запроса составлен таким образом, чтобы получить для каждой комбинации «трасса – пилот» значения лучшего времени круга, зафиксированные в строках т</w:t>
      </w:r>
      <w:r>
        <w:t xml:space="preserve">абличной части. При этом в выборку попадают только те записи, у которых дата заезда находится в пределах заданного пользователем периода, а значение реквизита «ЛучшееВремяКругаСек» строго больше нуля, что исключает из расчетов неполные или ошибочные данные</w:t>
      </w:r>
      <w:r>
        <w:t xml:space="preserve"> (Рис 2.15)</w:t>
      </w:r>
      <w:r>
        <w:t xml:space="preserve">.</w:t>
      </w:r>
      <w:r/>
    </w:p>
    <w:p w14:paraId="73C2D9FD" w14:textId="03598C7C"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96740" cy="3184640"/>
                <wp:effectExtent l="0" t="0" r="3810" b="0"/>
                <wp:docPr id="16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403547" cy="3189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46.20pt;height:250.7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 w14:paraId="1D6F27E6" w14:textId="7C0C2392">
      <w:pPr>
        <w:pBdr/>
        <w:spacing/>
        <w:ind w:firstLine="0"/>
        <w:jc w:val="center"/>
        <w:rPr/>
      </w:pPr>
      <w:r>
        <w:t xml:space="preserve">Рисунок 2.</w:t>
      </w:r>
      <w:r>
        <w:t xml:space="preserve">15. </w:t>
      </w:r>
      <w:r>
        <w:t xml:space="preserve">Запрос к документам </w:t>
      </w:r>
      <w:r>
        <w:t xml:space="preserve">«РезультатыЗаезда»</w:t>
      </w:r>
      <w:r/>
    </w:p>
    <w:p w14:paraId="78F9E479" w14:textId="683466F8">
      <w:pPr>
        <w:pBdr/>
        <w:spacing/>
        <w:ind/>
        <w:rPr/>
      </w:pPr>
      <w:r>
        <w:t xml:space="preserve"> Для последующей агрегации используется структура </w:t>
      </w:r>
      <w:r>
        <w:t xml:space="preserve">данных «Соответствие», в которой ключом выступает строковый идентификатор, образованный конкатенацией уникальных идентификаторов трассы и пилота. Значением для каждого ключа является вложенная структура, содержащая ссылки на трассу и пилота, их наименовани</w:t>
      </w:r>
      <w:r>
        <w:t xml:space="preserve">я для отображения в отчете, а также аккумулируемые показатели: сумма лучших времен и количество заездов. В цикле обхода выборки запроса происходит либо создание новой записи в соответствии, либо обновление существующей путем увеличения накопленных значений</w:t>
      </w:r>
      <w:r>
        <w:t xml:space="preserve"> (</w:t>
      </w:r>
      <w:r>
        <w:t xml:space="preserve">Рис. 2.16</w:t>
      </w:r>
      <w:r>
        <w:t xml:space="preserve">)</w:t>
      </w:r>
      <w:r>
        <w:t xml:space="preserve">.</w:t>
      </w:r>
      <w:r/>
    </w:p>
    <w:p w14:paraId="3D5F2783" w14:textId="34293AFB"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0849" cy="3077004"/>
                <wp:effectExtent l="0" t="0" r="0" b="9525"/>
                <wp:docPr id="17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010849" cy="3077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94.56pt;height:242.28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 w14:paraId="2CC86D87" w14:textId="2EC39B2E">
      <w:pPr>
        <w:pBdr/>
        <w:spacing/>
        <w:ind w:firstLine="0"/>
        <w:jc w:val="center"/>
        <w:rPr/>
      </w:pPr>
      <w:r>
        <w:t xml:space="preserve">Рисунок 2.</w:t>
      </w:r>
      <w:r>
        <w:t xml:space="preserve">16. </w:t>
      </w:r>
      <w:r>
        <w:t xml:space="preserve">Создание Соответствия ДанныеПоПилотам</w:t>
      </w:r>
      <w:r/>
    </w:p>
    <w:p w14:paraId="212504B6" w14:textId="21C853AE">
      <w:pPr>
        <w:pBdr/>
        <w:spacing/>
        <w:ind/>
        <w:rPr/>
      </w:pPr>
      <w:r>
        <w:t xml:space="preserve">После завершения этапа накопления исходных данных выполняется их преобразование в формат, пригодный для построения рейтинга. Для этого организуется еще одно соответствие «ДанныеПоТрассам», в котором ключом является ссылка на трассу, а значением </w:t>
      </w:r>
      <w:r>
        <w:t xml:space="preserve">-</w:t>
      </w:r>
      <w:r>
        <w:t xml:space="preserve"> массив, в который будут помещены структуры с информацией о пилотах,</w:t>
      </w:r>
      <w:r>
        <w:t xml:space="preserve"> выступавших на данной трассе. При формировании структур для каждого пилота производится вычисление среднего арифметического времени прохождения круга путем деления накопленной суммы лучших времен на количество заездов. Полученное значение округляется до т</w:t>
      </w:r>
      <w:r>
        <w:t xml:space="preserve">рех знаков после запятой с помощью функции «Окр». Далее для каждой трассы выполняется сортировка массива пилотов по возрастанию вычисленного среднего времени. Сортировка реализована программно с использованием классического алгоритма пузырьковой сортировки</w:t>
      </w:r>
      <w:r>
        <w:t xml:space="preserve">.</w:t>
      </w:r>
      <w:r>
        <w:t xml:space="preserve"> Пилоты с наименьшим средним временем занимают в рейтинге более высокие позиции, что соответствует общепринятой в автоспорте логике ранжирования</w:t>
      </w:r>
      <w:r>
        <w:t xml:space="preserve"> (</w:t>
      </w:r>
      <w:r>
        <w:t xml:space="preserve">Рис. 2.17</w:t>
      </w:r>
      <w:r>
        <w:t xml:space="preserve">)</w:t>
      </w:r>
      <w:r>
        <w:t xml:space="preserve">.</w:t>
      </w:r>
      <w:r/>
    </w:p>
    <w:p w14:paraId="3EC7A116" w14:textId="07A646A7">
      <w:pPr>
        <w:pBdr/>
        <w:spacing/>
        <w:ind w:firstLine="0"/>
        <w:jc w:val="center"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29100" cy="4229100"/>
                <wp:effectExtent l="0" t="0" r="0" b="0"/>
                <wp:docPr id="18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229100" cy="422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33.00pt;height:333.0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 w14:paraId="03089EAF" w14:textId="54065BFF">
      <w:pPr>
        <w:pBdr/>
        <w:spacing/>
        <w:ind w:firstLine="0"/>
        <w:jc w:val="center"/>
        <w:rPr/>
      </w:pPr>
      <w:r>
        <w:t xml:space="preserve">Рисунок 2.</w:t>
      </w:r>
      <w:r>
        <w:t xml:space="preserve">17. Создание Соответствия ДанныеПо</w:t>
      </w:r>
      <w:r>
        <w:t xml:space="preserve">Трассам и реализация сортировки</w:t>
      </w:r>
      <w:r/>
    </w:p>
    <w:p w14:paraId="0C7CFAF9" w14:textId="70B26202">
      <w:pPr>
        <w:pBdr/>
        <w:spacing/>
        <w:ind/>
        <w:rPr/>
      </w:pPr>
      <w:r>
        <w:t xml:space="preserve">Заключительный этап работы обработки заключается в динамическом построении табличного документа, отображающего результаты анализа в</w:t>
      </w:r>
      <w:r>
        <w:t xml:space="preserve"> удобном для восприятия виде. Процедура последовательно обходит все записи соответствия «ДанныеПоТрассам», для каждой трассы формируя отдельную таблицу. В начало выводится заголовок с наименованием трассы, оформленный объединением ячеек и применением жирно</w:t>
      </w:r>
      <w:r>
        <w:t xml:space="preserve">го начертания шрифта для визуального выделения. Ниже выводится строка шапки таблицы, содержащая заголовки колонок: «Место», «Пилот», «Среднее время (сек)» и «Кол-во заездов». Для улучшения читаемости между структурными элементами отчета выводятся горизонта</w:t>
      </w:r>
      <w:r>
        <w:t xml:space="preserve">льные разделители. Далее в цикле по отсортированному массиву пилотов заполняются строки данных: указывается порядковый номер, фамилия пилота, округленное значение среднего времени и количество заездов, на основе которого это время было рассчитано. Если за </w:t>
      </w:r>
      <w:r>
        <w:t xml:space="preserve">выбранный период данные о заездах отсутствуют, в табличный документ выводится соответствующее информационное сообщение</w:t>
      </w:r>
      <w:r>
        <w:t xml:space="preserve"> (Рис. 2.18)</w:t>
      </w:r>
      <w:r>
        <w:t xml:space="preserve">.</w:t>
      </w:r>
      <w:r/>
    </w:p>
    <w:p w14:paraId="0666DE17" w14:textId="38E6B28A">
      <w:pPr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0395" cy="4747260"/>
                <wp:effectExtent l="0" t="0" r="0" b="0"/>
                <wp:docPr id="19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192067" cy="4749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51.21pt;height:373.8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33C192B6" w14:textId="17356EBD">
      <w:pPr>
        <w:pBdr/>
        <w:spacing/>
        <w:ind w:firstLine="0"/>
        <w:jc w:val="center"/>
        <w:rPr/>
      </w:pPr>
      <w:r>
        <w:t xml:space="preserve">Рисунок 2.1</w:t>
      </w:r>
      <w:r>
        <w:t xml:space="preserve">8. </w:t>
      </w:r>
      <w:r>
        <w:t xml:space="preserve">Заполнение табличного документа</w:t>
      </w:r>
      <w:r/>
    </w:p>
    <w:p w14:paraId="77E5FEFB" w14:textId="77777777">
      <w:pPr>
        <w:pBdr/>
        <w:spacing w:after="160" w:line="259" w:lineRule="auto"/>
        <w:ind w:firstLine="0"/>
        <w:jc w:val="left"/>
        <w:rPr/>
      </w:pPr>
      <w:r>
        <w:br w:type="page" w:clear="all"/>
      </w:r>
      <w:r/>
    </w:p>
    <w:p w14:paraId="28BA8963" w14:textId="7EFCD292">
      <w:pPr>
        <w:pStyle w:val="881"/>
        <w:pBdr/>
        <w:spacing/>
        <w:ind/>
        <w:rPr/>
      </w:pPr>
      <w:r/>
      <w:bookmarkStart w:id="13" w:name="_Toc227525009"/>
      <w:r>
        <w:t xml:space="preserve">ЗАКЛЮЧЕНИЕ</w:t>
      </w:r>
      <w:bookmarkEnd w:id="13"/>
      <w:r/>
      <w:r/>
    </w:p>
    <w:p w14:paraId="44271BA8" w14:textId="2B5CD62C">
      <w:pPr>
        <w:pBdr/>
        <w:spacing/>
        <w:ind/>
        <w:rPr/>
      </w:pPr>
      <w:r/>
      <w:r/>
    </w:p>
    <w:p w14:paraId="23911D2B" w14:textId="144512B0">
      <w:pPr>
        <w:pBdr/>
        <w:spacing/>
        <w:ind/>
        <w:rPr/>
      </w:pPr>
      <w:r>
        <w:t xml:space="preserve">В ходе выполнения курсовой работы была достигнута поставленная цель </w:t>
      </w:r>
      <w:r>
        <w:t xml:space="preserve">-</w:t>
      </w:r>
      <w:r>
        <w:t xml:space="preserve"> повышение эффективности бизнес-процессов сервиса автоспортивных мероприятий за счет разработки специализированной конфигурации на платформе «1С:Предприятие». Проведенное ис</w:t>
      </w:r>
      <w:r>
        <w:t xml:space="preserve">следование подтвердило актуальность выбранной темы, обусловленную ростом популярности автоспорта и трек-дней, а также острой потребностью организаторов мероприятий в автоматизации рутинных операций для повышения качества сервиса и обеспечения безопасности.</w:t>
      </w:r>
      <w:r/>
    </w:p>
    <w:p w14:paraId="7AAC3DB8" w14:textId="649CA9B7">
      <w:pPr>
        <w:pBdr/>
        <w:spacing/>
        <w:ind/>
        <w:rPr/>
      </w:pPr>
      <w:r>
        <w:t xml:space="preserve">В рамках теоретической части работы был выполнен детальный анализ</w:t>
      </w:r>
      <w:r>
        <w:t xml:space="preserve"> предметной области, выявлены ключевые бизнес-процессы автоспортивного сервиса и определены «узкие места», возникающие при использовании бумажного документооборота и разрозненных электронных таблиц. Проведенный обзор существующих систем автоматизации, как </w:t>
      </w:r>
      <w:r>
        <w:t xml:space="preserve">международных, так и типовых решений на платформе «1С:Предприятие», показал отсутствие готового продукта, в полной мере отвечающего специфике деятельности российских организаторов автоспортивных событий. Это обосновало необходимость создания собственной ко</w:t>
      </w:r>
      <w:r>
        <w:t xml:space="preserve">нфигурации. В теоретической части также были подробно рассмотрены преимущества платформы «1С:Предприятие», включая гибкость объектной модели, мощный язык запросов, соответствие требованиям российского учета и возможности интеграции с внешним оборудованием.</w:t>
      </w:r>
      <w:r/>
    </w:p>
    <w:p w14:paraId="6927C864" w14:textId="110B5D62">
      <w:pPr>
        <w:pBdr/>
        <w:spacing/>
        <w:ind/>
        <w:rPr/>
      </w:pPr>
      <w:r>
        <w:t xml:space="preserve">Практическая часть работы была посвящена непосредственной реализации информационной системы. В соответствии с поставленными задачами были спроектированы и разработаны все необходимые объекты метаданных. Соз</w:t>
      </w:r>
      <w:r>
        <w:t xml:space="preserve">дана иерархия справочников для ведения мастер-данных об участниках, автомобилях, классах гонок, трассах и организаторах. Особое внимание уделено справочнику «Автомобиль», в котором реализовано автоматическое формирование наименования по заданному шаблону. </w:t>
      </w:r>
      <w:r>
        <w:t xml:space="preserve">Разработана подсистема приема и обработки заявок на участие, включающая документ «ЗаявкаНаУчастие» с механизмами проверки временных конфликтов, динамической фильтрации списка доступных автом</w:t>
      </w:r>
      <w:r>
        <w:t xml:space="preserve">обилей и автоматизированного расчета стоимости участия с учетом скидки за лояльность. Реализован документ «РезультатыЗаезда» для фиксации спортивных показателей с автоматическим расчетом итогового времени пилотов с учетом штрафных санкций. Для учета финанс</w:t>
      </w:r>
      <w:r>
        <w:t xml:space="preserve">овых операций создан документ «ОплатаУчастия». В завершение разработана аналитическая обработка «РейтингПилотовПоТрассам», позволяющая формировать ранжированные списки участников по среднему времени прохождения круга в разрезе трасс за произвольный период.</w:t>
      </w:r>
      <w:r/>
    </w:p>
    <w:p w14:paraId="7C0A3B49" w14:textId="143F269C">
      <w:pPr>
        <w:pBdr/>
        <w:spacing/>
        <w:ind/>
        <w:rPr/>
      </w:pPr>
      <w:r>
        <w:t xml:space="preserve">Разработанный прототип и</w:t>
      </w:r>
      <w:r>
        <w:t xml:space="preserve">нформационной системы демонстрирует практическую значимость работы. Внедрение подобного решения в деятельность автоспортивного сервиса позволит существенно сократить временные затраты персонала на обработку заявок и формирование отчетности, минимизировать </w:t>
      </w:r>
      <w:r>
        <w:t xml:space="preserve">количество ошибок, связанных с человеческим фактором, и повысить прозрачность управленческого учета. Созданная конфигурация может служить основой для дальнейшего развития полноценной коммерческой системы автоматизации трек-дней и любительских соревнований.</w:t>
      </w:r>
      <w:r/>
    </w:p>
    <w:p w14:paraId="55B8EAFD" w14:textId="707E497A">
      <w:pPr>
        <w:pBdr/>
        <w:spacing/>
        <w:ind/>
        <w:rPr/>
      </w:pPr>
      <w:r>
        <w:t xml:space="preserve">Перспективными направлениями развития проекта являются: расширение функционала за счет интеграц</w:t>
      </w:r>
      <w:r>
        <w:t xml:space="preserve">ии с системами электронного хронометража в режиме реального времени, реализация веб-интерфейса для самостоятельной регистрации участников и публикации расписания, добавление модуля управления ресурсами, а также углубление финансового учета с формированием </w:t>
      </w:r>
      <w:r>
        <w:t xml:space="preserve">регламентированной отчетности. Выполненная работа подтвердила эффективность применения платформы «1С:Предприятие» для создания отраслевых решений и заложила надежную основу для дальнейшего совершенствования информационной поддержки автоспортивного сервиса.</w:t>
      </w:r>
      <w:r/>
    </w:p>
    <w:p w14:paraId="37D5C74E" w14:textId="77777777">
      <w:pPr>
        <w:pBdr/>
        <w:spacing w:after="160" w:line="259" w:lineRule="auto"/>
        <w:ind w:firstLine="0"/>
        <w:jc w:val="left"/>
        <w:rPr/>
      </w:pPr>
      <w:r>
        <w:br w:type="page" w:clear="all"/>
      </w:r>
      <w:r/>
    </w:p>
    <w:p w14:paraId="1056E43A" w14:textId="22494ACF">
      <w:pPr>
        <w:pStyle w:val="881"/>
        <w:pBdr/>
        <w:spacing/>
        <w:ind/>
        <w:rPr/>
      </w:pPr>
      <w:r>
        <w:t xml:space="preserve">СПИСОК </w:t>
      </w:r>
      <w:r>
        <w:t xml:space="preserve">ИСПОЛЬЗОВАНЫХ ИСТОЧНИКОВ</w:t>
      </w:r>
      <w:r/>
    </w:p>
    <w:p w14:paraId="70C7AA55" w14:textId="36DE757E">
      <w:pPr>
        <w:pBdr/>
        <w:spacing/>
        <w:ind/>
        <w:rPr/>
      </w:pPr>
      <w:r/>
      <w:r/>
    </w:p>
    <w:p w14:paraId="4B287D10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15 лет FIA x Catapult: как RaceWatch обеспечивает будущее автоспорта // Catapult URL: https://www.catapult.com/ru/блог/fia-15-years-announcement (дата обращения: 23.03.2026).</w:t>
      </w:r>
      <w:r/>
      <w:r/>
      <w:r/>
      <w:r/>
    </w:p>
    <w:p w14:paraId="717AC2F9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1С:Фитнес клуб — победитель конкурса «1С:Проект года» // 1С:Фитнес клуб URL: https://www.fitness1c.ru/news-updates/1s-fitnes-klub-pobeditel-konkursa-1s-proekt-goda (дата обращения: 31.03.2026).</w:t>
      </w:r>
      <w:r/>
      <w:r/>
      <w:r/>
      <w:r/>
    </w:p>
    <w:p w14:paraId="1C1E425F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BPMSoft на Moscow Raceway: как low-code ускоряет бизнес-процессы // BPMSOFT URL: https://bpmsoft.ru/presscenter/bpmsoft-na-moscow-raceway-kak-low-code-uskoryaet-biznes-protsessy/ (дата обращения: 23.03.2026).</w:t>
      </w:r>
      <w:r/>
      <w:r/>
      <w:r/>
      <w:r/>
    </w:p>
    <w:p w14:paraId="7F6F7859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CRM Битрикс24 и интернет-магазин LADA Sport // Фрилансru URL: https://freelance.ru/portfolio/project/view/1649889 (дата обращения: 30.03.2026).</w:t>
      </w:r>
      <w:r/>
      <w:r/>
      <w:r/>
      <w:r/>
    </w:p>
    <w:p w14:paraId="3B25F63A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Аудитория Ф-1 выросла на 63% с 2018 года, трибуны посетило 6,7 млн зрителей // Чемпионат URL: https://www.championat.ru/auto/news-6289830-formula-1-podvela-itogi-yubilejnogo-sezona-2025.html (дата обращения: 23.03.2026).</w:t>
      </w:r>
      <w:r/>
      <w:r/>
      <w:r/>
      <w:r/>
    </w:p>
    <w:p w14:paraId="01AE0C8F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Архитектура "1С:Предприятия" как продукт инженерной мысли // itWeek URL: https://www.itweek.ru/idea/article/detail.php?ID=69281 (дата обращения: 15.04.2026).</w:t>
      </w:r>
      <w:r/>
      <w:r/>
      <w:r/>
      <w:r/>
    </w:p>
    <w:p w14:paraId="6B4BCA96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Безопасность на высоких скоростях: как MSV использует OnePlan для планирования более безопасных автоспортивных мероприятий // OnePlan URL: https://www.oneplan.io/ru/тематические-исследования/safety-at-speed-how-msv-uses-oneplan-to-plan-safer-motorsport-even</w:t>
      </w:r>
      <w:r>
        <w:t xml:space="preserve">ts/?utm_source=rss&amp;utm_medium=rss&amp;utm_campaign=alcohol-drugs-the-law-for-young-people (дата обращения: 30.03.2026).</w:t>
      </w:r>
      <w:r/>
      <w:r/>
      <w:r/>
      <w:r/>
    </w:p>
    <w:p w14:paraId="730CA35D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Бухгалтерский и налоговый учет // 1С:Предприятие 8 URL: https://v8.1c.ru/ka/bukhgalterskiy-i-nalogovyy-uchet/ (дата обращения: 15.04.2026).</w:t>
      </w:r>
      <w:r/>
      <w:r/>
      <w:r/>
      <w:r/>
    </w:p>
    <w:p w14:paraId="6C86784C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Бухгалтерский, налоговый и регламентированный учёт: суть, различия и зачем нужен «1С:ERP» // Бизнес-решения URL: https://ibs-business.ru/media/bukhgalterskiy-nalogovyy-i-reglamentirovannyy-uchyet-sut-razlichiya-i-zachem-nuzhen-1s-erp/ (дата обращения: 15.04</w:t>
      </w:r>
      <w:r>
        <w:t xml:space="preserve">.2026).</w:t>
      </w:r>
      <w:r/>
      <w:r/>
      <w:r/>
      <w:r/>
    </w:p>
    <w:p w14:paraId="6F0E97EC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Интеграция промышленного оборудования в 1С // CyberForum.ru URL: https://www.cyberforum.ru/1c/thread2064174.html (дата обращения: 15.04.2026).</w:t>
      </w:r>
      <w:r/>
      <w:r/>
      <w:r/>
      <w:r/>
    </w:p>
    <w:p w14:paraId="600CC4D5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Как автоматизировать учет заказов и производственных процессов в решениях 1С // Клерк URL: https://www.klerk.ru/buh/articles/684631/?al=%255B%25%2520anketa.custom.auto_login_key%2520%25%255D (дата обращения: 3.04.2026).</w:t>
      </w:r>
      <w:r/>
      <w:r/>
      <w:r/>
      <w:r/>
    </w:p>
    <w:p w14:paraId="064213D6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От хаоса к системе: как 1С изменила работу компании // Риатомск URL: https://www.riatomsk.ru/article/20250602/kak-sistema-1s-izmenila-rabotu-kompanii (дата обращения: 23.03.2026).</w:t>
      </w:r>
      <w:r/>
      <w:r/>
      <w:r/>
      <w:r/>
    </w:p>
    <w:p w14:paraId="455E17C4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Работа с веб-сервисами в 1С // KonderLine URL: https://www.koderline.kz/expert/narabotki/article-rabota-s-veb-servisami-v-1s/#jakor2 (дата обращения: 15.04.2026).</w:t>
      </w:r>
      <w:r/>
      <w:r/>
      <w:r/>
      <w:r/>
    </w:p>
    <w:p w14:paraId="1EB1C9EC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Создание и обновление структур данных на основе метаданных // StudFiles URL: https://studfile.net/preview/7640125/page/4/#19 (дата обращения: 10.04.2026).</w:t>
      </w:r>
      <w:r/>
      <w:r/>
      <w:r/>
      <w:r/>
    </w:p>
    <w:p w14:paraId="6A124340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Технология «1С:Предприятие.Элемент» // 1С:Предприятие 8 URL: https://v8.1c.ru/platforma/1s-predpriyatie-element/ (дата обращения: 10.04.2026).</w:t>
      </w:r>
      <w:r/>
      <w:r/>
      <w:r/>
      <w:r/>
    </w:p>
    <w:p w14:paraId="24944AF0" w14:textId="4E698ADE">
      <w:pPr>
        <w:pStyle w:val="891"/>
        <w:numPr>
          <w:ilvl w:val="0"/>
          <w:numId w:val="6"/>
        </w:numPr>
        <w:pBdr/>
        <w:spacing/>
        <w:ind w:right="0" w:firstLine="709" w:left="0"/>
        <w:rPr/>
      </w:pPr>
      <w:r>
        <w:t xml:space="preserve">Топ-5 решений 1С для малого бизнеса в 2026 году // Жиза URL: https://zhiza.evotor.ru/top-5-reshenij-1s-dlya-malogo-biznesa-v-2026-godu/?highlight=Эдо&amp;noamp=mobile&amp;amp (дата обращения: 3.04.2026).</w:t>
      </w:r>
      <w:r/>
      <w:r/>
      <w:r/>
    </w:p>
    <w:p w14:paraId="148E23A7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8A227DC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6C6413DE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CD85340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63A6C7DA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573984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1">
    <w:nsid w:val="67DA611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">
    <w:nsid w:val="27BE89F9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9573984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4">
    <w:nsid w:val="59573984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5">
    <w:nsid w:val="15EA9BD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3"/>
    <w:basedOn w:val="880"/>
    <w:next w:val="88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5"/>
    <w:basedOn w:val="880"/>
    <w:next w:val="88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80"/>
    <w:next w:val="880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80"/>
    <w:next w:val="88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80"/>
    <w:next w:val="880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80"/>
    <w:next w:val="880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3 Char"/>
    <w:basedOn w:val="88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5 Char"/>
    <w:basedOn w:val="884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8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84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84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8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80"/>
    <w:next w:val="880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84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80"/>
    <w:next w:val="880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84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80"/>
    <w:next w:val="880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84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0"/>
    <w:next w:val="880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4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9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861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Caption"/>
    <w:basedOn w:val="880"/>
    <w:next w:val="8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footnote text"/>
    <w:basedOn w:val="880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Footnote Text Char"/>
    <w:basedOn w:val="88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880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Endnote Text Char"/>
    <w:basedOn w:val="884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870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3"/>
    <w:basedOn w:val="880"/>
    <w:next w:val="880"/>
    <w:uiPriority w:val="39"/>
    <w:unhideWhenUsed/>
    <w:pPr>
      <w:pBdr/>
      <w:spacing w:after="100"/>
      <w:ind w:left="440"/>
    </w:pPr>
  </w:style>
  <w:style w:type="paragraph" w:styleId="872">
    <w:name w:val="toc 4"/>
    <w:basedOn w:val="880"/>
    <w:next w:val="880"/>
    <w:uiPriority w:val="39"/>
    <w:unhideWhenUsed/>
    <w:pPr>
      <w:pBdr/>
      <w:spacing w:after="100"/>
      <w:ind w:left="660"/>
    </w:pPr>
  </w:style>
  <w:style w:type="paragraph" w:styleId="873">
    <w:name w:val="toc 5"/>
    <w:basedOn w:val="880"/>
    <w:next w:val="880"/>
    <w:uiPriority w:val="39"/>
    <w:unhideWhenUsed/>
    <w:pPr>
      <w:pBdr/>
      <w:spacing w:after="100"/>
      <w:ind w:left="880"/>
    </w:pPr>
  </w:style>
  <w:style w:type="paragraph" w:styleId="874">
    <w:name w:val="toc 6"/>
    <w:basedOn w:val="880"/>
    <w:next w:val="880"/>
    <w:uiPriority w:val="39"/>
    <w:unhideWhenUsed/>
    <w:pPr>
      <w:pBdr/>
      <w:spacing w:after="100"/>
      <w:ind w:left="1100"/>
    </w:pPr>
  </w:style>
  <w:style w:type="paragraph" w:styleId="875">
    <w:name w:val="toc 7"/>
    <w:basedOn w:val="880"/>
    <w:next w:val="880"/>
    <w:uiPriority w:val="39"/>
    <w:unhideWhenUsed/>
    <w:pPr>
      <w:pBdr/>
      <w:spacing w:after="100"/>
      <w:ind w:left="1320"/>
    </w:pPr>
  </w:style>
  <w:style w:type="paragraph" w:styleId="876">
    <w:name w:val="toc 8"/>
    <w:basedOn w:val="880"/>
    <w:next w:val="880"/>
    <w:uiPriority w:val="39"/>
    <w:unhideWhenUsed/>
    <w:pPr>
      <w:pBdr/>
      <w:spacing w:after="100"/>
      <w:ind w:left="1540"/>
    </w:pPr>
  </w:style>
  <w:style w:type="paragraph" w:styleId="877">
    <w:name w:val="toc 9"/>
    <w:basedOn w:val="880"/>
    <w:next w:val="880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84"/>
    <w:uiPriority w:val="99"/>
    <w:semiHidden/>
    <w:pPr>
      <w:pBdr/>
      <w:spacing/>
      <w:ind/>
    </w:pPr>
    <w:rPr>
      <w:color w:val="666666"/>
    </w:rPr>
  </w:style>
  <w:style w:type="paragraph" w:styleId="879">
    <w:name w:val="table of figures"/>
    <w:basedOn w:val="880"/>
    <w:next w:val="880"/>
    <w:uiPriority w:val="99"/>
    <w:unhideWhenUsed/>
    <w:pPr>
      <w:pBdr/>
      <w:spacing w:after="0" w:afterAutospacing="0"/>
      <w:ind/>
    </w:pPr>
  </w:style>
  <w:style w:type="paragraph" w:styleId="880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881">
    <w:name w:val="Heading 1"/>
    <w:basedOn w:val="880"/>
    <w:next w:val="880"/>
    <w:link w:val="887"/>
    <w:uiPriority w:val="9"/>
    <w:qFormat/>
    <w:pPr>
      <w:keepNext w:val="true"/>
      <w:keepLines w:val="true"/>
      <w:pBdr/>
      <w:spacing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882">
    <w:name w:val="Heading 2"/>
    <w:basedOn w:val="880"/>
    <w:next w:val="880"/>
    <w:link w:val="889"/>
    <w:uiPriority w:val="9"/>
    <w:unhideWhenUsed/>
    <w:qFormat/>
    <w:pPr>
      <w:keepNext w:val="true"/>
      <w:keepLines w:val="true"/>
      <w:pBdr/>
      <w:spacing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883">
    <w:name w:val="Heading 4"/>
    <w:basedOn w:val="880"/>
    <w:next w:val="880"/>
    <w:link w:val="890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table" w:styleId="8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character" w:styleId="887" w:customStyle="1">
    <w:name w:val="Heading 1 Char"/>
    <w:basedOn w:val="884"/>
    <w:link w:val="881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paragraph" w:styleId="888" w:customStyle="1">
    <w:name w:val="ds-markdown-paragraph"/>
    <w:basedOn w:val="880"/>
    <w:pPr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889" w:customStyle="1">
    <w:name w:val="Heading 2 Char"/>
    <w:basedOn w:val="884"/>
    <w:link w:val="882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character" w:styleId="890" w:customStyle="1">
    <w:name w:val="Heading 4 Char"/>
    <w:basedOn w:val="884"/>
    <w:link w:val="88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</w:rPr>
  </w:style>
  <w:style w:type="paragraph" w:styleId="891">
    <w:name w:val="List Paragraph"/>
    <w:basedOn w:val="880"/>
    <w:uiPriority w:val="34"/>
    <w:qFormat/>
    <w:pPr>
      <w:pBdr/>
      <w:spacing/>
      <w:ind w:left="720"/>
      <w:contextualSpacing w:val="true"/>
    </w:pPr>
  </w:style>
  <w:style w:type="character" w:styleId="892">
    <w:name w:val="Strong"/>
    <w:basedOn w:val="884"/>
    <w:uiPriority w:val="22"/>
    <w:qFormat/>
    <w:pPr>
      <w:pBdr/>
      <w:spacing/>
      <w:ind/>
    </w:pPr>
    <w:rPr>
      <w:b/>
      <w:bCs/>
    </w:rPr>
  </w:style>
  <w:style w:type="paragraph" w:styleId="893">
    <w:name w:val="No Spacing"/>
    <w:uiPriority w:val="1"/>
    <w:qFormat/>
    <w:pPr>
      <w:pBdr/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894">
    <w:name w:val="TOC Heading"/>
    <w:basedOn w:val="881"/>
    <w:next w:val="880"/>
    <w:uiPriority w:val="39"/>
    <w:unhideWhenUsed/>
    <w:qFormat/>
    <w:pPr>
      <w:pBdr/>
      <w:spacing w:before="240" w:line="259" w:lineRule="auto"/>
      <w:ind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895">
    <w:name w:val="toc 1"/>
    <w:basedOn w:val="880"/>
    <w:next w:val="880"/>
    <w:uiPriority w:val="39"/>
    <w:unhideWhenUsed/>
    <w:pPr>
      <w:pBdr/>
      <w:spacing w:after="100"/>
      <w:ind/>
    </w:pPr>
  </w:style>
  <w:style w:type="paragraph" w:styleId="896">
    <w:name w:val="toc 2"/>
    <w:basedOn w:val="880"/>
    <w:next w:val="880"/>
    <w:uiPriority w:val="39"/>
    <w:unhideWhenUsed/>
    <w:pPr>
      <w:pBdr/>
      <w:tabs>
        <w:tab w:val="right" w:leader="none" w:pos="9355"/>
      </w:tabs>
      <w:spacing w:after="100"/>
      <w:ind w:firstLine="0"/>
    </w:pPr>
  </w:style>
  <w:style w:type="character" w:styleId="897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98">
    <w:name w:val="Header"/>
    <w:basedOn w:val="880"/>
    <w:link w:val="899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899" w:customStyle="1">
    <w:name w:val="Header Char"/>
    <w:basedOn w:val="884"/>
    <w:link w:val="898"/>
    <w:uiPriority w:val="99"/>
    <w:pPr>
      <w:pBdr/>
      <w:spacing/>
      <w:ind/>
    </w:pPr>
    <w:rPr>
      <w:rFonts w:ascii="Times New Roman" w:hAnsi="Times New Roman"/>
      <w:color w:val="000000" w:themeColor="text1"/>
      <w:sz w:val="28"/>
    </w:rPr>
  </w:style>
  <w:style w:type="paragraph" w:styleId="900">
    <w:name w:val="Footer"/>
    <w:basedOn w:val="880"/>
    <w:link w:val="901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901" w:customStyle="1">
    <w:name w:val="Footer Char"/>
    <w:basedOn w:val="884"/>
    <w:link w:val="900"/>
    <w:uiPriority w:val="99"/>
    <w:pPr>
      <w:pBdr/>
      <w:spacing/>
      <w:ind/>
    </w:pPr>
    <w:rPr>
      <w:rFonts w:ascii="Times New Roman" w:hAnsi="Times New Roman"/>
      <w:color w:val="000000" w:themeColor="text1"/>
      <w:sz w:val="28"/>
    </w:rPr>
  </w:style>
  <w:style w:type="character" w:styleId="902">
    <w:name w:val="Unresolved Mention"/>
    <w:basedOn w:val="88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AE68F27-0569-479F-8D33-C2B368A3617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Хазипов</dc:creator>
  <cp:keywords/>
  <dc:description/>
  <cp:revision>8</cp:revision>
  <dcterms:created xsi:type="dcterms:W3CDTF">2026-04-14T09:14:00Z</dcterms:created>
  <dcterms:modified xsi:type="dcterms:W3CDTF">2026-04-26T08:43:46Z</dcterms:modified>
</cp:coreProperties>
</file>