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0.png" ContentType="image/png"/>
  <Override PartName="/word/media/rId28.png" ContentType="image/png"/>
  <Override PartName="/word/media/rId3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Trax</w:t>
      </w:r>
      <w:r>
        <w:t xml:space="preserve"> </w:t>
      </w:r>
      <w:r>
        <w:t xml:space="preserve">IO</w:t>
      </w:r>
      <w:r>
        <w:t xml:space="preserve"> </w:t>
      </w:r>
      <w:r>
        <w:t xml:space="preserve">—</w:t>
      </w:r>
      <w:r>
        <w:t xml:space="preserve"> </w:t>
      </w:r>
      <w:r>
        <w:t xml:space="preserve">Engineering</w:t>
      </w:r>
      <w:r>
        <w:t xml:space="preserve"> </w:t>
      </w:r>
      <w:r>
        <w:t xml:space="preserve">Execution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v1</w:t>
      </w:r>
      <w:r>
        <w:t xml:space="preserve"> </w:t>
      </w:r>
      <w:r>
        <w:t xml:space="preserve">Build</w:t>
      </w:r>
      <w:r>
        <w:t xml:space="preserve"> </w:t>
      </w:r>
      <w:r>
        <w:t xml:space="preserve">Roadmap,</w:t>
      </w:r>
      <w:r>
        <w:t xml:space="preserve"> </w:t>
      </w:r>
      <w:r>
        <w:t xml:space="preserve">Team</w:t>
      </w:r>
      <w:r>
        <w:t xml:space="preserve"> </w:t>
      </w:r>
      <w:r>
        <w:t xml:space="preserve">Assignments,</w:t>
      </w:r>
      <w:r>
        <w:t xml:space="preserve"> </w:t>
      </w:r>
      <w:r>
        <w:t xml:space="preserve">and</w:t>
      </w:r>
      <w:r>
        <w:t xml:space="preserve"> </w:t>
      </w:r>
      <w:r>
        <w:t xml:space="preserve">Phase</w:t>
      </w:r>
      <w:r>
        <w:t xml:space="preserve"> </w:t>
      </w:r>
      <w:r>
        <w:t xml:space="preserve">Gates</w:t>
      </w:r>
    </w:p>
    <w:p>
      <w:pPr>
        <w:pStyle w:val="Author"/>
      </w:pPr>
      <w:r>
        <w:t xml:space="preserve">Miguel</w:t>
      </w:r>
      <w:r>
        <w:t xml:space="preserve"> </w:t>
      </w:r>
      <w:r>
        <w:t xml:space="preserve">Sosa,</w:t>
      </w:r>
      <w:r>
        <w:t xml:space="preserve"> </w:t>
      </w:r>
      <w:r>
        <w:t xml:space="preserve">VP</w:t>
      </w:r>
      <w:r>
        <w:t xml:space="preserve"> </w:t>
      </w:r>
      <w:r>
        <w:t xml:space="preserve">Head</w:t>
      </w:r>
      <w:r>
        <w:t xml:space="preserve"> </w:t>
      </w:r>
      <w:r>
        <w:t xml:space="preserve">of</w:t>
      </w:r>
      <w:r>
        <w:t xml:space="preserve"> </w:t>
      </w:r>
      <w:r>
        <w:t xml:space="preserve">Innovation</w:t>
      </w:r>
      <w:r>
        <w:t xml:space="preserve"> </w:t>
      </w:r>
      <w:r>
        <w:t xml:space="preserve">·</w:t>
      </w:r>
      <w:r>
        <w:t xml:space="preserve"> </w:t>
      </w:r>
      <w:r>
        <w:t xml:space="preserve">Trax</w:t>
      </w:r>
    </w:p>
    <w:p>
      <w:pPr>
        <w:pStyle w:val="Date"/>
      </w:pPr>
      <w:r>
        <w:t xml:space="preserve">2026-04-14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urpose"/>
      <w:r>
        <w:t xml:space="preserve">1. Purpose</w:t>
      </w:r>
      <w:bookmarkEnd w:id="20"/>
    </w:p>
    <w:p>
      <w:pPr>
        <w:pStyle w:val="FirstParagraph"/>
      </w:pPr>
      <w:r>
        <w:t xml:space="preserve">This guide is the operational companion to the Technical Architecture Guide. It orients an engineering lead, an engineering manager, or a newly-joined engineer on</w:t>
      </w:r>
      <w:r>
        <w:t xml:space="preserve"> </w:t>
      </w:r>
      <w:r>
        <w:rPr>
          <w:i/>
        </w:rPr>
        <w:t xml:space="preserve">what is being built, in what sequence, by whom, against which gates.</w:t>
      </w:r>
      <w:r>
        <w:t xml:space="preserve"> </w:t>
      </w:r>
      <w:r>
        <w:t xml:space="preserve">It does not repeat the architecture — for that, read the Architecture Guide first. It also does not replace the per-sub-plan TDD task lists — for those, see the</w:t>
      </w:r>
      <w:r>
        <w:t xml:space="preserve"> </w:t>
      </w:r>
      <w:r>
        <w:rPr>
          <w:rStyle w:val="VerbatimChar"/>
        </w:rPr>
        <w:t xml:space="preserve">docs/plans/</w:t>
      </w:r>
      <w:r>
        <w:t xml:space="preserve"> </w:t>
      </w:r>
      <w:r>
        <w:t xml:space="preserve">folder. This guide is the connective tissue.</w:t>
      </w:r>
    </w:p>
    <w:p>
      <w:pPr>
        <w:pStyle w:val="Heading1"/>
      </w:pPr>
      <w:bookmarkStart w:id="21" w:name="the-10-sub-projects"/>
      <w:r>
        <w:t xml:space="preserve">2. The 10 Sub-Projects</w:t>
      </w:r>
      <w:bookmarkEnd w:id="21"/>
    </w:p>
    <w:p>
      <w:pPr>
        <w:pStyle w:val="FirstParagraph"/>
      </w:pPr>
      <w:r>
        <w:t xml:space="preserve">Trax IO v1 decomposes into ten sub-projects, each independently ticketable, each producing working testable software on its own. Dependencies are explicit and minimal.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Sub-project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 / Stack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Owning 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 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Nightly Extract Utility</w:t>
            </w:r>
          </w:p>
        </w:tc>
        <w:tc>
          <w:p>
            <w:pPr>
              <w:pStyle w:val="Compact"/>
              <w:jc w:val="left"/>
            </w:pPr>
            <w:r>
              <w:t xml:space="preserve">Python CLI, Oracle, S3</w:t>
            </w:r>
          </w:p>
        </w:tc>
        <w:tc>
          <w:p>
            <w:pPr>
              <w:pStyle w:val="Compact"/>
              <w:jc w:val="left"/>
            </w:pPr>
            <w:r>
              <w:t xml:space="preserve">eMRO team + Platform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plans/2026-04-14-nightly-extract-utility-plan.md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Feature Store &amp; Data Lake</w:t>
            </w:r>
          </w:p>
        </w:tc>
        <w:tc>
          <w:p>
            <w:pPr>
              <w:pStyle w:val="Compact"/>
              <w:jc w:val="left"/>
            </w:pPr>
            <w:r>
              <w:t xml:space="preserve">AWS Glue + Iceberg + DynamoDB</w:t>
            </w:r>
          </w:p>
        </w:tc>
        <w:tc>
          <w:p>
            <w:pPr>
              <w:pStyle w:val="Compact"/>
              <w:jc w:val="left"/>
            </w:pPr>
            <w:r>
              <w:t xml:space="preserve">Data platform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plans/2026-04-14-feature-store-plan.md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eMRO Outbound Event Publisher</w:t>
            </w:r>
          </w:p>
        </w:tc>
        <w:tc>
          <w:p>
            <w:pPr>
              <w:pStyle w:val="Compact"/>
              <w:jc w:val="left"/>
            </w:pPr>
            <w:r>
              <w:t xml:space="preserve">Java Spring Boot in eMRO</w:t>
            </w:r>
          </w:p>
        </w:tc>
        <w:tc>
          <w:p>
            <w:pPr>
              <w:pStyle w:val="Compact"/>
              <w:jc w:val="left"/>
            </w:pPr>
            <w:r>
              <w:t xml:space="preserve">eMRO team + Platform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plans/2026-04-14-event-publisher-plan.md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Agent Spine</w:t>
            </w:r>
          </w:p>
        </w:tc>
        <w:tc>
          <w:p>
            <w:pPr>
              <w:pStyle w:val="Compact"/>
              <w:jc w:val="left"/>
            </w:pPr>
            <w:r>
              <w:t xml:space="preserve">Python + Strands + AgentCore</w:t>
            </w:r>
          </w:p>
        </w:tc>
        <w:tc>
          <w:p>
            <w:pPr>
              <w:pStyle w:val="Compact"/>
              <w:jc w:val="left"/>
            </w:pPr>
            <w:r>
              <w:t xml:space="preserve">AI platform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plans/2026-04-14-agent-spine-implementation-plan.md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Forecasting &amp; Policy Engine</w:t>
            </w:r>
          </w:p>
        </w:tc>
        <w:tc>
          <w:p>
            <w:pPr>
              <w:pStyle w:val="Compact"/>
              <w:jc w:val="left"/>
            </w:pPr>
            <w:r>
              <w:t xml:space="preserve">Python + SageMaker</w:t>
            </w:r>
          </w:p>
        </w:tc>
        <w:tc>
          <w:p>
            <w:pPr>
              <w:pStyle w:val="Compact"/>
              <w:jc w:val="left"/>
            </w:pPr>
            <w:r>
              <w:t xml:space="preserve">ML engineering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plans/2026-04-14-forecasting-policy-plan.md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eMRO Writeback REST API</w:t>
            </w:r>
          </w:p>
        </w:tc>
        <w:tc>
          <w:p>
            <w:pPr>
              <w:pStyle w:val="Compact"/>
              <w:jc w:val="left"/>
            </w:pPr>
            <w:r>
              <w:t xml:space="preserve">Java Spring Boot in eMRO</w:t>
            </w:r>
          </w:p>
        </w:tc>
        <w:tc>
          <w:p>
            <w:pPr>
              <w:pStyle w:val="Compact"/>
              <w:jc w:val="left"/>
            </w:pPr>
            <w:r>
              <w:t xml:space="preserve">eMRO team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plans/2026-04-14-writeback-rest-plan.md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Planner UI</w:t>
            </w:r>
            <w:r>
              <w:t xml:space="preserve"> </w:t>
            </w:r>
            <w:r>
              <w:t xml:space="preserve">“</w:t>
            </w:r>
            <w:r>
              <w:t xml:space="preserve">Trax IO Review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eMRO frontend + FastAPI BFF</w:t>
            </w:r>
          </w:p>
        </w:tc>
        <w:tc>
          <w:p>
            <w:pPr>
              <w:pStyle w:val="Compact"/>
              <w:jc w:val="left"/>
            </w:pPr>
            <w:r>
              <w:t xml:space="preserve">eMRO team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plans/2026-04-14-planner-ui-plan.md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Business Value Report Pipeline</w:t>
            </w:r>
          </w:p>
        </w:tc>
        <w:tc>
          <w:p>
            <w:pPr>
              <w:pStyle w:val="Compact"/>
              <w:jc w:val="left"/>
            </w:pPr>
            <w:r>
              <w:t xml:space="preserve">Python + WeasyPrint + Glue</w:t>
            </w:r>
          </w:p>
        </w:tc>
        <w:tc>
          <w:p>
            <w:pPr>
              <w:pStyle w:val="Compact"/>
              <w:jc w:val="left"/>
            </w:pPr>
            <w:r>
              <w:t xml:space="preserve">ML engineering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plans/2026-04-14-bvr-pipeline-plan.md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Observability + SOC 2</w:t>
            </w:r>
          </w:p>
        </w:tc>
        <w:tc>
          <w:p>
            <w:pPr>
              <w:pStyle w:val="Compact"/>
              <w:jc w:val="left"/>
            </w:pPr>
            <w:r>
              <w:t xml:space="preserve">AWS-native + Audit Manager</w:t>
            </w:r>
          </w:p>
        </w:tc>
        <w:tc>
          <w:p>
            <w:pPr>
              <w:pStyle w:val="Compact"/>
              <w:jc w:val="left"/>
            </w:pPr>
            <w:r>
              <w:t xml:space="preserve">Platform + SecOps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plans/2026-04-14-observability-soc2-plan.md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Tenant Onboarding Runbook</w:t>
            </w:r>
          </w:p>
        </w:tc>
        <w:tc>
          <w:p>
            <w:pPr>
              <w:pStyle w:val="Compact"/>
              <w:jc w:val="left"/>
            </w:pPr>
            <w:r>
              <w:t xml:space="preserve">Process + scripts</w:t>
            </w:r>
          </w:p>
        </w:tc>
        <w:tc>
          <w:p>
            <w:pPr>
              <w:pStyle w:val="Compact"/>
              <w:jc w:val="left"/>
            </w:pPr>
            <w:r>
              <w:t xml:space="preserve">Customer Success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plans/2026-04-14-tenant-onboarding-runbook.md</w:t>
            </w:r>
          </w:p>
        </w:tc>
      </w:tr>
    </w:tbl>
    <w:p>
      <w:pPr>
        <w:pStyle w:val="Heading1"/>
      </w:pPr>
      <w:bookmarkStart w:id="22" w:name="build-waves"/>
      <w:r>
        <w:t xml:space="preserve">3. Build Waves</w:t>
      </w:r>
      <w:bookmarkEnd w:id="22"/>
    </w:p>
    <w:p>
      <w:pPr>
        <w:pStyle w:val="FirstParagraph"/>
      </w:pPr>
      <w:r>
        <w:t xml:space="preserve">Ten sub-projects sequence into four build waves. Dependencies determine the sequencing — you cannot build the Agent Spine before the Feature Store has real data; you cannot ship the Planner UI before the Writeback REST exists.</w:t>
      </w:r>
    </w:p>
    <w:p>
      <w:pPr>
        <w:pStyle w:val="CaptionedFigure"/>
      </w:pPr>
      <w:r>
        <w:drawing>
          <wp:inline>
            <wp:extent cx="5334000" cy="1374993"/>
            <wp:effectExtent b="0" l="0" r="0" t="0"/>
            <wp:docPr descr="Build Waves and Dependency Graph" title="" id="1" name="Picture"/>
            <a:graphic>
              <a:graphicData uri="http://schemas.openxmlformats.org/drawingml/2006/picture">
                <pic:pic>
                  <pic:nvPicPr>
                    <pic:cNvPr descr="../diagrams/png/03-build-wav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 Waves and Dependency Graph</w:t>
      </w:r>
    </w:p>
    <w:p>
      <w:pPr>
        <w:pStyle w:val="BodyText"/>
      </w:pPr>
      <w:r>
        <w:rPr>
          <w:b/>
        </w:rPr>
        <w:t xml:space="preserve">Wave 0 — Foundation (weeks 0–6).</w:t>
      </w:r>
      <w:r>
        <w:t xml:space="preserve"> </w:t>
      </w:r>
      <w:r>
        <w:t xml:space="preserve">#1 Extract Utility, #2 Feature Store, and #9 Observability + SOC 2 start day one, in parallel. Wave 0 exit: first tenant’s nightly extract running clean for 14 days; Feature Store Iceberg tables backfilled for that tenant; CloudTrail Lake event store live; AWS Audit Manager SOC 2 framework attached.</w:t>
      </w:r>
    </w:p>
    <w:p>
      <w:pPr>
        <w:pStyle w:val="BodyText"/>
      </w:pPr>
      <w:r>
        <w:rPr>
          <w:b/>
        </w:rPr>
        <w:t xml:space="preserve">Wave 1 — Core agent + write path (weeks 6–16).</w:t>
      </w:r>
      <w:r>
        <w:t xml:space="preserve"> </w:t>
      </w:r>
      <w:r>
        <w:t xml:space="preserve">#4 Agent Spine, #5 Forecasting &amp; Policy, #3 Event Publisher, #6 Writeback REST. This is the wave that turns data into decisions and decisions into writes. Wave 1 exit: Agent Spine produces real recommendations against real data; Forecasting champion/challenger evaluation pipeline running nightly; eMRO Writeback REST deployed in lighthouse customer’s eMRO; first end-to-end shadow-mode write against</w:t>
      </w:r>
      <w:r>
        <w:t xml:space="preserve"> </w:t>
      </w:r>
      <w:r>
        <w:rPr>
          <w:rStyle w:val="VerbatimChar"/>
        </w:rPr>
        <w:t xml:space="preserve">fake_emro</w:t>
      </w:r>
      <w:r>
        <w:t xml:space="preserve"> </w:t>
      </w:r>
      <w:r>
        <w:t xml:space="preserve">and the real eMRO endpoint.</w:t>
      </w:r>
    </w:p>
    <w:p>
      <w:pPr>
        <w:pStyle w:val="BodyText"/>
      </w:pPr>
      <w:r>
        <w:rPr>
          <w:b/>
        </w:rPr>
        <w:t xml:space="preserve">Wave 2 — UI + value reporting (weeks 12–20).</w:t>
      </w:r>
      <w:r>
        <w:t xml:space="preserve"> </w:t>
      </w:r>
      <w:r>
        <w:t xml:space="preserve">#7 Planner UI, #8 Business Value Report Pipeline. Overlaps with Wave 1. Wave 2 exit: Planner UI embedded in lighthouse eMRO instance; first month of Business Value Report PDF auto-generated and posted to Planner UI.</w:t>
      </w:r>
    </w:p>
    <w:p>
      <w:pPr>
        <w:pStyle w:val="BodyText"/>
      </w:pPr>
      <w:r>
        <w:rPr>
          <w:b/>
        </w:rPr>
        <w:t xml:space="preserve">Wave 3 — Go-live (weeks 20–24).</w:t>
      </w:r>
      <w:r>
        <w:t xml:space="preserve"> </w:t>
      </w:r>
      <w:r>
        <w:t xml:space="preserve">#10 Tenant Onboarding. Exit: lighthouse tenant exits shadow mode; first Tier B/C writes in production; second tenant signed and onboarding queued.</w:t>
      </w:r>
    </w:p>
    <w:p>
      <w:pPr>
        <w:pStyle w:val="Heading1"/>
      </w:pPr>
      <w:bookmarkStart w:id="24" w:name="critical-path-load-bearing-items"/>
      <w:r>
        <w:t xml:space="preserve">4. Critical Path &amp; Load-Bearing Items</w:t>
      </w:r>
      <w:bookmarkEnd w:id="24"/>
    </w:p>
    <w:p>
      <w:pPr>
        <w:pStyle w:val="FirstParagraph"/>
      </w:pPr>
      <w:r>
        <w:t xml:space="preserve">The single most-load-bearing item on the critical path is</w:t>
      </w:r>
      <w:r>
        <w:t xml:space="preserve"> </w:t>
      </w:r>
      <w:r>
        <w:rPr>
          <w:b/>
        </w:rPr>
        <w:t xml:space="preserve">#2 Feature Store</w:t>
      </w:r>
      <w:r>
        <w:t xml:space="preserve">. Every downstream sub-project depends on it. Staff it with your strongest data engineer and treat its Phase 1 (Iceberg raw schemas + nightly ingest Glue job) as a hard gate — the whole organization waits on it.</w:t>
      </w:r>
    </w:p>
    <w:p>
      <w:pPr>
        <w:pStyle w:val="BodyText"/>
      </w:pPr>
      <w:r>
        <w:t xml:space="preserve">The second most-load-bearing item is</w:t>
      </w:r>
      <w:r>
        <w:t xml:space="preserve"> </w:t>
      </w:r>
      <w:r>
        <w:rPr>
          <w:b/>
        </w:rPr>
        <w:t xml:space="preserve">SOC 2 Type II starting day one (sub-plan #9).</w:t>
      </w:r>
      <w:r>
        <w:t xml:space="preserve"> </w:t>
      </w:r>
      <w:r>
        <w:t xml:space="preserve">Retroactive SOC 2 evidence is impossible. Every CloudTrail event from week 1 matters for the first attestation.</w:t>
      </w:r>
    </w:p>
    <w:p>
      <w:pPr>
        <w:pStyle w:val="BodyText"/>
      </w:pPr>
      <w:r>
        <w:t xml:space="preserve">Within sub-plan #4 Agent Spine, the most-load-bearing item is</w:t>
      </w:r>
      <w:r>
        <w:t xml:space="preserve"> </w:t>
      </w:r>
      <w:r>
        <w:rPr>
          <w:b/>
        </w:rPr>
        <w:t xml:space="preserve">Phase 7 (Policy Engine).</w:t>
      </w:r>
      <w:r>
        <w:t xml:space="preserve"> </w:t>
      </w:r>
      <w:r>
        <w:t xml:space="preserve">It is pure Python, highly testable, and the piece planners will actually sign off on. Front-load it onto the strongest engineer on the team.</w:t>
      </w:r>
    </w:p>
    <w:p>
      <w:pPr>
        <w:pStyle w:val="BodyText"/>
      </w:pPr>
      <w:r>
        <w:t xml:space="preserve">Within sub-plan #5, the Policy Engine math (Phase 7) similarly front-loads — statistical accuracy bugs in base-stock / (s,S) / (R,Q) cascade silently into wrong stock levels.</w:t>
      </w:r>
    </w:p>
    <w:p>
      <w:pPr>
        <w:pStyle w:val="Heading1"/>
      </w:pPr>
      <w:bookmarkStart w:id="25" w:name="team-composition-assignments"/>
      <w:r>
        <w:t xml:space="preserve">5. Team Composition &amp; Assignments</w:t>
      </w:r>
      <w:bookmarkEnd w:id="25"/>
    </w:p>
    <w:p>
      <w:pPr>
        <w:pStyle w:val="FirstParagraph"/>
      </w:pPr>
      <w:r>
        <w:t xml:space="preserve">The minimum viable team for v1 is roughly 9–10 FTEs across the first two quarters, scaling to ~12 with the SOC 2 attestation push.</w:t>
      </w:r>
    </w:p>
    <w:p>
      <w:pPr>
        <w:pStyle w:val="BodyText"/>
      </w:pPr>
      <w:r>
        <w:rPr>
          <w:b/>
        </w:rPr>
        <w:t xml:space="preserve">AI Platform team (3.0 FTE)</w:t>
      </w:r>
      <w:r>
        <w:t xml:space="preserve"> </w:t>
      </w:r>
      <w:r>
        <w:t xml:space="preserve">— Agent Spine lead + 2 Python engineers + SRE (shared). Owns sub-plan #4 and the Trax-side of sub-plans #3, #6, #7 integration (BFF, contract tests, schema docs).</w:t>
      </w:r>
    </w:p>
    <w:p>
      <w:pPr>
        <w:pStyle w:val="BodyText"/>
      </w:pPr>
      <w:r>
        <w:rPr>
          <w:b/>
        </w:rPr>
        <w:t xml:space="preserve">ML Engineering team (3.5 FTE)</w:t>
      </w:r>
      <w:r>
        <w:t xml:space="preserve"> </w:t>
      </w:r>
      <w:r>
        <w:t xml:space="preserve">— ML lead + 2 ML engineers + ML platform engineer + 0.5 statistician consultant. Owns sub-plan #5 Forecasting &amp; Policy, sub-plan #8 BVR pipeline, and the evaluation pipeline integration into sub-plan #9.</w:t>
      </w:r>
    </w:p>
    <w:p>
      <w:pPr>
        <w:pStyle w:val="BodyText"/>
      </w:pPr>
      <w:r>
        <w:rPr>
          <w:b/>
        </w:rPr>
        <w:t xml:space="preserve">Data Platform team (2.5 FTE)</w:t>
      </w:r>
      <w:r>
        <w:t xml:space="preserve"> </w:t>
      </w:r>
      <w:r>
        <w:t xml:space="preserve">— Data platform lead + 2 data engineers + 0.5 SRE. Owns sub-plan #2 Feature Store and sub-plan #1’s presigned-URL service.</w:t>
      </w:r>
    </w:p>
    <w:p>
      <w:pPr>
        <w:pStyle w:val="BodyText"/>
      </w:pPr>
      <w:r>
        <w:rPr>
          <w:b/>
        </w:rPr>
        <w:t xml:space="preserve">eMRO Product team (2 eMRO engineers + 0.5 frontend)</w:t>
      </w:r>
      <w:r>
        <w:t xml:space="preserve"> </w:t>
      </w:r>
      <w:r>
        <w:t xml:space="preserve">— owns the Java + frontend portions of sub-plans #1, #3, #6, #7. Sequentially, not in parallel.</w:t>
      </w:r>
    </w:p>
    <w:p>
      <w:pPr>
        <w:pStyle w:val="BodyText"/>
      </w:pPr>
      <w:r>
        <w:rPr>
          <w:b/>
        </w:rPr>
        <w:t xml:space="preserve">Platform &amp; SecOps (1.5 FTE)</w:t>
      </w:r>
      <w:r>
        <w:t xml:space="preserve"> </w:t>
      </w:r>
      <w:r>
        <w:t xml:space="preserve">— 1 platform observability lead + 1 SRE + 1 SecOps engineer. Owns sub-plan #9.</w:t>
      </w:r>
    </w:p>
    <w:p>
      <w:pPr>
        <w:pStyle w:val="BodyText"/>
      </w:pPr>
      <w:r>
        <w:rPr>
          <w:b/>
        </w:rPr>
        <w:t xml:space="preserve">Customer Success (1 FTE)</w:t>
      </w:r>
      <w:r>
        <w:t xml:space="preserve"> </w:t>
      </w:r>
      <w:r>
        <w:t xml:space="preserve">— dedicated customer success lead per onboarding tenant, starting week 14. Owns sub-plan #10.</w:t>
      </w:r>
    </w:p>
    <w:p>
      <w:pPr>
        <w:pStyle w:val="Heading1"/>
      </w:pPr>
      <w:bookmarkStart w:id="26" w:name="lighthouse-customer-milestones"/>
      <w:r>
        <w:t xml:space="preserve">6. Lighthouse Customer Milestones</w:t>
      </w:r>
      <w:bookmarkEnd w:id="26"/>
    </w:p>
    <w:p>
      <w:pPr>
        <w:pStyle w:val="FirstParagraph"/>
      </w:pPr>
      <w:r>
        <w:t xml:space="preserve">The lighthouse customer pilot is not a</w:t>
      </w:r>
      <w:r>
        <w:t xml:space="preserve"> </w:t>
      </w:r>
      <w:r>
        <w:t xml:space="preserve">“</w:t>
      </w:r>
      <w:r>
        <w:t xml:space="preserve">nice-to-have demo</w:t>
      </w:r>
      <w:r>
        <w:t xml:space="preserve">”</w:t>
      </w:r>
      <w:r>
        <w:t xml:space="preserve"> </w:t>
      </w:r>
      <w:r>
        <w:t xml:space="preserve">— it’s the commercial vehicle that de-risks v1 and funds v2. The schedule below assumes the lighthouse customer is signed before Week 0.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Lighthouse customer signed for shadow-mode pilot</w:t>
            </w:r>
          </w:p>
        </w:tc>
        <w:tc>
          <w:p>
            <w:pPr>
              <w:pStyle w:val="Compact"/>
              <w:jc w:val="left"/>
            </w:pPr>
            <w:r>
              <w:t xml:space="preserve">Sales + Innovation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Customer’s nightly extract runs clean against pilot dataset</w:t>
            </w:r>
          </w:p>
        </w:tc>
        <w:tc>
          <w:p>
            <w:pPr>
              <w:pStyle w:val="Compact"/>
              <w:jc w:val="left"/>
            </w:pPr>
            <w:r>
              <w:t xml:space="preserve">eMRO team + customer DBA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Feature Store backfilled with 24 months of customer history</w:t>
            </w:r>
          </w:p>
        </w:tc>
        <w:tc>
          <w:p>
            <w:pPr>
              <w:pStyle w:val="Compact"/>
              <w:jc w:val="left"/>
            </w:pPr>
            <w:r>
              <w:t xml:space="preserve">Data platform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First Agent Spine recommendation produced (stub forecaster)</w:t>
            </w:r>
          </w:p>
        </w:tc>
        <w:tc>
          <w:p>
            <w:pPr>
              <w:pStyle w:val="Compact"/>
              <w:jc w:val="left"/>
            </w:pPr>
            <w:r>
              <w:t xml:space="preserve">AI platform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Real Forecasting &amp; Policy stack producing 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ML engineering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Planner UI deployed in customer’s eMRO; planner uses it to review</w:t>
            </w:r>
          </w:p>
        </w:tc>
        <w:tc>
          <w:p>
            <w:pPr>
              <w:pStyle w:val="Compact"/>
              <w:jc w:val="left"/>
            </w:pPr>
            <w:r>
              <w:t xml:space="preserve">eMRO team + customer planning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Shadow-mode telemetry: agent recommendations vs. planner decisions</w:t>
            </w:r>
          </w:p>
        </w:tc>
        <w:tc>
          <w:p>
            <w:pPr>
              <w:pStyle w:val="Compact"/>
              <w:jc w:val="left"/>
            </w:pPr>
            <w:r>
              <w:t xml:space="preserve">ML engineering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First Business Value Report delivered</w:t>
            </w:r>
          </w:p>
        </w:tc>
        <w:tc>
          <w:p>
            <w:pPr>
              <w:pStyle w:val="Compact"/>
              <w:jc w:val="left"/>
            </w:pPr>
            <w:r>
              <w:t xml:space="preserve">ML engineering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First production Tier B/C writes (non-critical expendables)</w:t>
            </w:r>
          </w:p>
        </w:tc>
        <w:tc>
          <w:p>
            <w:pPr>
              <w:pStyle w:val="Compact"/>
              <w:jc w:val="left"/>
            </w:pPr>
            <w:r>
              <w:t xml:space="preserve">Customer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First SOC 2 Type II attestation complete</w:t>
            </w:r>
          </w:p>
        </w:tc>
        <w:tc>
          <w:p>
            <w:pPr>
              <w:pStyle w:val="Compact"/>
              <w:jc w:val="left"/>
            </w:pPr>
            <w:r>
              <w:t xml:space="preserve">SecOps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Second customer signed; v1.1 scope locked</w:t>
            </w:r>
          </w:p>
        </w:tc>
        <w:tc>
          <w:p>
            <w:pPr>
              <w:pStyle w:val="Compact"/>
              <w:jc w:val="left"/>
            </w:pPr>
            <w:r>
              <w:t xml:space="preserve">Sales + Innovation</w:t>
            </w:r>
          </w:p>
        </w:tc>
      </w:tr>
    </w:tbl>
    <w:p>
      <w:pPr>
        <w:pStyle w:val="Heading1"/>
      </w:pPr>
      <w:bookmarkStart w:id="27" w:name="one-recommendation-end-to-end"/>
      <w:r>
        <w:t xml:space="preserve">7. One Recommendation, End-to-End</w:t>
      </w:r>
      <w:bookmarkEnd w:id="27"/>
    </w:p>
    <w:p>
      <w:pPr>
        <w:pStyle w:val="FirstParagraph"/>
      </w:pPr>
      <w:r>
        <w:t xml:space="preserve">For an engineer orienting on the system, the single most-useful diagram is the recommendation pipeline — what happens, step by step, when the Supervisor is invoked for a single</w:t>
      </w:r>
      <w:r>
        <w:t xml:space="preserve"> </w:t>
      </w:r>
      <w:r>
        <w:rPr>
          <w:rStyle w:val="VerbatimChar"/>
        </w:rPr>
        <w:t xml:space="preserve">(tenant, pn, location)</w:t>
      </w:r>
      <w:r>
        <w:t xml:space="preserve"> </w:t>
      </w:r>
      <w:r>
        <w:t xml:space="preserve">optimization request.</w:t>
      </w:r>
    </w:p>
    <w:p>
      <w:pPr>
        <w:pStyle w:val="CaptionedFigure"/>
      </w:pPr>
      <w:r>
        <w:drawing>
          <wp:inline>
            <wp:extent cx="5334000" cy="14869806"/>
            <wp:effectExtent b="0" l="0" r="0" t="0"/>
            <wp:docPr descr="Recommendation Pipeline" title="" id="1" name="Picture"/>
            <a:graphic>
              <a:graphicData uri="http://schemas.openxmlformats.org/drawingml/2006/picture">
                <pic:pic>
                  <pic:nvPicPr>
                    <pic:cNvPr descr="../diagrams/png/05-recommendation-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6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Recommendation Pipeline</w:t>
      </w:r>
    </w:p>
    <w:p>
      <w:pPr>
        <w:pStyle w:val="BodyText"/>
      </w:pPr>
      <w:r>
        <w:t xml:space="preserve">Execution is deterministic: Data → Regime → Forecast → Policy → Guardrail → (Queue OR Writeback) → Audit. The Guardrail Agent is where governance is enforced; the Writeback Agent is the only component allowed to mutate</w:t>
      </w:r>
      <w:r>
        <w:t xml:space="preserve"> </w:t>
      </w:r>
      <w:r>
        <w:rPr>
          <w:rStyle w:val="VerbatimChar"/>
        </w:rPr>
        <w:t xml:space="preserve">PN_INVENTORY_LEVEL</w:t>
      </w:r>
      <w:r>
        <w:t xml:space="preserve">. Every step emits OTel spans tagged with tenant, session, and provenance ID; every decision is mirrored to the immutable audit bucket.</w:t>
      </w:r>
    </w:p>
    <w:p>
      <w:pPr>
        <w:pStyle w:val="Heading1"/>
      </w:pPr>
      <w:bookmarkStart w:id="29" w:name="event-lane"/>
      <w:r>
        <w:t xml:space="preserve">8. Event Lane</w:t>
      </w:r>
      <w:bookmarkEnd w:id="29"/>
    </w:p>
    <w:p>
      <w:pPr>
        <w:pStyle w:val="FirstParagraph"/>
      </w:pPr>
      <w:r>
        <w:t xml:space="preserve">The event lane handles real-time responsiveness — the 5% of changes where minutes matter. Airworthiness directives, sudden wash-rate spikes, vendor lead-time collapse, fleet changes. For an engineer working on sub-plans #3 or #4, this diagram is the operational reference.</w:t>
      </w:r>
    </w:p>
    <w:p>
      <w:pPr>
        <w:pStyle w:val="CaptionedFigure"/>
      </w:pPr>
      <w:r>
        <w:drawing>
          <wp:inline>
            <wp:extent cx="5334000" cy="1539487"/>
            <wp:effectExtent b="0" l="0" r="0" t="0"/>
            <wp:docPr descr="Event Lane Architecture" title="" id="1" name="Picture"/>
            <a:graphic>
              <a:graphicData uri="http://schemas.openxmlformats.org/drawingml/2006/picture">
                <pic:pic>
                  <pic:nvPicPr>
                    <pic:cNvPr descr="../diagrams/png/04-event-la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9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Event Lane Architecture</w:t>
      </w:r>
    </w:p>
    <w:p>
      <w:pPr>
        <w:pStyle w:val="BodyText"/>
      </w:pPr>
      <w:r>
        <w:t xml:space="preserve">The producer-side plumbing (DB triggers, outbox, drainer, DLQ, operator UI) is built once per eMRO release and inherited by every customer. The consumer-side plumbing (API Gateway, Lambda, Kinesis, three parallel fan-outs) lives in Trax IO’s AWS account and is multi-tenant-scoped at every layer.</w:t>
      </w:r>
    </w:p>
    <w:p>
      <w:pPr>
        <w:pStyle w:val="BodyText"/>
      </w:pPr>
      <w:r>
        <w:t xml:space="preserve">The contract between producer and consumer is frozen in</w:t>
      </w:r>
      <w:r>
        <w:t xml:space="preserve"> </w:t>
      </w:r>
      <w:r>
        <w:rPr>
          <w:rStyle w:val="VerbatimChar"/>
        </w:rPr>
        <w:t xml:space="preserve">docs/contracts/2026-04-14-emro-event-publisher-contract.md</w:t>
      </w:r>
      <w:r>
        <w:t xml:space="preserve">. Changes require a joint eMRO + Trax IO review and a semver bump; breaking changes require a full eMRO release cycle deprecation window.</w:t>
      </w:r>
    </w:p>
    <w:p>
      <w:pPr>
        <w:pStyle w:val="Heading1"/>
      </w:pPr>
      <w:bookmarkStart w:id="31" w:name="tenant-onboarding-lifecycle"/>
      <w:r>
        <w:t xml:space="preserve">9. Tenant Onboarding Lifecycle</w:t>
      </w:r>
      <w:bookmarkEnd w:id="31"/>
    </w:p>
    <w:p>
      <w:pPr>
        <w:pStyle w:val="FirstParagraph"/>
      </w:pPr>
      <w:r>
        <w:t xml:space="preserve">A tenant moves from contract signature to production writes through nine phases, each with measurable exit criteria. Sub-plan #10 codifies this as an operational runbook; this diagram is the mental model.</w:t>
      </w:r>
    </w:p>
    <w:p>
      <w:pPr>
        <w:pStyle w:val="CaptionedFigure"/>
      </w:pPr>
      <w:r>
        <w:drawing>
          <wp:inline>
            <wp:extent cx="5334000" cy="1580842"/>
            <wp:effectExtent b="0" l="0" r="0" t="0"/>
            <wp:docPr descr="Tenant Onboarding Lifecycle" title="" id="1" name="Picture"/>
            <a:graphic>
              <a:graphicData uri="http://schemas.openxmlformats.org/drawingml/2006/picture">
                <pic:pic>
                  <pic:nvPicPr>
                    <pic:cNvPr descr="../diagrams/png/06-onboarding-lifecyc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Onboarding Lifecycle</w:t>
      </w:r>
    </w:p>
    <w:p>
      <w:pPr>
        <w:pStyle w:val="BodyText"/>
      </w:pPr>
      <w:r>
        <w:t xml:space="preserve">The product’s single most-important risk mitigation is</w:t>
      </w:r>
      <w:r>
        <w:t xml:space="preserve"> </w:t>
      </w:r>
      <w:r>
        <w:rPr>
          <w:b/>
        </w:rPr>
        <w:t xml:space="preserve">Phase 5 Shadow Mode</w:t>
      </w:r>
      <w:r>
        <w:t xml:space="preserve">. Every new tenant spends 30–90 days with every recommendation forced to Tier A (no writes). Exit requires weighted MAPE ≤ tenant target, planner</w:t>
      </w:r>
      <w:r>
        <w:t xml:space="preserve"> </w:t>
      </w:r>
      <w:r>
        <w:t xml:space="preserve">“</w:t>
      </w:r>
      <w:r>
        <w:t xml:space="preserve">would approve</w:t>
      </w:r>
      <w:r>
        <w:t xml:space="preserve">”</w:t>
      </w:r>
      <w:r>
        <w:t xml:space="preserve"> </w:t>
      </w:r>
      <w:r>
        <w:t xml:space="preserve">rate ≥ 70%, zero isolation incidents, and explicit planner sign-off.</w:t>
      </w:r>
    </w:p>
    <w:p>
      <w:pPr>
        <w:pStyle w:val="BodyText"/>
      </w:pPr>
      <w:r>
        <w:t xml:space="preserve">Phase 6 Canary is the narrow first slice of real writes — tier-5 consumables under $100, single station only. 30 days clean with rollback rate &lt; 2% and zero AOG incidents before expanding.</w:t>
      </w:r>
    </w:p>
    <w:p>
      <w:pPr>
        <w:pStyle w:val="BodyText"/>
      </w:pPr>
      <w:r>
        <w:t xml:space="preserve">Phases 7 and 8 (Tier C and Tier B expansions) follow a weekly widening schedule. Each weekly gate requires clean metrics from the prior week. Any regression rolls back to the prior phase rather than forcing forward.</w:t>
      </w:r>
      <w:r>
        <w:t xml:space="preserve"> </w:t>
      </w:r>
      <w:r>
        <w:t xml:space="preserve">“</w:t>
      </w:r>
      <w:r>
        <w:t xml:space="preserve">We will not break the customer for schedule reasons</w:t>
      </w:r>
      <w:r>
        <w:t xml:space="preserve">”</w:t>
      </w:r>
      <w:r>
        <w:t xml:space="preserve"> </w:t>
      </w:r>
      <w:r>
        <w:t xml:space="preserve">is a hard rule.</w:t>
      </w:r>
    </w:p>
    <w:p>
      <w:pPr>
        <w:pStyle w:val="BodyText"/>
      </w:pPr>
      <w:r>
        <w:t xml:space="preserve">Kill switches cut across every phase: per-tenant reverts the agent to shadow mode within 60 seconds; global covers all tenants within 5 minutes.</w:t>
      </w:r>
    </w:p>
    <w:p>
      <w:pPr>
        <w:pStyle w:val="Heading1"/>
      </w:pPr>
      <w:bookmarkStart w:id="33" w:name="cross-cutting-concerns"/>
      <w:r>
        <w:t xml:space="preserve">10. Cross-Cutting Concerns</w:t>
      </w:r>
      <w:bookmarkEnd w:id="33"/>
    </w:p>
    <w:p>
      <w:pPr>
        <w:pStyle w:val="FirstParagraph"/>
      </w:pPr>
      <w:r>
        <w:t xml:space="preserve">Every engineer in every sub-plan needs to internalize these.</w:t>
      </w:r>
    </w:p>
    <w:p>
      <w:pPr>
        <w:pStyle w:val="BodyText"/>
      </w:pPr>
      <w:r>
        <w:rPr>
          <w:b/>
        </w:rPr>
        <w:t xml:space="preserve">Tenant isolation</w:t>
      </w:r>
      <w:r>
        <w:t xml:space="preserve"> </w:t>
      </w:r>
      <w:r>
        <w:t xml:space="preserve">is the single highest-stakes invariant. Enforced at the contract layer (</w:t>
      </w:r>
      <w:r>
        <w:rPr>
          <w:rStyle w:val="VerbatimChar"/>
        </w:rPr>
        <w:t xml:space="preserve">TenantContext</w:t>
      </w:r>
      <w:r>
        <w:t xml:space="preserve"> </w:t>
      </w:r>
      <w:r>
        <w:t xml:space="preserve">propagation), the agent layer (</w:t>
      </w:r>
      <w:r>
        <w:rPr>
          <w:rStyle w:val="VerbatimChar"/>
        </w:rPr>
        <w:t xml:space="preserve">Specialist._assert_tenant_match</w:t>
      </w:r>
      <w:r>
        <w:t xml:space="preserve">), the data layer (Feature Store namespaces + KMS), and the infrastructure layer (per-tenant CDK stacks). Synthetic cross-tenant access attempts run in every CI run; any success fails the build.</w:t>
      </w:r>
    </w:p>
    <w:p>
      <w:pPr>
        <w:pStyle w:val="BodyText"/>
      </w:pPr>
      <w:r>
        <w:rPr>
          <w:b/>
        </w:rPr>
        <w:t xml:space="preserve">SOC 2 evidence</w:t>
      </w:r>
      <w:r>
        <w:t xml:space="preserve"> </w:t>
      </w:r>
      <w:r>
        <w:t xml:space="preserve">is not a post-hoc audit — it is the way the platform is built. Every sub-plan’s CI gate includes observability lint verifying expected tenant-tagged spans, cost records, and audit events. CloudTrail tags, KMS envelope encryption, and audit-log emission are non-negotiable.</w:t>
      </w:r>
    </w:p>
    <w:p>
      <w:pPr>
        <w:pStyle w:val="BodyText"/>
      </w:pPr>
      <w:r>
        <w:rPr>
          <w:b/>
        </w:rPr>
        <w:t xml:space="preserve">Contract-first integrations.</w:t>
      </w:r>
      <w:r>
        <w:t xml:space="preserve"> </w:t>
      </w:r>
      <w:r>
        <w:t xml:space="preserve">The four integrations with eMRO (Extract, Event Publisher, Writeback REST, Planner UI) and the two internal cross-team boundaries (Feature Store Protocol, Forecasting/Policy Protocol) are all governed by versioned contracts and shared test packages. Drift fails CI in both repos.</w:t>
      </w:r>
    </w:p>
    <w:p>
      <w:pPr>
        <w:pStyle w:val="BodyText"/>
      </w:pPr>
      <w:r>
        <w:rPr>
          <w:b/>
        </w:rPr>
        <w:t xml:space="preserve">Prompt injection defense.</w:t>
      </w:r>
      <w:r>
        <w:t xml:space="preserve"> </w:t>
      </w:r>
      <w:r>
        <w:t xml:space="preserve">Free-text eMRO fields (</w:t>
      </w:r>
      <w:r>
        <w:rPr>
          <w:rStyle w:val="VerbatimChar"/>
        </w:rPr>
        <w:t xml:space="preserve">REMOVAL_REASON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DemandNote</w:t>
      </w:r>
      <w:r>
        <w:t xml:space="preserve">, etc.) are mechanic-authored and treated as untrusted. Defensive prompt construction; strict tool-use scopes; v1 red-team suite includes injection payloads in the evaluation corpus.</w:t>
      </w:r>
    </w:p>
    <w:p>
      <w:pPr>
        <w:pStyle w:val="BodyText"/>
      </w:pPr>
      <w:r>
        <w:rPr>
          <w:b/>
        </w:rPr>
        <w:t xml:space="preserve">Bedrock cost observability.</w:t>
      </w:r>
      <w:r>
        <w:t xml:space="preserve"> </w:t>
      </w:r>
      <w:r>
        <w:t xml:space="preserve">Multi-tenant SaaS on a reasoning-heavy agent stack can surprise the P&amp;L. Per-tenant cost is a first-class metric, tagged on every LLM invocation and SageMaker inference. Anomaly alerts fire before the monthly bill surprises anyone.</w:t>
      </w:r>
    </w:p>
    <w:p>
      <w:pPr>
        <w:pStyle w:val="Heading1"/>
      </w:pPr>
      <w:bookmarkStart w:id="34" w:name="risk-register"/>
      <w:r>
        <w:t xml:space="preserve">11. Risk Register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DBA refuses Trax-signed extract utility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Pre-approved security review package; DMS/CDC fallback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Forward flight plan integration (v2) blocked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Begin OCC integration scoping at Wave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Bedrock cost ceiling breached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Per-tenant cost ledger from day one; commercial contract overage pricing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Long-tail forecast quality regresses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Empirical-Bayes priors + FM challenger; fallback to static</w:t>
            </w:r>
            <w:r>
              <w:t xml:space="preserve"> </w:t>
            </w:r>
            <w:r>
              <w:rPr>
                <w:rStyle w:val="VerbatimChar"/>
              </w:rPr>
              <w:t xml:space="preserve">PN_INVENTORY_LEVEL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Planner trust collapses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Trust-score telemetry; calibration consulting in onboarding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eMRO release train slips, missing #3/#6/#7 window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Two-release-train plan: #3 and #6/#7 decoupled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injection via free-text fields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Red-team suite; defensive prompt 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Lighthouse customer departs before Tier B/C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Monthly BVR anchors retention; second tenant by week 28</w:t>
            </w:r>
          </w:p>
        </w:tc>
      </w:tr>
    </w:tbl>
    <w:p>
      <w:pPr>
        <w:pStyle w:val="Heading1"/>
      </w:pPr>
      <w:bookmarkStart w:id="35" w:name="success-criteria-for-v1"/>
      <w:r>
        <w:t xml:space="preserve">12. Success Criteria for v1</w:t>
      </w:r>
      <w:bookmarkEnd w:id="35"/>
    </w:p>
    <w:p>
      <w:pPr>
        <w:numPr>
          <w:ilvl w:val="0"/>
          <w:numId w:val="1001"/>
        </w:numPr>
        <w:pStyle w:val="Compact"/>
      </w:pPr>
      <w:r>
        <w:t xml:space="preserve">Lighthouse tenant in shadow mode within two quarters of plan approval.</w:t>
      </w:r>
    </w:p>
    <w:p>
      <w:pPr>
        <w:numPr>
          <w:ilvl w:val="0"/>
          <w:numId w:val="1001"/>
        </w:numPr>
        <w:pStyle w:val="Compact"/>
      </w:pPr>
      <w:r>
        <w:t xml:space="preserve">Ninety days of shadow-mode telemetry showing agent recommendations at least as good as planner decisions on weighted MAPE and cost.</w:t>
      </w:r>
    </w:p>
    <w:p>
      <w:pPr>
        <w:numPr>
          <w:ilvl w:val="0"/>
          <w:numId w:val="1001"/>
        </w:numPr>
        <w:pStyle w:val="Compact"/>
      </w:pPr>
      <w:r>
        <w:t xml:space="preserve">First Tier B/C writes on tier-4 expendables within one month of shadow exit.</w:t>
      </w:r>
    </w:p>
    <w:p>
      <w:pPr>
        <w:numPr>
          <w:ilvl w:val="0"/>
          <w:numId w:val="1001"/>
        </w:numPr>
        <w:pStyle w:val="Compact"/>
      </w:pPr>
      <w:r>
        <w:t xml:space="preserve">First monthly Business Value Report delivered within 30 days of first production writes.</w:t>
      </w:r>
    </w:p>
    <w:p>
      <w:pPr>
        <w:numPr>
          <w:ilvl w:val="0"/>
          <w:numId w:val="1001"/>
        </w:numPr>
        <w:pStyle w:val="Compact"/>
      </w:pPr>
      <w:r>
        <w:t xml:space="preserve">SOC 2 Type II first attestation complete before the lighthouse exits shadow.</w:t>
      </w:r>
    </w:p>
    <w:p>
      <w:pPr>
        <w:numPr>
          <w:ilvl w:val="0"/>
          <w:numId w:val="1001"/>
        </w:numPr>
        <w:pStyle w:val="Compact"/>
      </w:pPr>
      <w:r>
        <w:t xml:space="preserve">Second tenant signed before v1.1 scope locks.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Trax IO — Engineering Execution Guide</dc:title>
  <dc:creator>Miguel Sosa, VP Head of Innovation · Trax</dc:creator>
  <dc:language>en-US</dc:language>
  <cp:keywords/>
  <dcterms:created xsi:type="dcterms:W3CDTF">2026-04-14T23:39:19Z</dcterms:created>
  <dcterms:modified xsi:type="dcterms:W3CDTF">2026-04-14T23:39:19Z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subtitle">
    <vt:lpwstr>v1 Build Roadmap, Team Assignments, and Phase Gates</vt:lpwstr>
  </property>
</Properties>
</file>