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Trax IO — Full Feature Guide</w:t>
      </w:r>
    </w:p>
    <w:p>
      <w:pPr>
        <w:pStyle w:val="Subtitle"/>
      </w:pPr>
      <w:r>
        <w:t xml:space="preserve">What Actually Runs Today: v1 Reference Implementation Walkthrough</w:t>
      </w:r>
    </w:p>
    <w:p>
      <w:pPr>
        <w:pStyle w:val="Author"/>
      </w:pPr>
      <w:r>
        <w:t xml:space="preserve">Miguel Sosa, VP Head of Innovation · Trax</w:t>
      </w:r>
    </w:p>
    <w:p>
      <w:pPr>
        <w:pStyle w:val="Date"/>
      </w:pPr>
      <w:r>
        <w:t xml:space="preserve">2026-07-06</w:t>
      </w:r>
    </w:p>
    <w:bookmarkStart w:id="9" w:name="purpose-and-how-to-read-this-guide"/>
    <w:p>
      <w:pPr>
        <w:pStyle w:val="Heading1"/>
      </w:pPr>
      <w:r>
        <w:t xml:space="preserve">1. Purpose and How to Read This Guide</w:t>
      </w:r>
    </w:p>
    <w:p>
      <w:pPr>
        <w:pStyle w:val="FirstParagraph"/>
      </w:pPr>
      <w:r>
        <w:t xml:space="preserve">The Technical Architecture Guide (dated 2026-04-14) describes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AWS-native</w:t>
      </w:r>
      <w:r>
        <w:t xml:space="preserve"> </w:t>
      </w:r>
      <w:r>
        <w:t xml:space="preserve">design — Bedrock AgentCore, Strands, SageMaker, Glue + Iceberg, DynamoDB. It was written</w:t>
      </w:r>
      <w:r>
        <w:t xml:space="preserve"> </w:t>
      </w:r>
      <w:r>
        <w:t xml:space="preserve">before a line of implementation existed. This guide is its companion for what’s true</w:t>
      </w:r>
      <w:r>
        <w:t xml:space="preserve"> </w:t>
      </w:r>
      <w:r>
        <w:t xml:space="preserve">today: a substantial, independently-tested</w:t>
      </w:r>
      <w:r>
        <w:t xml:space="preserve"> </w:t>
      </w:r>
      <w:r>
        <w:rPr>
          <w:b/>
          <w:bCs/>
        </w:rPr>
        <w:t xml:space="preserve">local reference implementation</w:t>
      </w:r>
      <w:r>
        <w:t xml:space="preserve"> </w:t>
      </w:r>
      <w:r>
        <w:t xml:space="preserve">that</w:t>
      </w:r>
      <w:r>
        <w:t xml:space="preserve"> </w:t>
      </w:r>
      <w:r>
        <w:t xml:space="preserve">proves the entire recommendation lifecycle end-to-end — extract, feature store,</w:t>
      </w:r>
      <w:r>
        <w:t xml:space="preserve"> </w:t>
      </w:r>
      <w:r>
        <w:t xml:space="preserve">forecasting, deterministic policy engine, guardrails, audited writeback, and a</w:t>
      </w:r>
      <w:r>
        <w:t xml:space="preserve"> </w:t>
      </w:r>
      <w:r>
        <w:t xml:space="preserve">full React frontend — without yet touching AWS.</w:t>
      </w:r>
    </w:p>
    <w:p>
      <w:pPr>
        <w:pStyle w:val="BodyText"/>
      </w:pPr>
      <w:r>
        <w:t xml:space="preserve">Read this guide to understand what the product actually does and how a user or</w:t>
      </w:r>
      <w:r>
        <w:t xml:space="preserve"> </w:t>
      </w:r>
      <w:r>
        <w:t xml:space="preserve">reviewer can exercise it today. Read the</w:t>
      </w:r>
      <w:r>
        <w:t xml:space="preserve"> </w:t>
      </w:r>
      <w:r>
        <w:rPr>
          <w:b/>
          <w:bCs/>
        </w:rPr>
        <w:t xml:space="preserve">AWS Infrastructure Guide</w:t>
      </w:r>
      <w:r>
        <w:t xml:space="preserve"> </w:t>
      </w:r>
      <w:r>
        <w:t xml:space="preserve">for what</w:t>
      </w:r>
      <w:r>
        <w:t xml:space="preserve"> </w:t>
      </w:r>
      <w:r>
        <w:t xml:space="preserve">target-state cloud footprint the design calls for, what’s already written as</w:t>
      </w:r>
      <w:r>
        <w:t xml:space="preserve"> </w:t>
      </w:r>
      <w:r>
        <w:t xml:space="preserve">CDK infrastructure-as-code, and what remains before any of it deploys.</w:t>
      </w:r>
    </w:p>
    <w:p>
      <w:pPr>
        <w:pStyle w:val="BodyText"/>
      </w:pPr>
      <w:r>
        <w:rPr>
          <w:b/>
          <w:bCs/>
        </w:rPr>
        <w:t xml:space="preserve">One sentence on why this exists:</w:t>
      </w:r>
      <w:r>
        <w:t xml:space="preserve"> </w:t>
      </w:r>
      <w:r>
        <w:t xml:space="preserve">building the real decision logic, guardrails,</w:t>
      </w:r>
      <w:r>
        <w:t xml:space="preserve"> </w:t>
      </w:r>
      <w:r>
        <w:t xml:space="preserve">and the UI first — in plain Python and Docker — lets the product be reviewed,</w:t>
      </w:r>
      <w:r>
        <w:t xml:space="preserve"> </w:t>
      </w:r>
      <w:r>
        <w:t xml:space="preserve">UAT-tested, and demoed months before an AWS deployment pipeline exists, and de-risks</w:t>
      </w:r>
      <w:r>
        <w:t xml:space="preserve"> </w:t>
      </w:r>
      <w:r>
        <w:t xml:space="preserve">the AWS migration to an infrastructure problem rather than a logic problem.</w:t>
      </w:r>
    </w:p>
    <w:bookmarkEnd w:id="9"/>
    <w:bookmarkStart w:id="10" w:name="system-map"/>
    <w:p>
      <w:pPr>
        <w:pStyle w:val="Heading1"/>
      </w:pPr>
      <w:r>
        <w:t xml:space="preserve">2. System Map</w:t>
      </w:r>
    </w:p>
    <w:p>
      <w:pPr>
        <w:pStyle w:val="FirstParagraph"/>
      </w:pPr>
      <w:r>
        <w:t xml:space="preserve">Eight independently-tested packages, wired by four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path dependencies and one</w:t>
      </w:r>
      <w:r>
        <w:t xml:space="preserve"> </w:t>
      </w:r>
      <w:r>
        <w:t xml:space="preserve">HTTP-consuming frontend. Everything runs on a laptop or in the project’s own</w:t>
      </w:r>
      <w:r>
        <w:t xml:space="preserve"> </w:t>
      </w:r>
      <w:r>
        <w:t xml:space="preserve">Docker Compose stack — nothing here requires an AWS account.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tools/nightly-extract</w:t>
            </w:r>
          </w:p>
        </w:tc>
        <w:tc>
          <w:tcPr/>
          <w:p>
            <w:pPr>
              <w:pStyle w:val="Compact"/>
            </w:pPr>
            <w:r>
              <w:t xml:space="preserve">Python CLI</w:t>
            </w:r>
          </w:p>
        </w:tc>
        <w:tc>
          <w:tcPr/>
          <w:p>
            <w:pPr>
              <w:pStyle w:val="Compact"/>
            </w:pPr>
            <w:r>
              <w:t xml:space="preserve">21 canonical SQL domains against eMRO Oracle; offline sample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services/feature-store</w:t>
            </w:r>
          </w:p>
        </w:tc>
        <w:tc>
          <w:tcPr/>
          <w:p>
            <w:pPr>
              <w:pStyle w:val="Compact"/>
            </w:pPr>
            <w:r>
              <w:t xml:space="preserve">Python + pydantic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FeatureStoreClient</w:t>
            </w:r>
            <w:r>
              <w:t xml:space="preserve"> </w:t>
            </w:r>
            <w:r>
              <w:t xml:space="preserve">Protocol;</w:t>
            </w:r>
            <w:r>
              <w:t xml:space="preserve"> </w:t>
            </w:r>
            <w:r>
              <w:rPr>
                <w:rStyle w:val="VerbatimChar"/>
              </w:rPr>
              <w:t xml:space="preserve">InMemoryFeatureStore</w:t>
            </w:r>
            <w:r>
              <w:t xml:space="preserve"> </w:t>
            </w:r>
            <w:r>
              <w:t xml:space="preserve">reference impl; 11 feature-group schemas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services/recommendation-engine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Context assembly, regime-routed forecasting, deterministic policy +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services/forecasting</w:t>
            </w:r>
          </w:p>
        </w:tc>
        <w:tc>
          <w:tcPr/>
          <w:p>
            <w:pPr>
              <w:pStyle w:val="Compact"/>
            </w:pPr>
            <w:r>
              <w:t xml:space="preserve">Python (statsforecast, sklearn, scipy)</w:t>
            </w:r>
          </w:p>
        </w:tc>
        <w:tc>
          <w:tcPr/>
          <w:p>
            <w:pPr>
              <w:pStyle w:val="Compact"/>
            </w:pPr>
            <w:r>
              <w:t xml:space="preserve">3 regime-specific projector slices behind one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services/event-publisher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Canonical event schema + conformance harness for the eMRO event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services/agent-spine</w:t>
            </w:r>
          </w:p>
        </w:tc>
        <w:tc>
          <w:tcPr/>
          <w:p>
            <w:pPr>
              <w:pStyle w:val="Compac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t xml:space="preserve">Orchestration CLI, event ingestion, Cedar autonomy policy, audited writeback, Planner-UI BFF, BVR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</w:p>
        </w:tc>
        <w:tc>
          <w:tcPr/>
          <w:p>
            <w:pPr>
              <w:pStyle w:val="Compact"/>
            </w:pPr>
            <w:r>
              <w:t xml:space="preserve">React 18 + TS + Tailwind</w:t>
            </w:r>
          </w:p>
        </w:tc>
        <w:tc>
          <w:tcPr/>
          <w:p>
            <w:pPr>
              <w:pStyle w:val="Compact"/>
            </w:pPr>
            <w:r>
              <w:t xml:space="preserve">“Trax Inventory Optimizer”</w:t>
            </w:r>
            <w:r>
              <w:t xml:space="preserve"> </w:t>
            </w:r>
            <w:r>
              <w:t xml:space="preserve">— the full 7-view PRD-faithful app, sub-project #7’s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infra/feature-store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infra/observability-soc2</w:t>
            </w:r>
          </w:p>
        </w:tc>
        <w:tc>
          <w:tcPr/>
          <w:p>
            <w:pPr>
              <w:pStyle w:val="Compact"/>
            </w:pPr>
            <w:r>
              <w:t xml:space="preserve">AWS CDK (Python)</w:t>
            </w:r>
          </w:p>
        </w:tc>
        <w:tc>
          <w:tcPr/>
          <w:p>
            <w:pPr>
              <w:pStyle w:val="Compact"/>
            </w:pPr>
            <w:r>
              <w:t xml:space="preserve">Synth-tested infrastructure-as-code — see the AWS Infrastructure Guide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flow, today:</w:t>
      </w:r>
      <w:r>
        <w:t xml:space="preserve"> </w:t>
      </w:r>
      <w:r>
        <w:t xml:space="preserve">a nightly extract directory (either the 21-domain sample</w:t>
      </w:r>
      <w:r>
        <w:t xml:space="preserve"> </w:t>
      </w:r>
      <w:r>
        <w:t xml:space="preserve">fixture or a real Oracle-shaped export) seeds an in-memory feature store. The</w:t>
      </w:r>
      <w:r>
        <w:t xml:space="preserve"> </w:t>
      </w:r>
      <w:r>
        <w:t xml:space="preserve">recommendation engine reads through a</w:t>
      </w:r>
      <w:r>
        <w:t xml:space="preserve"> </w:t>
      </w:r>
      <w:r>
        <w:rPr>
          <w:rStyle w:val="VerbatimChar"/>
        </w:rPr>
        <w:t xml:space="preserve">FeatureReader</w:t>
      </w:r>
      <w:r>
        <w:t xml:space="preserve">/</w:t>
      </w:r>
      <w:r>
        <w:rPr>
          <w:rStyle w:val="VerbatimChar"/>
        </w:rPr>
        <w:t xml:space="preserve">ContextAssembler</w:t>
      </w:r>
      <w:r>
        <w:t xml:space="preserve"> </w:t>
      </w:r>
      <w:r>
        <w:t xml:space="preserve">pair to</w:t>
      </w:r>
      <w:r>
        <w:t xml:space="preserve"> </w:t>
      </w:r>
      <w:r>
        <w:t xml:space="preserve">build a full</w:t>
      </w:r>
      <w:r>
        <w:t xml:space="preserve"> </w:t>
      </w:r>
      <w:r>
        <w:rPr>
          <w:rStyle w:val="VerbatimChar"/>
        </w:rPr>
        <w:t xml:space="preserve">PartLocationContext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(pn, location)</w:t>
      </w:r>
      <w:r>
        <w:t xml:space="preserve">, runs it through</w:t>
      </w:r>
      <w:r>
        <w:t xml:space="preserve"> </w:t>
      </w:r>
      <w:r>
        <w:t xml:space="preserve">regime-routed forecasting and the deterministic policy engine, and emits a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 </w:t>
      </w:r>
      <w:r>
        <w:t xml:space="preserve">with guardrail-checked autonomy tier and full provenance. The</w:t>
      </w:r>
      <w:r>
        <w:t xml:space="preserve"> </w:t>
      </w:r>
      <w:r>
        <w:t xml:space="preserve">agent-spine orchestrates this, applies writes through an audited, rollback-capable</w:t>
      </w:r>
      <w:r>
        <w:t xml:space="preserve"> </w:t>
      </w:r>
      <w:r>
        <w:t xml:space="preserve">writeback target, and serves everything to the frontend over one FastAPI BFF.</w:t>
      </w:r>
      <w:r>
        <w:t xml:space="preserve"> </w:t>
      </w:r>
      <w:r>
        <w:t xml:space="preserve">No LLM, no agent framework, and no cloud service sits in this path today — it is</w:t>
      </w:r>
      <w:r>
        <w:t xml:space="preserve"> </w:t>
      </w:r>
      <w:r>
        <w:t xml:space="preserve">pure, fast, fully-tested Python, deliberately built behind the same interfaces</w:t>
      </w:r>
      <w:r>
        <w:t xml:space="preserve"> </w:t>
      </w:r>
      <w:r>
        <w:t xml:space="preserve">the AWS-native version will implement (see ADR-0002, ADR-0003).</w:t>
      </w:r>
    </w:p>
    <w:bookmarkEnd w:id="10"/>
    <w:bookmarkStart w:id="11" w:name="nightly-extract-data-ingestion"/>
    <w:p>
      <w:pPr>
        <w:pStyle w:val="Heading1"/>
      </w:pPr>
      <w:r>
        <w:t xml:space="preserve">3. Nightly Extract &amp; Data Ingestion</w:t>
      </w:r>
    </w:p>
    <w:p>
      <w:pPr>
        <w:pStyle w:val="FirstParagraph"/>
      </w:pPr>
      <w:r>
        <w:rPr>
          <w:rStyle w:val="VerbatimChar"/>
        </w:rPr>
        <w:t xml:space="preserve">tools/nightly-extract</w:t>
      </w:r>
      <w:r>
        <w:t xml:space="preserve"> </w:t>
      </w:r>
      <w:r>
        <w:t xml:space="preserve">implements the 21 canonical SQL domains against eMRO’s</w:t>
      </w:r>
      <w:r>
        <w:t xml:space="preserve"> </w:t>
      </w:r>
      <w:r>
        <w:t xml:space="preserve">Oracle schema — the single source of truth for every extract query is</w:t>
      </w:r>
      <w:r>
        <w:t xml:space="preserve"> </w:t>
      </w:r>
      <w:r>
        <w:rPr>
          <w:rStyle w:val="VerbatimChar"/>
        </w:rPr>
        <w:t xml:space="preserve">~/Downloads/PTC Project Files/eMRO Data SQLs.sql</w:t>
      </w:r>
      <w:r>
        <w:t xml:space="preserve">, with legacy</w:t>
      </w:r>
      <w:r>
        <w:t xml:space="preserve"> </w:t>
      </w:r>
      <w:r>
        <w:rPr>
          <w:rStyle w:val="VerbatimChar"/>
        </w:rPr>
        <w:t xml:space="preserve">PKG_TRAX_PTC</w:t>
      </w:r>
      <w:r>
        <w:t xml:space="preserve"> </w:t>
      </w:r>
      <w:r>
        <w:t xml:space="preserve">PL/SQL logic (</w:t>
      </w:r>
      <w:r>
        <w:rPr>
          <w:rStyle w:val="VerbatimChar"/>
        </w:rPr>
        <w:t xml:space="preserve">getKitCost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getRecordsType</w:t>
      </w:r>
      <w:r>
        <w:t xml:space="preserve">) inlined directly into the SQL so v1</w:t>
      </w:r>
      <w:r>
        <w:t xml:space="preserve"> </w:t>
      </w:r>
      <w:r>
        <w:t xml:space="preserve">has no package dependency. An extract manifest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docs/contracts/2026-04-17-extract-manifest-contract.md</w:t>
      </w:r>
      <w:r>
        <w:t xml:space="preserve">) governs the</w:t>
      </w:r>
      <w:r>
        <w:t xml:space="preserve"> </w:t>
      </w:r>
      <w:r>
        <w:t xml:space="preserve">SHA-256-checked handoff between an extract run and everything downstream.</w:t>
      </w:r>
    </w:p>
    <w:p>
      <w:pPr>
        <w:pStyle w:val="BodyText"/>
      </w:pPr>
      <w:r>
        <w:t xml:space="preserve">Two ways to get an extract directory today: a real Oracle connection (Phase 2,</w:t>
      </w:r>
      <w:r>
        <w:t xml:space="preserve"> </w:t>
      </w:r>
      <w:r>
        <w:t xml:space="preserve">gated behind live database access), or the checked-in sample fixture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services/recommendation-engine/examples/extract_sample</w:t>
      </w:r>
      <w:r>
        <w:t xml:space="preserve">, ~21,215 keys) used for</w:t>
      </w:r>
      <w:r>
        <w:t xml:space="preserve"> </w:t>
      </w:r>
      <w:r>
        <w:t xml:space="preserve">every UAT and demo path in this guide. The full local Docker stack instead mounts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complete, real, eMRO-shaped 58.9K-key extract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deploy/_local_extract/emro_net_full_snapshot</w:t>
      </w:r>
      <w:r>
        <w:t xml:space="preserve">, gitignored, regenerated via the</w:t>
      </w:r>
      <w:r>
        <w:t xml:space="preserve"> </w:t>
      </w:r>
      <w:r>
        <w:rPr>
          <w:rStyle w:val="VerbatimChar"/>
        </w:rPr>
        <w:t xml:space="preserve">trax-io-precompute</w:t>
      </w:r>
      <w:r>
        <w:t xml:space="preserve"> </w:t>
      </w:r>
      <w:r>
        <w:t xml:space="preserve">entrypoint) — the closest thing to production scale this</w:t>
      </w:r>
      <w:r>
        <w:t xml:space="preserve"> </w:t>
      </w:r>
      <w:r>
        <w:t xml:space="preserve">implementation exercises.</w:t>
      </w:r>
    </w:p>
    <w:bookmarkEnd w:id="11"/>
    <w:bookmarkStart w:id="12" w:name="feature-store"/>
    <w:p>
      <w:pPr>
        <w:pStyle w:val="Heading1"/>
      </w:pPr>
      <w:r>
        <w:t xml:space="preserve">4. Feature Store</w:t>
      </w:r>
    </w:p>
    <w:p>
      <w:pPr>
        <w:pStyle w:val="FirstParagraph"/>
      </w:pPr>
      <w:r>
        <w:rPr>
          <w:rStyle w:val="VerbatimChar"/>
        </w:rPr>
        <w:t xml:space="preserve">services/feature-store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FeatureStoreClient</w:t>
      </w:r>
      <w:r>
        <w:t xml:space="preserve"> </w:t>
      </w:r>
      <w:r>
        <w:t xml:space="preserve">Protocol and an</w:t>
      </w:r>
      <w:r>
        <w:t xml:space="preserve"> </w:t>
      </w:r>
      <w:r>
        <w:rPr>
          <w:rStyle w:val="VerbatimChar"/>
        </w:rPr>
        <w:t xml:space="preserve">InMemoryFeatureStore</w:t>
      </w:r>
      <w:r>
        <w:t xml:space="preserve"> </w:t>
      </w:r>
      <w:r>
        <w:t xml:space="preserve">reference implementation (ADR-0002) — the production</w:t>
      </w:r>
      <w:r>
        <w:t xml:space="preserve"> </w:t>
      </w:r>
      <w:r>
        <w:rPr>
          <w:rStyle w:val="VerbatimChar"/>
        </w:rPr>
        <w:t xml:space="preserve">GlueIcebergFeatureStore</w:t>
      </w:r>
      <w:r>
        <w:t xml:space="preserve"> </w:t>
      </w:r>
      <w:r>
        <w:t xml:space="preserve">will conform to the identical Protocol, so every</w:t>
      </w:r>
      <w:r>
        <w:t xml:space="preserve"> </w:t>
      </w:r>
      <w:r>
        <w:t xml:space="preserve">consumer above it is already forward-compatible with the AWS-native layer. A</w:t>
      </w:r>
      <w:r>
        <w:t xml:space="preserve"> </w:t>
      </w:r>
      <w:r>
        <w:t xml:space="preserve">shared contract test suite runs the same scenarios against both.</w:t>
      </w:r>
    </w:p>
    <w:p>
      <w:pPr>
        <w:pStyle w:val="BodyText"/>
      </w:pPr>
      <w:r>
        <w:t xml:space="preserve">Eleven feature-group schemas are implemented, matching design §4.2’s ten plus one</w:t>
      </w:r>
      <w:r>
        <w:t xml:space="preserve"> </w:t>
      </w:r>
      <w:r>
        <w:t xml:space="preserve">addition from this build’s own Wave 4 work:</w:t>
      </w:r>
    </w:p>
    <w:p>
      <w:pPr>
        <w:pStyle w:val="BodyText"/>
      </w:pPr>
      <w:r>
        <w:rPr>
          <w:rStyle w:val="VerbatimChar"/>
        </w:rPr>
        <w:t xml:space="preserve">part_attributes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criticality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stock_position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current_policy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vendor_economics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lead_time_distribution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demand_history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interchangeable_graph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location_graph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open_orders_snapshot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  <w:bCs/>
        </w:rPr>
        <w:t xml:space="preserve">requisition_snapshot</w:t>
      </w:r>
      <w:r>
        <w:t xml:space="preserve"> </w:t>
      </w:r>
      <w:r>
        <w:t xml:space="preserve">(added for the Fulfillment-Path Decision Agent’s</w:t>
      </w:r>
      <w:r>
        <w:t xml:space="preserve"> </w:t>
      </w:r>
      <w:r>
        <w:t xml:space="preserve">Wave A — open, unfulfilled demand-side requisition lines per</w:t>
      </w:r>
      <w:r>
        <w:t xml:space="preserve"> </w:t>
      </w:r>
      <w:r>
        <w:rPr>
          <w:rStyle w:val="VerbatimChar"/>
        </w:rPr>
        <w:t xml:space="preserve">(pn, location)</w:t>
      </w:r>
      <w:r>
        <w:t xml:space="preserve">,</w:t>
      </w:r>
      <w:r>
        <w:t xml:space="preserve"> </w:t>
      </w:r>
      <w:r>
        <w:t xml:space="preserve">deliberately kept separate from</w:t>
      </w:r>
      <w:r>
        <w:t xml:space="preserve"> </w:t>
      </w:r>
      <w:r>
        <w:rPr>
          <w:rStyle w:val="VerbatimChar"/>
        </w:rPr>
        <w:t xml:space="preserve">open_orders_snapshot</w:t>
      </w:r>
      <w:r>
        <w:t xml:space="preserve">’s supply-side data).</w:t>
      </w:r>
    </w:p>
    <w:p>
      <w:pPr>
        <w:pStyle w:val="BodyText"/>
      </w:pPr>
      <w:r>
        <w:t xml:space="preserve">113 tests cover the client, schemas, snapshot registry, Glue transform logic, and</w:t>
      </w:r>
      <w:r>
        <w:t xml:space="preserve"> </w:t>
      </w:r>
      <w:r>
        <w:t xml:space="preserve">(with the</w:t>
      </w:r>
      <w:r>
        <w:t xml:space="preserve"> </w:t>
      </w:r>
      <w:r>
        <w:rPr>
          <w:rStyle w:val="VerbatimChar"/>
        </w:rPr>
        <w:t xml:space="preserve">iceberg</w:t>
      </w:r>
      <w:r>
        <w:t xml:space="preserve">/</w:t>
      </w:r>
      <w:r>
        <w:rPr>
          <w:rStyle w:val="VerbatimChar"/>
        </w:rPr>
        <w:t xml:space="preserve">dynamodb</w:t>
      </w:r>
      <w:r>
        <w:t xml:space="preserve"> </w:t>
      </w:r>
      <w:r>
        <w:t xml:space="preserve">extras) contract-equivalence and online-layer tests</w:t>
      </w:r>
      <w:r>
        <w:t xml:space="preserve"> </w:t>
      </w:r>
      <w:r>
        <w:t xml:space="preserve">that will matter once the real AWS backends land.</w:t>
      </w:r>
    </w:p>
    <w:bookmarkEnd w:id="12"/>
    <w:bookmarkStart w:id="13" w:name="recommendation-engine"/>
    <w:p>
      <w:pPr>
        <w:pStyle w:val="Heading1"/>
      </w:pPr>
      <w:r>
        <w:t xml:space="preserve">5. Recommendation Engine</w:t>
      </w:r>
    </w:p>
    <w:p>
      <w:pPr>
        <w:pStyle w:val="FirstParagraph"/>
      </w:pPr>
      <w:r>
        <w:rPr>
          <w:rStyle w:val="VerbatimChar"/>
        </w:rPr>
        <w:t xml:space="preserve">services/recommendation-engine</w:t>
      </w:r>
      <w:r>
        <w:t xml:space="preserve"> </w:t>
      </w:r>
      <w:r>
        <w:t xml:space="preserve">is the deterministic core planners actually sign</w:t>
      </w:r>
      <w:r>
        <w:t xml:space="preserve"> </w:t>
      </w:r>
      <w:r>
        <w:t xml:space="preserve">off on.</w:t>
      </w:r>
      <w:r>
        <w:t xml:space="preserve"> </w:t>
      </w:r>
      <w:r>
        <w:rPr>
          <w:rStyle w:val="VerbatimChar"/>
        </w:rPr>
        <w:t xml:space="preserve">ContextAssembler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FeatureReader</w:t>
      </w:r>
      <w:r>
        <w:t xml:space="preserve"> </w:t>
      </w:r>
      <w:r>
        <w:t xml:space="preserve">pull every feature-store bucket</w:t>
      </w:r>
      <w:r>
        <w:t xml:space="preserve"> </w:t>
      </w:r>
      <w:r>
        <w:t xml:space="preserve">needed for one</w:t>
      </w:r>
      <w:r>
        <w:t xml:space="preserve"> </w:t>
      </w:r>
      <w:r>
        <w:rPr>
          <w:rStyle w:val="VerbatimChar"/>
        </w:rPr>
        <w:t xml:space="preserve">(tenant, pn, location)</w:t>
      </w:r>
      <w:r>
        <w:t xml:space="preserve"> </w:t>
      </w:r>
      <w:r>
        <w:t xml:space="preserve">into a single</w:t>
      </w:r>
      <w:r>
        <w:t xml:space="preserve"> </w:t>
      </w:r>
      <w:r>
        <w:rPr>
          <w:rStyle w:val="VerbatimChar"/>
        </w:rPr>
        <w:t xml:space="preserve">PartLocationContext</w:t>
      </w:r>
      <w:r>
        <w:t xml:space="preserve"> </w:t>
      </w:r>
      <w:r>
        <w:t xml:space="preserve">(attributes, stock, policy, vendor economics, lead time, demand history,</w:t>
      </w:r>
      <w:r>
        <w:t xml:space="preserve"> </w:t>
      </w:r>
      <w:r>
        <w:t xml:space="preserve">interchangeability/location graphs, open orders, and now requisitions).</w:t>
      </w:r>
    </w:p>
    <w:p>
      <w:pPr>
        <w:pStyle w:val="BodyText"/>
      </w:pPr>
      <w:r>
        <w:rPr>
          <w:b/>
          <w:bCs/>
        </w:rPr>
        <w:t xml:space="preserve">Regime-routed forecasting</w:t>
      </w:r>
      <w:r>
        <w:t xml:space="preserve">, three independently-tested slices behind one</w:t>
      </w:r>
      <w:r>
        <w:t xml:space="preserve"> </w:t>
      </w:r>
      <w:r>
        <w:rPr>
          <w:rStyle w:val="VerbatimChar"/>
        </w:rPr>
        <w:t xml:space="preserve">DemandProjector</w:t>
      </w:r>
      <w:r>
        <w:t xml:space="preserve"> </w:t>
      </w:r>
      <w:r>
        <w:t xml:space="preserve">interface: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Statistical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intermittent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statsforecast</w:t>
            </w:r>
            <w:r>
              <w:t xml:space="preserve"> </w:t>
            </w:r>
            <w:r>
              <w:t xml:space="preserve">(Croston/TSB/SBA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Gradient-boosted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high_volume</w:t>
            </w:r>
          </w:p>
        </w:tc>
        <w:tc>
          <w:tcPr/>
          <w:p>
            <w:pPr>
              <w:pStyle w:val="Compact"/>
            </w:pPr>
            <w:r>
              <w:t xml:space="preserve">sklearn</w:t>
            </w:r>
            <w:r>
              <w:t xml:space="preserve"> </w:t>
            </w:r>
            <w:r>
              <w:rPr>
                <w:rStyle w:val="VerbatimChar"/>
              </w:rPr>
              <w:t xml:space="preserve">HistGradientBoosting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Empirical Bayes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ultra_rare</w:t>
            </w:r>
          </w:p>
        </w:tc>
        <w:tc>
          <w:tcPr/>
          <w:p>
            <w:pPr>
              <w:pStyle w:val="Compact"/>
            </w:pPr>
            <w:r>
              <w:t xml:space="preserve">Gamma-Poisson peer-prior model, pure numpy/scipy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Deterministic policy engine</w:t>
      </w:r>
      <w:r>
        <w:t xml:space="preserve"> </w:t>
      </w:r>
      <w:r>
        <w:t xml:space="preserve">— no LLM anywhere in this path — computes</w:t>
      </w:r>
      <w:r>
        <w:t xml:space="preserve"> </w:t>
      </w:r>
      <w:r>
        <w:rPr>
          <w:rStyle w:val="VerbatimChar"/>
        </w:rPr>
        <w:t xml:space="preserve">(ROP, EOQ, Safety Stock, Max)</w:t>
      </w:r>
      <w:r>
        <w:t xml:space="preserve"> </w:t>
      </w:r>
      <w:r>
        <w:t xml:space="preserve">from the forecast distribution, lead-time</w:t>
      </w:r>
      <w:r>
        <w:t xml:space="preserve"> </w:t>
      </w:r>
      <w:r>
        <w:t xml:space="preserve">distribution, and cost structure, then runs every hard guardrail from design §6.2:</w:t>
      </w:r>
      <w:r>
        <w:t xml:space="preserve"> </w:t>
      </w:r>
      <w:r>
        <w:t xml:space="preserve">single-write delta capped at 100% even in Tier C, shelf-life/hazmat/tool-control</w:t>
      </w:r>
      <w:r>
        <w:t xml:space="preserve"> </w:t>
      </w:r>
      <w:r>
        <w:t xml:space="preserve">clamps, and an active AOG forcing Tier A regardless of any other criterion. A</w:t>
      </w:r>
      <w:r>
        <w:t xml:space="preserve"> </w:t>
      </w:r>
      <w:r>
        <w:rPr>
          <w:rStyle w:val="VerbatimChar"/>
        </w:rPr>
        <w:t xml:space="preserve">humanize_guardrail_codes()</w:t>
      </w:r>
      <w:r>
        <w:t xml:space="preserve"> </w:t>
      </w:r>
      <w:r>
        <w:t xml:space="preserve">layer translates internal guardrail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active_aog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shelf_life_clamped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hazmat_tool_capped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open_order_deferral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delta_exceeds_100pct</w:t>
      </w:r>
      <w:r>
        <w:t xml:space="preserve">) into planner-readable notes — the recommendation’s own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text is never overwritten by these, only supplemented.</w:t>
      </w:r>
    </w:p>
    <w:p>
      <w:pPr>
        <w:pStyle w:val="BodyText"/>
      </w:pPr>
      <w:r>
        <w:t xml:space="preserve">149 tests cover context assembly, extract loading, the policy engine, and (with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extra) the package’s own FastAPI surface.</w:t>
      </w:r>
    </w:p>
    <w:bookmarkEnd w:id="13"/>
    <w:bookmarkStart w:id="14" w:name="Xf2cf162b7af76abdd7c92b39031d4f03aa3d956"/>
    <w:p>
      <w:pPr>
        <w:pStyle w:val="Heading1"/>
      </w:pPr>
      <w:r>
        <w:t xml:space="preserve">6. Agent Spine — Orchestration, Autonomy, Writeback</w:t>
      </w:r>
    </w:p>
    <w:p>
      <w:pPr>
        <w:pStyle w:val="FirstParagraph"/>
      </w:pPr>
      <w:r>
        <w:rPr>
          <w:rStyle w:val="VerbatimChar"/>
        </w:rPr>
        <w:t xml:space="preserve">services/agent-spine</w:t>
      </w:r>
      <w:r>
        <w:t xml:space="preserve"> </w:t>
      </w:r>
      <w:r>
        <w:t xml:space="preserve">is the coordination layer — 282 tests, the largest package</w:t>
      </w:r>
      <w:r>
        <w:t xml:space="preserve"> </w:t>
      </w:r>
      <w:r>
        <w:t xml:space="preserve">in the repo. It ships the</w:t>
      </w:r>
      <w:r>
        <w:t xml:space="preserve"> </w:t>
      </w:r>
      <w:r>
        <w:rPr>
          <w:rStyle w:val="VerbatimChar"/>
        </w:rPr>
        <w:t xml:space="preserve">trax-io-spine</w:t>
      </w:r>
      <w:r>
        <w:t xml:space="preserve"> </w:t>
      </w:r>
      <w:r>
        <w:t xml:space="preserve">CLI with two commands: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run</w:t>
      </w:r>
      <w:r>
        <w:t xml:space="preserve"> </w:t>
      </w:r>
      <w:r>
        <w:t xml:space="preserve">— offline orchestration: extract → recommendation engine → guardrail</w:t>
      </w:r>
      <w:r>
        <w:t xml:space="preserve"> </w:t>
      </w:r>
      <w:r>
        <w:t xml:space="preserve">→ writeback, printing an</w:t>
      </w:r>
      <w:r>
        <w:t xml:space="preserve"> </w:t>
      </w:r>
      <w:r>
        <w:rPr>
          <w:rStyle w:val="VerbatimChar"/>
        </w:rPr>
        <w:t xml:space="preserve">OrchestrationResult</w:t>
      </w:r>
      <w:r>
        <w:t xml:space="preserve"> </w:t>
      </w:r>
      <w:r>
        <w:t xml:space="preserve">summary. A</w:t>
      </w:r>
      <w:r>
        <w:t xml:space="preserve"> </w:t>
      </w:r>
      <w:r>
        <w:rPr>
          <w:rStyle w:val="VerbatimChar"/>
        </w:rPr>
        <w:t xml:space="preserve">--shadow</w:t>
      </w:r>
      <w:r>
        <w:t xml:space="preserve"> </w:t>
      </w:r>
      <w:r>
        <w:t xml:space="preserve">flag logs</w:t>
      </w:r>
      <w:r>
        <w:t xml:space="preserve"> </w:t>
      </w:r>
      <w:r>
        <w:t xml:space="preserve">every would-be write as</w:t>
      </w:r>
      <w:r>
        <w:t xml:space="preserve"> </w:t>
      </w:r>
      <w:r>
        <w:rPr>
          <w:rStyle w:val="VerbatimChar"/>
        </w:rPr>
        <w:t xml:space="preserve">SHADOWED</w:t>
      </w:r>
      <w:r>
        <w:t xml:space="preserve"> </w:t>
      </w:r>
      <w:r>
        <w:t xml:space="preserve">provenance without applying anything —</w:t>
      </w:r>
      <w:r>
        <w:t xml:space="preserve"> </w:t>
      </w:r>
      <w:r>
        <w:t xml:space="preserve">the onboarding-mode building block for the design’s 30–90 day shadow period.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ingest</w:t>
      </w:r>
      <w:r>
        <w:t xml:space="preserve"> </w:t>
      </w:r>
      <w:r>
        <w:t xml:space="preserve">— replays a JSONL batch of canonical events (dedup by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→</w:t>
      </w:r>
      <w:r>
        <w:t xml:space="preserve"> </w:t>
      </w:r>
      <w:r>
        <w:t xml:space="preserve">canonical adapter → event-lane handler recompute → writeback) — the</w:t>
      </w:r>
      <w:r>
        <w:t xml:space="preserve"> </w:t>
      </w:r>
      <w:r>
        <w:t xml:space="preserve">consumer-side proof of the eMRO event contract, independent of any real</w:t>
      </w:r>
      <w:r>
        <w:t xml:space="preserve"> </w:t>
      </w:r>
      <w:r>
        <w:t xml:space="preserve">Kinesis/EventBridge infrastructure.</w:t>
      </w:r>
    </w:p>
    <w:p>
      <w:pPr>
        <w:pStyle w:val="FirstParagraph"/>
      </w:pPr>
      <w:r>
        <w:rPr>
          <w:b/>
          <w:bCs/>
        </w:rPr>
        <w:t xml:space="preserve">Autonomy</w:t>
      </w:r>
      <w:r>
        <w:t xml:space="preserve"> </w:t>
      </w:r>
      <w:r>
        <w:t xml:space="preserve">is enforced as a</w:t>
      </w:r>
      <w:r>
        <w:t xml:space="preserve"> </w:t>
      </w:r>
      <w:r>
        <w:rPr>
          <w:rStyle w:val="VerbatimChar"/>
        </w:rPr>
        <w:t xml:space="preserve">CedarAutonomyPolicy</w:t>
      </w:r>
      <w:r>
        <w:t xml:space="preserve"> </w:t>
      </w:r>
      <w:r>
        <w:t xml:space="preserve">— Cedar policy evaluation, not</w:t>
      </w:r>
      <w:r>
        <w:t xml:space="preserve"> </w:t>
      </w:r>
      <w:r>
        <w:t xml:space="preserve">hard-coded conditionals, matching the design’s requirement that tenants tune</w:t>
      </w:r>
      <w:r>
        <w:t xml:space="preserve"> </w:t>
      </w:r>
      <w:r>
        <w:t xml:space="preserve">autonomy tiers without a code deploy.</w:t>
      </w:r>
    </w:p>
    <w:p>
      <w:pPr>
        <w:pStyle w:val="BodyText"/>
      </w:pPr>
      <w:r>
        <w:rPr>
          <w:b/>
          <w:bCs/>
        </w:rPr>
        <w:t xml:space="preserve">Writeback</w:t>
      </w:r>
      <w:r>
        <w:t xml:space="preserve"> </w:t>
      </w:r>
      <w:r>
        <w:t xml:space="preserve">sits behind an</w:t>
      </w:r>
      <w:r>
        <w:t xml:space="preserve"> </w:t>
      </w:r>
      <w:r>
        <w:rPr>
          <w:rStyle w:val="VerbatimChar"/>
        </w:rPr>
        <w:t xml:space="preserve">AuditedWritebackTarget</w:t>
      </w:r>
      <w:r>
        <w:t xml:space="preserve"> </w:t>
      </w:r>
      <w:r>
        <w:t xml:space="preserve">Protocol (extends a base</w:t>
      </w:r>
      <w:r>
        <w:t xml:space="preserve"> </w:t>
      </w:r>
      <w:r>
        <w:rPr>
          <w:rStyle w:val="VerbatimChar"/>
        </w:rPr>
        <w:t xml:space="preserve">WritebackTarget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get_history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): a per-key provenance history</w:t>
      </w:r>
      <w:r>
        <w:t xml:space="preserve"> </w:t>
      </w:r>
      <w:r>
        <w:t xml:space="preserve">ledger, rollback over a configurable non-zero window (default 90 days), and</w:t>
      </w:r>
      <w:r>
        <w:t xml:space="preserve"> </w:t>
      </w:r>
      <w:r>
        <w:t xml:space="preserve">shadow-mode support. It is verified against</w:t>
      </w:r>
      <w:r>
        <w:t xml:space="preserve"> </w:t>
      </w:r>
      <w:r>
        <w:rPr>
          <w:rStyle w:val="VerbatimChar"/>
        </w:rPr>
        <w:t xml:space="preserve">fake_emro</w:t>
      </w:r>
      <w:r>
        <w:t xml:space="preserve"> </w:t>
      </w:r>
      <w:r>
        <w:t xml:space="preserve">— itself backed by an</w:t>
      </w:r>
      <w:r>
        <w:t xml:space="preserve"> </w:t>
      </w:r>
      <w:r>
        <w:rPr>
          <w:rStyle w:val="VerbatimChar"/>
        </w:rPr>
        <w:t xml:space="preserve">InMemoryWritebackTarget</w:t>
      </w:r>
      <w:r>
        <w:t xml:space="preserve"> </w:t>
      </w:r>
      <w:r>
        <w:t xml:space="preserve">so the test double can never silently drift from the</w:t>
      </w:r>
      <w:r>
        <w:t xml:space="preserve"> </w:t>
      </w:r>
      <w:r>
        <w:t xml:space="preserve">real target’s behavior (ADR-0003’s contract-testing philosophy applied one layer</w:t>
      </w:r>
      <w:r>
        <w:t xml:space="preserve"> </w:t>
      </w:r>
      <w:r>
        <w:t xml:space="preserve">down).</w:t>
      </w:r>
    </w:p>
    <w:bookmarkEnd w:id="14"/>
    <w:bookmarkStart w:id="15" w:name="the-planner-ui-bff"/>
    <w:p>
      <w:pPr>
        <w:pStyle w:val="Heading1"/>
      </w:pPr>
      <w:r>
        <w:t xml:space="preserve">7. The Planner-UI BFF</w:t>
      </w:r>
    </w:p>
    <w:p>
      <w:pPr>
        <w:pStyle w:val="FirstParagraph"/>
      </w:pPr>
      <w:r>
        <w:t xml:space="preserve">One FastAPI application (</w:t>
      </w:r>
      <w:r>
        <w:rPr>
          <w:rStyle w:val="VerbatimChar"/>
        </w:rPr>
        <w:t xml:space="preserve">trax_io_spine.bff</w:t>
      </w:r>
      <w:r>
        <w:t xml:space="preserve">) is the backend-for-frontend the</w:t>
      </w:r>
      <w:r>
        <w:t xml:space="preserve"> </w:t>
      </w:r>
      <w:r>
        <w:t xml:space="preserve">React app consumes —</w:t>
      </w:r>
      <w:r>
        <w:t xml:space="preserve"> </w:t>
      </w:r>
      <w:r>
        <w:rPr>
          <w:rStyle w:val="VerbatimChar"/>
        </w:rPr>
        <w:t xml:space="preserve">PlannerStore</w:t>
      </w:r>
      <w:r>
        <w:t xml:space="preserve"> </w:t>
      </w:r>
      <w:r>
        <w:t xml:space="preserve">(in-memory, per-tenant, seeded from a real</w:t>
      </w:r>
      <w:r>
        <w:t xml:space="preserve"> </w:t>
      </w:r>
      <w:r>
        <w:t xml:space="preserve">extract via</w:t>
      </w:r>
      <w:r>
        <w:t xml:space="preserve"> </w:t>
      </w:r>
      <w:r>
        <w:rPr>
          <w:rStyle w:val="VerbatimChar"/>
        </w:rPr>
        <w:t xml:space="preserve">from_extract</w:t>
      </w:r>
      <w:r>
        <w:t xml:space="preserve"> </w:t>
      </w:r>
      <w:r>
        <w:t xml:space="preserve">or a precomputed snapshot via</w:t>
      </w:r>
      <w:r>
        <w:t xml:space="preserve"> </w:t>
      </w:r>
      <w:r>
        <w:rPr>
          <w:rStyle w:val="VerbatimChar"/>
        </w:rPr>
        <w:t xml:space="preserve">from_snapshot_dir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create_planner_app</w:t>
      </w:r>
      <w:r>
        <w:t xml:space="preserve">. Surface area:</w:t>
      </w:r>
    </w:p>
    <w:p>
      <w:pPr>
        <w:pStyle w:val="Compact"/>
        <w:numPr>
          <w:ilvl w:val="0"/>
          <w:numId w:val="1002"/>
        </w:numPr>
      </w:pPr>
      <w:r>
        <w:t xml:space="preserve">Priority-sorted approval queue with provenance detail</w:t>
      </w:r>
    </w:p>
    <w:p>
      <w:pPr>
        <w:pStyle w:val="Compact"/>
        <w:numPr>
          <w:ilvl w:val="0"/>
          <w:numId w:val="1002"/>
        </w:numPr>
      </w:pPr>
      <w:r>
        <w:t xml:space="preserve">Approve / reject / defer / bulk-approve, each producing a real writeback and a</w:t>
      </w:r>
      <w:r>
        <w:t xml:space="preserve"> </w:t>
      </w:r>
      <w:r>
        <w:t xml:space="preserve">real history entry</w:t>
      </w:r>
    </w:p>
    <w:p>
      <w:pPr>
        <w:pStyle w:val="Compact"/>
        <w:numPr>
          <w:ilvl w:val="0"/>
          <w:numId w:val="1002"/>
        </w:numPr>
      </w:pPr>
      <w:r>
        <w:t xml:space="preserve">Writeback history + rollback per key</w:t>
      </w:r>
    </w:p>
    <w:p>
      <w:pPr>
        <w:pStyle w:val="Compact"/>
        <w:numPr>
          <w:ilvl w:val="0"/>
          <w:numId w:val="1002"/>
        </w:numPr>
      </w:pPr>
      <w:r>
        <w:t xml:space="preserve">Per-tenant kill switch (engaged ⇒ approvals return</w:t>
      </w:r>
      <w:r>
        <w:t xml:space="preserve"> </w:t>
      </w:r>
      <w:r>
        <w:rPr>
          <w:rStyle w:val="VerbatimChar"/>
        </w:rPr>
        <w:t xml:space="preserve">423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/parts/{pn}/{location}</w:t>
      </w:r>
      <w:r>
        <w:t xml:space="preserve"> </w:t>
      </w:r>
      <w:r>
        <w:t xml:space="preserve">— full part context: attributes, stock breakdown,</w:t>
      </w:r>
      <w:r>
        <w:t xml:space="preserve"> </w:t>
      </w:r>
      <w:r>
        <w:t xml:space="preserve">lead-time view, open orders, 24-month demand series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/dashboard</w:t>
      </w:r>
      <w:r>
        <w:t xml:space="preserve"> </w:t>
      </w:r>
      <w:r>
        <w:t xml:space="preserve">— portfolio KPIs and by-criticality/by-ATA/by-part-class/by-tier</w:t>
      </w:r>
      <w:r>
        <w:t xml:space="preserve"> </w:t>
      </w:r>
      <w:r>
        <w:t xml:space="preserve">breakdowns, top shortages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/reports/bvr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.../bvr.html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.../bvr.pdf</w:t>
      </w:r>
      <w:r>
        <w:t xml:space="preserve"> </w:t>
      </w:r>
      <w:r>
        <w:t xml:space="preserve">— the Business Value Report</w:t>
      </w:r>
      <w:r>
        <w:t xml:space="preserve"> </w:t>
      </w:r>
      <w:r>
        <w:t xml:space="preserve">(§9)</w:t>
      </w:r>
    </w:p>
    <w:p>
      <w:pPr>
        <w:pStyle w:val="FirstParagraph"/>
      </w:pPr>
      <w:r>
        <w:t xml:space="preserve">At the full 58.9K-key network,</w:t>
      </w:r>
      <w:r>
        <w:t xml:space="preserve"> </w:t>
      </w:r>
      <w:r>
        <w:rPr>
          <w:rStyle w:val="VerbatimChar"/>
        </w:rPr>
        <w:t xml:space="preserve">from_snapshot_dir</w:t>
      </w:r>
      <w:r>
        <w:t xml:space="preserve"> </w:t>
      </w:r>
      <w:r>
        <w:t xml:space="preserve">boots in roughly 14 seconds with</w:t>
      </w:r>
      <w:r>
        <w:t xml:space="preserve"> </w:t>
      </w:r>
      <w:r>
        <w:t xml:space="preserve">no extract re-parsing — the difference between a usable local demo and a multi-minute</w:t>
      </w:r>
      <w:r>
        <w:t xml:space="preserve"> </w:t>
      </w:r>
      <w:r>
        <w:t xml:space="preserve">cold start. 266 BFF + agent-spine tests are green (</w:t>
      </w:r>
      <w:r>
        <w:rPr>
          <w:rStyle w:val="VerbatimChar"/>
        </w:rPr>
        <w:t xml:space="preserve">--extra bff --extra bvr</w:t>
      </w:r>
      <w:r>
        <w:t xml:space="preserve">).</w:t>
      </w:r>
    </w:p>
    <w:bookmarkEnd w:id="15"/>
    <w:bookmarkStart w:id="16" w:name="Xdcc1d5170f37dbc9a034f056121b3c43bf85657"/>
    <w:p>
      <w:pPr>
        <w:pStyle w:val="Heading1"/>
      </w:pPr>
      <w:r>
        <w:t xml:space="preserve">8. Trax Inventory Optimizer (</w:t>
      </w:r>
      <w:r>
        <w:rPr>
          <w:rStyle w:val="VerbatimChar"/>
        </w:rPr>
        <w:t xml:space="preserve">apps/web</w:t>
      </w:r>
      <w:r>
        <w:t xml:space="preserve">) — Sub-Project #7’s Frontend</w:t>
      </w:r>
    </w:p>
    <w:p>
      <w:pPr>
        <w:pStyle w:val="FirstParagraph"/>
      </w:pPr>
      <w:r>
        <w:rPr>
          <w:rStyle w:val="VerbatimChar"/>
        </w:rPr>
        <w:t xml:space="preserve">apps/web</w:t>
      </w:r>
      <w:r>
        <w:t xml:space="preserve"> </w:t>
      </w:r>
      <w:r>
        <w:t xml:space="preserve">is the product’s single frontend — the spec-faithful</w:t>
      </w:r>
      <w:r>
        <w:t xml:space="preserve"> </w:t>
      </w:r>
      <w:r>
        <w:t xml:space="preserve">“Trax IO Review”</w:t>
      </w:r>
      <w:r>
        <w:t xml:space="preserve"> </w:t>
      </w:r>
      <w:r>
        <w:t xml:space="preserve">surface (sub-project #7) rendering the full PRD §6 surface directly over the</w:t>
      </w:r>
      <w:r>
        <w:t xml:space="preserve"> </w:t>
      </w:r>
      <w:r>
        <w:t xml:space="preserve">Planner-UI BFF: seven views: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(portfolio KPIs, health mix, ATA</w:t>
      </w:r>
      <w:r>
        <w:t xml:space="preserve"> </w:t>
      </w:r>
      <w:r>
        <w:t xml:space="preserve">risk, priority actions, in-place drill panels),</w:t>
      </w:r>
      <w:r>
        <w:t xml:space="preserve"> </w:t>
      </w:r>
      <w:r>
        <w:rPr>
          <w:b/>
          <w:bCs/>
        </w:rPr>
        <w:t xml:space="preserve">Part Drill-Down</w:t>
      </w:r>
      <w:r>
        <w:t xml:space="preserve">,</w:t>
      </w:r>
      <w:r>
        <w:t xml:space="preserve"> </w:t>
      </w:r>
      <w:r>
        <w:rPr>
          <w:b/>
          <w:bCs/>
        </w:rPr>
        <w:t xml:space="preserve">Workbench</w:t>
      </w:r>
      <w:r>
        <w:t xml:space="preserve"> </w:t>
      </w:r>
      <w:r>
        <w:t xml:space="preserve">(the server-paged core approval loop — search/filter/sort, accept/reject/dismiss,</w:t>
      </w:r>
      <w:r>
        <w:t xml:space="preserve"> </w:t>
      </w:r>
      <w:r>
        <w:t xml:space="preserve">bulk actions, a documented 200-row page-size ceiling with no virtualization</w:t>
      </w:r>
      <w:r>
        <w:t xml:space="preserve"> </w:t>
      </w:r>
      <w:r>
        <w:t xml:space="preserve">library),</w:t>
      </w:r>
      <w:r>
        <w:t xml:space="preserve"> </w:t>
      </w:r>
      <w:r>
        <w:rPr>
          <w:b/>
          <w:bCs/>
        </w:rPr>
        <w:t xml:space="preserve">AI Recommendations</w:t>
      </w:r>
      <w:r>
        <w:t xml:space="preserve"> </w:t>
      </w:r>
      <w:r>
        <w:t xml:space="preserve">(explainable rec → reason → action cards),</w:t>
      </w:r>
      <w:r>
        <w:t xml:space="preserve"> </w:t>
      </w:r>
      <w:r>
        <w:rPr>
          <w:b/>
          <w:bCs/>
        </w:rPr>
        <w:t xml:space="preserve">Forecast &amp; Service Levels</w:t>
      </w:r>
      <w:r>
        <w:t xml:space="preserve">,</w:t>
      </w:r>
      <w:r>
        <w:t xml:space="preserve"> </w:t>
      </w:r>
      <w:r>
        <w:rPr>
          <w:b/>
          <w:bCs/>
        </w:rPr>
        <w:t xml:space="preserve">What-If Scenarios</w:t>
      </w:r>
      <w:r>
        <w:t xml:space="preserve"> </w:t>
      </w:r>
      <w:r>
        <w:t xml:space="preserve">(live-solved service-level /</w:t>
      </w:r>
      <w:r>
        <w:t xml:space="preserve"> </w:t>
      </w:r>
      <w:r>
        <w:t xml:space="preserve">budget / turnaround-time sliders, a cost–service frontier chart, save / compare /</w:t>
      </w:r>
      <w:r>
        <w:t xml:space="preserve"> </w:t>
      </w:r>
      <w:r>
        <w:t xml:space="preserve">commit with an honest</w:t>
      </w:r>
      <w:r>
        <w:t xml:space="preserve"> </w:t>
      </w:r>
      <w:r>
        <w:t xml:space="preserve">“no eMRO writeback occurred”</w:t>
      </w:r>
      <w:r>
        <w:t xml:space="preserve"> </w:t>
      </w:r>
      <w:r>
        <w:t xml:space="preserve">confirmation), and</w:t>
      </w:r>
      <w:r>
        <w:t xml:space="preserve"> </w:t>
      </w:r>
      <w:r>
        <w:rPr>
          <w:b/>
          <w:bCs/>
        </w:rPr>
        <w:t xml:space="preserve">Data &amp;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(a 13-feed connection-status table —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NOT_CONNECTED</w:t>
      </w:r>
      <w:r>
        <w:t xml:space="preserve">, with honest per-feed notes rather than a decorative green light</w:t>
      </w:r>
      <w:r>
        <w:t xml:space="preserve"> </w:t>
      </w:r>
      <w:r>
        <w:t xml:space="preserve">everywhere).</w:t>
      </w:r>
    </w:p>
    <w:p>
      <w:pPr>
        <w:pStyle w:val="BodyText"/>
      </w:pPr>
      <w:r>
        <w:t xml:space="preserve">The load-bearing design discipline here is the</w:t>
      </w:r>
      <w:r>
        <w:t xml:space="preserve"> </w:t>
      </w:r>
      <w:r>
        <w:rPr>
          <w:b/>
          <w:bCs/>
        </w:rPr>
        <w:t xml:space="preserve">provenance invariant</w:t>
      </w:r>
      <w:r>
        <w:t xml:space="preserve">: every</w:t>
      </w:r>
      <w:r>
        <w:t xml:space="preserve"> </w:t>
      </w:r>
      <w:r>
        <w:t xml:space="preserve">displayed number is a typed</w:t>
      </w:r>
      <w:r>
        <w:t xml:space="preserve"> </w:t>
      </w:r>
      <w:r>
        <w:rPr>
          <w:rStyle w:val="VerbatimChar"/>
        </w:rPr>
        <w:t xml:space="preserve">MetricValue</w:t>
      </w:r>
      <w:r>
        <w:t xml:space="preserve"> </w:t>
      </w:r>
      <w:r>
        <w:t xml:space="preserve">and cannot render without its</w:t>
      </w:r>
      <w:r>
        <w:t xml:space="preserve"> </w:t>
      </w:r>
      <w:r>
        <w:rPr>
          <w:rStyle w:val="VerbatimChar"/>
        </w:rPr>
        <w:t xml:space="preserve">{source, systemOfRecord, freshnessAt, coverage, confidence, derived}</w:t>
      </w:r>
      <w:r>
        <w:t xml:space="preserve"> </w:t>
      </w:r>
      <w:r>
        <w:t xml:space="preserve">lineage</w:t>
      </w:r>
      <w:r>
        <w:t xml:space="preserve"> </w:t>
      </w:r>
      <w:r>
        <w:t xml:space="preserve">attached — enforced at the type level, not by convention. A shared</w:t>
      </w:r>
      <w:r>
        <w:t xml:space="preserve"> </w:t>
      </w:r>
      <w:r>
        <w:rPr>
          <w:rStyle w:val="VerbatimChar"/>
        </w:rPr>
        <w:t xml:space="preserve">&lt;QueryState&gt;</w:t>
      </w:r>
      <w:r>
        <w:t xml:space="preserve"> </w:t>
      </w:r>
      <w:r>
        <w:t xml:space="preserve">helper standardizes loading/error/empty handling across all seven views, and a</w:t>
      </w:r>
      <w:r>
        <w:t xml:space="preserve"> </w:t>
      </w:r>
      <w:r>
        <w:t xml:space="preserve">dependency-free</w:t>
      </w:r>
      <w:r>
        <w:t xml:space="preserve"> </w:t>
      </w:r>
      <w:r>
        <w:rPr>
          <w:rStyle w:val="VerbatimChar"/>
        </w:rPr>
        <w:t xml:space="preserve">useFocusTrap</w:t>
      </w:r>
      <w:r>
        <w:t xml:space="preserve"> </w:t>
      </w:r>
      <w:r>
        <w:t xml:space="preserve">hook backs every confirm dialog (reject, commit)</w:t>
      </w:r>
      <w:r>
        <w:t xml:space="preserve"> </w:t>
      </w:r>
      <w:r>
        <w:t xml:space="preserve">with tested Tab-wrap, Escape-close, and focus-restoration behavior. A</w:t>
      </w:r>
      <w:r>
        <w:t xml:space="preserve"> </w:t>
      </w:r>
      <w:r>
        <w:t xml:space="preserve">user-toggleable dark/light theme (dark-first default) rounds out the shell.</w:t>
      </w:r>
    </w:p>
    <w:p>
      <w:pPr>
        <w:pStyle w:val="BodyText"/>
      </w:pPr>
      <w:r>
        <w:t xml:space="preserve">231 Vitest tests, one best-effort Playwright e2e spec, build + lint clean. A</w:t>
      </w:r>
      <w:r>
        <w:t xml:space="preserve"> </w:t>
      </w:r>
      <w:r>
        <w:t xml:space="preserve">living</w:t>
      </w:r>
      <w:r>
        <w:t xml:space="preserve"> </w:t>
      </w:r>
      <w:r>
        <w:rPr>
          <w:rStyle w:val="VerbatimChar"/>
        </w:rPr>
        <w:t xml:space="preserve">UAT.md</w:t>
      </w:r>
      <w:r>
        <w:t xml:space="preserve"> </w:t>
      </w:r>
      <w:r>
        <w:t xml:space="preserve">documents every manual case against the automated-test map — the</w:t>
      </w:r>
      <w:r>
        <w:t xml:space="preserve"> </w:t>
      </w:r>
      <w:r>
        <w:t xml:space="preserve">same document this session’s full UAT pass exercised end-to-end (see §11).</w:t>
      </w:r>
    </w:p>
    <w:bookmarkEnd w:id="16"/>
    <w:bookmarkStart w:id="17" w:name="business-value-report-bvr"/>
    <w:p>
      <w:pPr>
        <w:pStyle w:val="Heading1"/>
      </w:pPr>
      <w:r>
        <w:t xml:space="preserve">9. Business Value Report (BVR)</w:t>
      </w:r>
    </w:p>
    <w:p>
      <w:pPr>
        <w:pStyle w:val="FirstParagraph"/>
      </w:pPr>
      <w:r>
        <w:t xml:space="preserve">A schema-locked (</w:t>
      </w:r>
      <w:r>
        <w:rPr>
          <w:rStyle w:val="VerbatimChar"/>
        </w:rPr>
        <w:t xml:space="preserve">BvrReport 1.1.0</w:t>
      </w:r>
      <w:r>
        <w:t xml:space="preserve">) JSON report, a printable Jinja2 + inline-SVG</w:t>
      </w:r>
      <w:r>
        <w:t xml:space="preserve"> </w:t>
      </w:r>
      <w:r>
        <w:t xml:space="preserve">HTML document, and a WeasyPrint-rendered PDF — all derived from one memoized,</w:t>
      </w:r>
      <w:r>
        <w:t xml:space="preserve"> </w:t>
      </w:r>
      <w:r>
        <w:t xml:space="preserve">decision-invalidated</w:t>
      </w:r>
      <w:r>
        <w:t xml:space="preserve"> </w:t>
      </w:r>
      <w:r>
        <w:rPr>
          <w:rStyle w:val="VerbatimChar"/>
        </w:rPr>
        <w:t xml:space="preserve">PlannerStore.bvr()</w:t>
      </w:r>
      <w:r>
        <w:t xml:space="preserve"> </w:t>
      </w:r>
      <w:r>
        <w:t xml:space="preserve">call. It reports</w:t>
      </w:r>
      <w:r>
        <w:t xml:space="preserve"> </w:t>
      </w:r>
      <w:r>
        <w:rPr>
          <w:b/>
          <w:bCs/>
        </w:rPr>
        <w:t xml:space="preserve">projected-only</w:t>
      </w:r>
      <w:r>
        <w:t xml:space="preserve"> </w:t>
      </w:r>
      <w:r>
        <w:t xml:space="preserve">savings attribution against the pre-agent baseline (holding cost, ordering cost,</w:t>
      </w:r>
      <w:r>
        <w:t xml:space="preserve"> </w:t>
      </w:r>
      <w:r>
        <w:t xml:space="preserve">stockout risk — each with disclosed inputs, including how many changes were</w:t>
      </w:r>
      <w:r>
        <w:t xml:space="preserve"> </w:t>
      </w:r>
      <w:r>
        <w:t xml:space="preserve">ordering-skipped due to non-positive EOQ), tier posture, governance, a forward</w:t>
      </w:r>
      <w:r>
        <w:t xml:space="preserve"> </w:t>
      </w:r>
      <w:r>
        <w:t xml:space="preserve">look, and a methodology section that explicitly discloses</w:t>
      </w:r>
      <w:r>
        <w:t xml:space="preserve"> </w:t>
      </w:r>
      <w:r>
        <w:rPr>
          <w:rStyle w:val="VerbatimChar"/>
        </w:rPr>
        <w:t xml:space="preserve">keys_total_portfolio</w:t>
      </w:r>
      <w:r>
        <w:t xml:space="preserve"> </w:t>
      </w:r>
      <w:r>
        <w:t xml:space="preserve">— the tenant’s full</w:t>
      </w:r>
      <w:r>
        <w:t xml:space="preserve"> </w:t>
      </w:r>
      <w:r>
        <w:rPr>
          <w:rStyle w:val="VerbatimChar"/>
        </w:rPr>
        <w:t xml:space="preserve">(pn, location)</w:t>
      </w:r>
      <w:r>
        <w:t xml:space="preserve"> </w:t>
      </w:r>
      <w:r>
        <w:t xml:space="preserve">universe — alongside however many keys were</w:t>
      </w:r>
      <w:r>
        <w:t xml:space="preserve"> </w:t>
      </w:r>
      <w:r>
        <w:t xml:space="preserve">actually valued, so the report never silently implies full-portfolio coverage</w:t>
      </w:r>
      <w:r>
        <w:t xml:space="preserve"> </w:t>
      </w:r>
      <w:r>
        <w:t xml:space="preserve">when some keys lacked demand history, criticality, vendor economics, or stock</w:t>
      </w:r>
      <w:r>
        <w:t xml:space="preserve"> </w:t>
      </w:r>
      <w:r>
        <w:t xml:space="preserve">position data.</w:t>
      </w:r>
    </w:p>
    <w:bookmarkEnd w:id="17"/>
    <w:bookmarkStart w:id="18" w:name="local-full-stack-deployment"/>
    <w:p>
      <w:pPr>
        <w:pStyle w:val="Heading1"/>
      </w:pPr>
      <w:r>
        <w:t xml:space="preserve">10. Local Full-Stack Deployment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at the repo root (project name</w:t>
      </w:r>
      <w:r>
        <w:t xml:space="preserve"> </w:t>
      </w:r>
      <w:r>
        <w:rPr>
          <w:rStyle w:val="VerbatimChar"/>
        </w:rPr>
        <w:t xml:space="preserve">trax-io-planner</w:t>
      </w:r>
      <w:r>
        <w:t xml:space="preserve">) runs two</w:t>
      </w:r>
      <w:r>
        <w:t xml:space="preserve"> </w:t>
      </w:r>
      <w:r>
        <w:t xml:space="preserve">services:</w:t>
      </w:r>
      <w:r>
        <w:t xml:space="preserve"> </w:t>
      </w:r>
      <w:r>
        <w:rPr>
          <w:b/>
          <w:bCs/>
        </w:rPr>
        <w:t xml:space="preserve">bff</w:t>
      </w:r>
      <w:r>
        <w:t xml:space="preserve"> </w:t>
      </w:r>
      <w:r>
        <w:t xml:space="preserve">(</w:t>
      </w:r>
      <w:r>
        <w:rPr>
          <w:rStyle w:val="VerbatimChar"/>
        </w:rPr>
        <w:t xml:space="preserve">:8001</w:t>
      </w:r>
      <w:r>
        <w:t xml:space="preserve">, booting in ~14 seconds from the full snapshot) and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via nginx,</w:t>
      </w:r>
      <w:r>
        <w:t xml:space="preserve"> </w:t>
      </w:r>
      <w:r>
        <w:rPr>
          <w:rStyle w:val="VerbatimChar"/>
        </w:rPr>
        <w:t xml:space="preserve">:8089</w:t>
      </w:r>
      <w:r>
        <w:t xml:space="preserve">, reverse-proxying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to the BFF</w:t>
      </w:r>
      <w:r>
        <w:t xml:space="preserve"> </w:t>
      </w:r>
      <w:r>
        <w:t xml:space="preserve">same-origin).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brings up the whole stack; each</w:t>
      </w:r>
      <w:r>
        <w:t xml:space="preserve"> </w:t>
      </w:r>
      <w:r>
        <w:t xml:space="preserve">service is scoped to this project only and never touches the shared</w:t>
      </w:r>
      <w:r>
        <w:t xml:space="preserve"> </w:t>
      </w:r>
      <w:r>
        <w:rPr>
          <w:rStyle w:val="VerbatimChar"/>
        </w:rPr>
        <w:t xml:space="preserve">oracle19c</w:t>
      </w:r>
      <w:r>
        <w:t xml:space="preserve"> </w:t>
      </w:r>
      <w:r>
        <w:t xml:space="preserve">or MySQL containers used by other projects on the same machine.</w:t>
      </w:r>
    </w:p>
    <w:bookmarkEnd w:id="18"/>
    <w:bookmarkStart w:id="19" w:name="quality-posture"/>
    <w:p>
      <w:pPr>
        <w:pStyle w:val="Heading1"/>
      </w:pPr>
      <w:r>
        <w:t xml:space="preserve">11. Quality Posture</w:t>
      </w:r>
    </w:p>
    <w:p>
      <w:pPr>
        <w:pStyle w:val="FirstParagraph"/>
      </w:pPr>
      <w:r>
        <w:t xml:space="preserve">As verified in this session’s full end-to-end UAT pass: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(8 packages: nightly-extract, feature-store, recommendation-engine, agent-spine, forecasting, event-publisher, 2× infra)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835 passed, 1 skipped</w:t>
            </w:r>
            <w:r>
              <w:t xml:space="preserve"> </w:t>
            </w:r>
            <w:r>
              <w:t xml:space="preserve">(the 1 skip is an Oracle-connection-gated test — expected), 0 failed. All</w:t>
            </w:r>
            <w:r>
              <w:t xml:space="preserve"> </w:t>
            </w:r>
            <w:r>
              <w:rPr>
                <w:rStyle w:val="VerbatimChar"/>
              </w:rPr>
              <w:t xml:space="preserve">ruff check</w:t>
            </w:r>
            <w:r>
              <w:t xml:space="preserve"> </w:t>
            </w:r>
            <w:r>
              <w:t xml:space="preserve">clean.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</w:p>
        </w:tc>
        <w:tc>
          <w:tcPr/>
          <w:p>
            <w:pPr>
              <w:pStyle w:val="Compact"/>
            </w:pPr>
            <w:r>
              <w:t xml:space="preserve">231/231 Vitest, clean build/lint, 1/1 Playwright e2e. Live walkthrough found and fixed one real bug — see below — then re-verified clean, including live, state-changing verification of approve/reject/bulk-approve/kill-switch against the real running BFF.</w:t>
            </w:r>
          </w:p>
        </w:tc>
      </w:tr>
    </w:tbl>
    <w:p>
      <w:pPr>
        <w:pStyle w:val="BodyText"/>
      </w:pPr>
      <w:r>
        <w:t xml:space="preserve">The frontend carries a living</w:t>
      </w:r>
      <w:r>
        <w:t xml:space="preserve"> </w:t>
      </w:r>
      <w:r>
        <w:rPr>
          <w:rStyle w:val="VerbatimChar"/>
        </w:rPr>
        <w:t xml:space="preserve">UAT.md</w:t>
      </w:r>
      <w:r>
        <w:t xml:space="preserve"> </w:t>
      </w:r>
      <w:r>
        <w:t xml:space="preserve">document mapping every manual case to the</w:t>
      </w:r>
      <w:r>
        <w:t xml:space="preserve"> </w:t>
      </w:r>
      <w:r>
        <w:t xml:space="preserve">automated test that already covers it, run before every release.</w:t>
      </w:r>
    </w:p>
    <w:p>
      <w:pPr>
        <w:pStyle w:val="BodyText"/>
      </w:pPr>
      <w:r>
        <w:rPr>
          <w:b/>
          <w:bCs/>
        </w:rPr>
        <w:t xml:space="preserve">One real bug found and fixed during this pass:</w:t>
      </w:r>
      <w:r>
        <w:t xml:space="preserve"> </w:t>
      </w:r>
      <w:r>
        <w:t xml:space="preserve">any query failure in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(a 404, a network error) left the affected view stuck on its loading state forever</w:t>
      </w:r>
      <w:r>
        <w:t xml:space="preserve"> </w:t>
      </w:r>
      <w:r>
        <w:t xml:space="preserve">instead of showing the existing</w:t>
      </w:r>
      <w:r>
        <w:t xml:space="preserve"> </w:t>
      </w:r>
      <w:r>
        <w:rPr>
          <w:rStyle w:val="VerbatimChar"/>
        </w:rPr>
        <w:t xml:space="preserve">&lt;QueryError&gt;</w:t>
      </w:r>
      <w:r>
        <w:t xml:space="preserve"> </w:t>
      </w:r>
      <w:r>
        <w:t xml:space="preserve">UI’s Retry button — the shared</w:t>
      </w:r>
      <w:r>
        <w:t xml:space="preserve"> </w:t>
      </w:r>
      <w:r>
        <w:rPr>
          <w:rStyle w:val="VerbatimChar"/>
        </w:rPr>
        <w:t xml:space="preserve">QueryClient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networkMode: 'online'</w:t>
      </w:r>
      <w:r>
        <w:t xml:space="preserve"> </w:t>
      </w:r>
      <w:r>
        <w:t xml:space="preserve">paused a scheduled retry</w:t>
      </w:r>
      <w:r>
        <w:t xml:space="preserve"> </w:t>
      </w:r>
      <w:r>
        <w:t xml:space="preserve">indefinitely because the browser’s online/offline signal it depends on never</w:t>
      </w:r>
      <w:r>
        <w:t xml:space="preserve"> </w:t>
      </w:r>
      <w:r>
        <w:t xml:space="preserve">resolved. Every Vitest test constructs its own</w:t>
      </w:r>
      <w:r>
        <w:t xml:space="preserve"> </w:t>
      </w:r>
      <w:r>
        <w:rPr>
          <w:rStyle w:val="VerbatimChar"/>
        </w:rPr>
        <w:t xml:space="preserve">QueryClient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retry: false</w:t>
      </w:r>
      <w:r>
        <w:t xml:space="preserve">,</w:t>
      </w:r>
      <w:r>
        <w:t xml:space="preserve"> </w:t>
      </w:r>
      <w:r>
        <w:t xml:space="preserve">which is precisely why 231 green tests never caught it. Fixed in</w:t>
      </w:r>
      <w:r>
        <w:t xml:space="preserve"> </w:t>
      </w:r>
      <w:r>
        <w:rPr>
          <w:rStyle w:val="VerbatimChar"/>
        </w:rPr>
        <w:t xml:space="preserve">apps/web/src/main.tsx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retry: false</w:t>
      </w:r>
      <w:r>
        <w:t xml:space="preserve"> </w:t>
      </w:r>
      <w:r>
        <w:t xml:space="preserve">— every view’s manual Retry button was</w:t>
      </w:r>
      <w:r>
        <w:t xml:space="preserve"> </w:t>
      </w:r>
      <w:r>
        <w:t xml:space="preserve">already the real recovery path;</w:t>
      </w:r>
      <w:r>
        <w:t xml:space="preserve"> </w:t>
      </w:r>
      <w:r>
        <w:rPr>
          <w:rStyle w:val="VerbatimChar"/>
        </w:rPr>
        <w:t xml:space="preserve">networkMode: "always"</w:t>
      </w:r>
      <w:r>
        <w:t xml:space="preserve"> </w:t>
      </w:r>
      <w:r>
        <w:t xml:space="preserve">as defense-in-depth),</w:t>
      </w:r>
      <w:r>
        <w:t xml:space="preserve"> </w:t>
      </w:r>
      <w:r>
        <w:t xml:space="preserve">verified live against the rebuilt Docker deployment, no regressions.</w:t>
      </w:r>
    </w:p>
    <w:bookmarkEnd w:id="19"/>
    <w:bookmarkStart w:id="20" w:name="what-is-explicitly-not-yet-built"/>
    <w:p>
      <w:pPr>
        <w:pStyle w:val="Heading1"/>
      </w:pPr>
      <w:r>
        <w:t xml:space="preserve">12. What Is Explicitly Not Yet Built</w:t>
      </w:r>
    </w:p>
    <w:p>
      <w:pPr>
        <w:pStyle w:val="FirstParagraph"/>
      </w:pPr>
      <w:r>
        <w:t xml:space="preserve">This implementation proves the recommendation, guardrail, and writeback-audit</w:t>
      </w:r>
      <w:r>
        <w:t xml:space="preserve"> </w:t>
      </w:r>
      <w:r>
        <w:t xml:space="preserve">logic completely, and the UI completely. 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03"/>
        </w:numPr>
      </w:pPr>
      <w:r>
        <w:t xml:space="preserve">Any AWS Bedrock AgentCore, Strands, or SageMaker code — the orchestration above</w:t>
      </w:r>
      <w:r>
        <w:t xml:space="preserve"> </w:t>
      </w:r>
      <w:r>
        <w:t xml:space="preserve">is plain, framework-free Python (a deliberate ADR-0001 choice: the deterministic</w:t>
      </w:r>
      <w:r>
        <w:t xml:space="preserve"> </w:t>
      </w:r>
      <w:r>
        <w:rPr>
          <w:rStyle w:val="VerbatimChar"/>
        </w:rPr>
        <w:t xml:space="preserve">SupervisorOrchestrator</w:t>
      </w:r>
      <w:r>
        <w:t xml:space="preserve"> </w:t>
      </w:r>
      <w:r>
        <w:t xml:space="preserve">is portable to a single-file rewrite if a future Strands</w:t>
      </w:r>
      <w:r>
        <w:t xml:space="preserve"> </w:t>
      </w:r>
      <w:r>
        <w:t xml:space="preserve">migration happens)</w:t>
      </w:r>
    </w:p>
    <w:p>
      <w:pPr>
        <w:pStyle w:val="Compact"/>
        <w:numPr>
          <w:ilvl w:val="0"/>
          <w:numId w:val="1003"/>
        </w:numPr>
      </w:pPr>
      <w:r>
        <w:t xml:space="preserve">A real connection to eMRO’s Oracle database in production, or a real eMRO</w:t>
      </w:r>
      <w:r>
        <w:t xml:space="preserve"> </w:t>
      </w:r>
      <w:r>
        <w:t xml:space="preserve">Writeback REST endpoint —</w:t>
      </w:r>
      <w:r>
        <w:t xml:space="preserve"> </w:t>
      </w:r>
      <w:r>
        <w:rPr>
          <w:rStyle w:val="VerbatimChar"/>
        </w:rPr>
        <w:t xml:space="preserve">fake_emro</w:t>
      </w:r>
      <w:r>
        <w:t xml:space="preserve"> </w:t>
      </w:r>
      <w:r>
        <w:t xml:space="preserve">is a contract-tested stand-in, not a</w:t>
      </w:r>
      <w:r>
        <w:t xml:space="preserve"> </w:t>
      </w:r>
      <w:r>
        <w:t xml:space="preserve">simulation to be trusted blindly, but not the genuine integration either</w:t>
      </w:r>
      <w:r>
        <w:t xml:space="preserve"> </w:t>
      </w:r>
      <w:r>
        <w:t xml:space="preserve">(see the Integration Handoff Guide for the real contract)</w:t>
      </w:r>
    </w:p>
    <w:p>
      <w:pPr>
        <w:pStyle w:val="Compact"/>
        <w:numPr>
          <w:ilvl w:val="0"/>
          <w:numId w:val="1003"/>
        </w:numPr>
      </w:pPr>
      <w:r>
        <w:t xml:space="preserve">Real customer data, a signed lighthouse tenant, or any AWS deployment — see the</w:t>
      </w:r>
      <w:r>
        <w:t xml:space="preserve"> </w:t>
      </w:r>
      <w:r>
        <w:rPr>
          <w:b/>
          <w:bCs/>
        </w:rPr>
        <w:t xml:space="preserve">AWS Infrastructure Guide</w:t>
      </w:r>
      <w:r>
        <w:t xml:space="preserve"> </w:t>
      </w:r>
      <w:r>
        <w:t xml:space="preserve">for exactly what infrastructure-as-code already</w:t>
      </w:r>
      <w:r>
        <w:t xml:space="preserve"> </w:t>
      </w:r>
      <w:r>
        <w:t xml:space="preserve">exists toward that and what remains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, this corresponds to substantial completion of Wave 0–2’s</w:t>
      </w:r>
      <w:r>
        <w:t xml:space="preserve"> </w:t>
      </w:r>
      <w:r>
        <w:t xml:space="preserve">application logic (sub-projects #1, #2, #4, #5, #7, #8, #11, plus Wave 4’s</w:t>
      </w:r>
      <w:r>
        <w:t xml:space="preserve"> </w:t>
      </w:r>
      <w:r>
        <w:t xml:space="preserve">sub-project #12 Wave A) in local/reference form, with Wave 3 (go-live, real</w:t>
      </w:r>
      <w:r>
        <w:t xml:space="preserve"> </w:t>
      </w:r>
      <w:r>
        <w:t xml:space="preserve">tenant onboarding) and the AWS deployment of Waves 0–2’s target infrastructure</w:t>
      </w:r>
      <w:r>
        <w:t xml:space="preserve"> </w:t>
      </w:r>
      <w:r>
        <w:t xml:space="preserve">both not yet started.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Trax IO — Full Feature Guide</dc:title>
  <dc:creator>Miguel Sosa, VP Head of Innovation · Trax</dc:creator>
  <cp:keywords/>
  <dcterms:created xsi:type="dcterms:W3CDTF">2026-07-07T00:35:59Z</dcterms:created>
  <dcterms:modified xsi:type="dcterms:W3CDTF">2026-07-07T00:35:59Z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</vt:lpwstr>
  </property>
  <property fmtid="{D5CDD505-2E9C-101B-9397-08002B2CF9AE}" pid="3" name="subtitle">
    <vt:lpwstr>What Actually Runs Today: v1 Reference Implementation Walkthrough</vt:lpwstr>
  </property>
</Properties>
</file>