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Trax IO — AWS Infrastructure Guide</w:t>
      </w:r>
    </w:p>
    <w:p>
      <w:pPr>
        <w:pStyle w:val="Subtitle"/>
      </w:pPr>
      <w:r>
        <w:t xml:space="preserve">Target Architecture, What’s Coded Today, and the Path to Deploy</w:t>
      </w:r>
    </w:p>
    <w:p>
      <w:pPr>
        <w:pStyle w:val="Author"/>
      </w:pPr>
      <w:r>
        <w:t xml:space="preserve">Miguel Sosa, VP Head of Innovation · Trax</w:t>
      </w:r>
    </w:p>
    <w:p>
      <w:pPr>
        <w:pStyle w:val="Date"/>
      </w:pPr>
      <w:r>
        <w:t xml:space="preserve">2026-07-06</w:t>
      </w:r>
    </w:p>
    <w:bookmarkStart w:id="9" w:name="X0d3d5b3b1d7779b91f47f624ff998262badc69b"/>
    <w:p>
      <w:pPr>
        <w:pStyle w:val="Heading1"/>
      </w:pPr>
      <w:r>
        <w:t xml:space="preserve">1. Purpose and the One Fact That Matters Most</w:t>
      </w:r>
    </w:p>
    <w:p>
      <w:pPr>
        <w:pStyle w:val="FirstParagraph"/>
      </w:pPr>
      <w:r>
        <w:t xml:space="preserve">The Technical Architecture Guide describes Trax IO’s target AWS footprint. The</w:t>
      </w:r>
      <w:r>
        <w:t xml:space="preserve"> </w:t>
      </w:r>
      <w:r>
        <w:t xml:space="preserve">Full Feature Guide describes the application logic that runs today, entirely</w:t>
      </w:r>
      <w:r>
        <w:t xml:space="preserve"> </w:t>
      </w:r>
      <w:r>
        <w:t xml:space="preserve">outside AWS. This guide sits between them: it inventories exactly what</w:t>
      </w:r>
      <w:r>
        <w:t xml:space="preserve"> </w:t>
      </w:r>
      <w:r>
        <w:t xml:space="preserve">infrastructure-as-code has been written, what it would provision, and what</w:t>
      </w:r>
      <w:r>
        <w:t xml:space="preserve"> </w:t>
      </w:r>
      <w:r>
        <w:t xml:space="preserve">separates</w:t>
      </w:r>
      <w:r>
        <w:t xml:space="preserve"> </w:t>
      </w:r>
      <w:r>
        <w:t xml:space="preserve">“the CDK synthesizes clean CloudFormation”</w:t>
      </w:r>
      <w:r>
        <w:t xml:space="preserve"> </w:t>
      </w:r>
      <w:r>
        <w:t xml:space="preserve">from</w:t>
      </w:r>
      <w:r>
        <w:t xml:space="preserve"> </w:t>
      </w:r>
      <w:r>
        <w:t xml:space="preserve">“this is running in an</w:t>
      </w:r>
      <w:r>
        <w:t xml:space="preserve"> </w:t>
      </w:r>
      <w:r>
        <w:t xml:space="preserve">AWS account.”</w:t>
      </w:r>
    </w:p>
    <w:p>
      <w:pPr>
        <w:pStyle w:val="BodyText"/>
      </w:pPr>
      <w:r>
        <w:rPr>
          <w:b/>
          <w:bCs/>
        </w:rPr>
        <w:t xml:space="preserve">Zero AWS resources are provisioned today.</w:t>
      </w:r>
      <w:r>
        <w:t xml:space="preserve"> </w:t>
      </w:r>
      <w:r>
        <w:t xml:space="preserve">Every stack below is explicitly</w:t>
      </w:r>
      <w:r>
        <w:t xml:space="preserve"> </w:t>
      </w:r>
      <w:r>
        <w:t xml:space="preserve">marked</w:t>
      </w:r>
      <w:r>
        <w:t xml:space="preserve"> </w:t>
      </w:r>
      <w:r>
        <w:t xml:space="preserve">“synth only”</w:t>
      </w:r>
      <w:r>
        <w:t xml:space="preserve"> </w:t>
      </w:r>
      <w:r>
        <w:t xml:space="preserve">in its own source comments.</w:t>
      </w:r>
      <w:r>
        <w:t xml:space="preserve"> </w:t>
      </w:r>
      <w:r>
        <w:rPr>
          <w:rStyle w:val="VerbatimChar"/>
        </w:rPr>
        <w:t xml:space="preserve">infra/feature-store/app.py</w:t>
      </w:r>
      <w:r>
        <w:t xml:space="preserve"> </w:t>
      </w:r>
      <w:r>
        <w:t xml:space="preserve">states it directly:</w:t>
      </w:r>
      <w:r>
        <w:t xml:space="preserve"> </w:t>
      </w:r>
      <w:r>
        <w:rPr>
          <w:i/>
          <w:iCs/>
        </w:rPr>
        <w:t xml:space="preserve">“Do NOT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cdk deploy</w:t>
      </w:r>
      <w:r>
        <w:rPr>
          <w:i/>
          <w:iCs/>
        </w:rPr>
        <w:t xml:space="preserve"> </w:t>
      </w:r>
      <w:r>
        <w:rPr>
          <w:i/>
          <w:iCs/>
        </w:rPr>
        <w:t xml:space="preserve">from this scaffold — Phase 8 of the</w:t>
      </w:r>
      <w:r>
        <w:rPr>
          <w:i/>
          <w:iCs/>
        </w:rPr>
        <w:t xml:space="preserve"> </w:t>
      </w:r>
      <w:r>
        <w:rPr>
          <w:i/>
          <w:iCs/>
        </w:rPr>
        <w:t xml:space="preserve">plan introduces the per-tenant deploy pipeline with OIDC into the Trax AWS</w:t>
      </w:r>
      <w:r>
        <w:rPr>
          <w:i/>
          <w:iCs/>
        </w:rPr>
        <w:t xml:space="preserve"> </w:t>
      </w:r>
      <w:r>
        <w:rPr>
          <w:i/>
          <w:iCs/>
        </w:rPr>
        <w:t xml:space="preserve">deployment account.”</w:t>
      </w:r>
      <w:r>
        <w:t xml:space="preserve"> </w:t>
      </w:r>
      <w:r>
        <w:t xml:space="preserve">This guide takes that constraint at face value throughout</w:t>
      </w:r>
      <w:r>
        <w:t xml:space="preserve"> </w:t>
      </w:r>
      <w:r>
        <w:t xml:space="preserve">— nothing here should be read as</w:t>
      </w:r>
      <w:r>
        <w:t xml:space="preserve"> </w:t>
      </w:r>
      <w:r>
        <w:t xml:space="preserve">“already deployed.”</w:t>
      </w:r>
    </w:p>
    <w:bookmarkEnd w:id="9"/>
    <w:bookmarkStart w:id="10" w:name="status-legend"/>
    <w:p>
      <w:pPr>
        <w:pStyle w:val="Heading1"/>
      </w:pPr>
      <w:r>
        <w:t xml:space="preserve">2. Status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</w:p>
        </w:tc>
        <w:tc>
          <w:tcPr/>
          <w:p>
            <w:pPr>
              <w:pStyle w:val="Compact"/>
            </w:pPr>
            <w:r>
              <w:t xml:space="preserve">Target design only — described in the Architecture Guide, no code written toward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🧱</w:t>
            </w:r>
          </w:p>
        </w:tc>
        <w:tc>
          <w:tcPr/>
          <w:p>
            <w:pPr>
              <w:pStyle w:val="Compact"/>
            </w:pPr>
            <w:r>
              <w:t xml:space="preserve">Real CDK written,</w:t>
            </w:r>
            <w:r>
              <w:t xml:space="preserve"> </w:t>
            </w:r>
            <w:r>
              <w:rPr>
                <w:rStyle w:val="VerbatimChar"/>
              </w:rPr>
              <w:t xml:space="preserve">cdk synth</w:t>
            </w:r>
            <w:r>
              <w:t xml:space="preserve">-tested in CI,</w:t>
            </w:r>
            <w:r>
              <w:t xml:space="preserve"> </w:t>
            </w:r>
            <w:r>
              <w:rPr>
                <w:b/>
                <w:bCs/>
              </w:rPr>
              <w:t xml:space="preserve">not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</w:p>
        </w:tc>
        <w:tc>
          <w:tcPr/>
          <w:p>
            <w:pPr>
              <w:pStyle w:val="Compact"/>
            </w:pPr>
            <w:r>
              <w:t xml:space="preserve">Deployed to a real AWS account</w:t>
            </w:r>
          </w:p>
        </w:tc>
      </w:tr>
    </w:tbl>
    <w:p>
      <w:pPr>
        <w:pStyle w:val="BodyText"/>
      </w:pPr>
      <w:r>
        <w:t xml:space="preserve">No item in this document currently carries 🚀.</w:t>
      </w:r>
    </w:p>
    <w:bookmarkEnd w:id="10"/>
    <w:bookmarkStart w:id="11" w:name="account-tenancy-model"/>
    <w:p>
      <w:pPr>
        <w:pStyle w:val="Heading1"/>
      </w:pPr>
      <w:r>
        <w:t xml:space="preserve">3. Account &amp; Tenancy Model — 🎯</w:t>
      </w:r>
    </w:p>
    <w:p>
      <w:pPr>
        <w:pStyle w:val="FirstParagraph"/>
      </w:pPr>
      <w:r>
        <w:t xml:space="preserve">Design calls for a single shared AWS account (</w:t>
      </w:r>
      <w:r>
        <w:rPr>
          <w:rStyle w:val="VerbatimChar"/>
        </w:rPr>
        <w:t xml:space="preserve">TraxAi</w:t>
      </w:r>
      <w:r>
        <w:t xml:space="preserve">) for all of v1, with</w:t>
      </w:r>
      <w:r>
        <w:t xml:space="preserve"> </w:t>
      </w:r>
      <w:r>
        <w:t xml:space="preserve">per-tenant isolation enforced through KMS keys, Cedar policies, IAM role</w:t>
      </w:r>
      <w:r>
        <w:t xml:space="preserve"> </w:t>
      </w:r>
      <w:r>
        <w:t xml:space="preserve">boundaries, and per-tenant CDK stacks — not through separate AWS accounts per</w:t>
      </w:r>
      <w:r>
        <w:t xml:space="preserve"> </w:t>
      </w:r>
      <w:r>
        <w:t xml:space="preserve">tenant. This is a deliberate simplicity choice for v1 scale.</w:t>
      </w:r>
    </w:p>
    <w:p>
      <w:pPr>
        <w:pStyle w:val="BodyText"/>
      </w:pPr>
      <w:r>
        <w:t xml:space="preserve">The per-tenant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pattern is already real, not just designed: both CDK</w:t>
      </w:r>
      <w:r>
        <w:t xml:space="preserve"> </w:t>
      </w:r>
      <w:r>
        <w:t xml:space="preserve">packages below instantiate one stack per tenant from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context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infra/feature-store/app.py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["aircanada"]</w:t>
      </w:r>
      <w:r>
        <w:t xml:space="preserve"> </w:t>
      </w:r>
      <w:r>
        <w:t xml:space="preserve">when no context is</w:t>
      </w:r>
      <w:r>
        <w:t xml:space="preserve"> </w:t>
      </w:r>
      <w:r>
        <w:t xml:space="preserve">supplied), producing stack names like</w:t>
      </w:r>
      <w:r>
        <w:t xml:space="preserve"> </w:t>
      </w:r>
      <w:r>
        <w:rPr>
          <w:rStyle w:val="VerbatimChar"/>
        </w:rPr>
        <w:t xml:space="preserve">TraxIO-FeatureStore-aircanada</w:t>
      </w:r>
      <w:r>
        <w:t xml:space="preserve">.</w:t>
      </w:r>
    </w:p>
    <w:bookmarkEnd w:id="11"/>
    <w:bookmarkStart w:id="12" w:name="data-plane-per-tenant-infrafeature-store"/>
    <w:p>
      <w:pPr>
        <w:pStyle w:val="Heading1"/>
      </w:pPr>
      <w:r>
        <w:t xml:space="preserve">4. Data Plane (Per Tenant) — 🧱</w:t>
      </w:r>
      <w:r>
        <w:t xml:space="preserve"> </w:t>
      </w:r>
      <w:r>
        <w:rPr>
          <w:rStyle w:val="VerbatimChar"/>
        </w:rPr>
        <w:t xml:space="preserve">infra/feature-store</w:t>
      </w:r>
    </w:p>
    <w:p>
      <w:pPr>
        <w:pStyle w:val="FirstParagraph"/>
      </w:pPr>
      <w:r>
        <w:rPr>
          <w:rStyle w:val="VerbatimChar"/>
        </w:rPr>
        <w:t xml:space="preserve">FeatureStoreStack</w:t>
      </w:r>
      <w:r>
        <w:t xml:space="preserve"> </w:t>
      </w:r>
      <w:r>
        <w:t xml:space="preserve">(11 tests,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 </w:t>
      </w:r>
      <w:r>
        <w:t xml:space="preserve">clean) provisions, per tenant: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 CMK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alias/trax-io/&lt;tenant_id&gt;</w:t>
            </w:r>
            <w:r>
              <w:t xml:space="preserve">, key rotation enabled,</w:t>
            </w:r>
            <w:r>
              <w:t xml:space="preserve"> </w:t>
            </w:r>
            <w:r>
              <w:rPr>
                <w:rStyle w:val="VerbatimChar"/>
              </w:rPr>
              <w:t xml:space="preserve">RETAIN</w:t>
            </w:r>
            <w:r>
              <w:t xml:space="preserve"> </w:t>
            </w:r>
            <w:r>
              <w:t xml:space="preserve">on stack deletion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landing bucket</w:t>
            </w:r>
          </w:p>
        </w:tc>
        <w:tc>
          <w:tcPr/>
          <w:p>
            <w:pPr>
              <w:pStyle w:val="Compact"/>
            </w:pPr>
            <w:r>
              <w:t xml:space="preserve">SSE-KMS (tenant CMK), versioned, all public access blocked, SSL-enforced — the nightly-extract drop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lake bucket</w:t>
            </w:r>
          </w:p>
        </w:tc>
        <w:tc>
          <w:tcPr/>
          <w:p>
            <w:pPr>
              <w:pStyle w:val="Compact"/>
            </w:pPr>
            <w:r>
              <w:t xml:space="preserve">Same encryption/access posture — backs the Iceberg tables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Glue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trax_io_lake_&lt;tenant_id&gt;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Iceberg tables</w:t>
            </w:r>
          </w:p>
        </w:tc>
        <w:tc>
          <w:tcPr/>
          <w:p>
            <w:pPr>
              <w:pStyle w:val="Compact"/>
            </w:pPr>
            <w:r>
              <w:t xml:space="preserve">One per v1 feature group (design §4.2),</w:t>
            </w:r>
            <w:r>
              <w:t xml:space="preserve"> </w:t>
            </w:r>
            <w:r>
              <w:rPr>
                <w:rStyle w:val="VerbatimChar"/>
              </w:rPr>
              <w:t xml:space="preserve">EXTERNAL_TABLE</w:t>
            </w:r>
            <w:r>
              <w:t xml:space="preserve">, format-version 2 (time-travel), partitioned by</w:t>
            </w:r>
            <w:r>
              <w:t xml:space="preserve"> </w:t>
            </w:r>
            <w:r>
              <w:rPr>
                <w:rStyle w:val="VerbatimChar"/>
              </w:rPr>
              <w:t xml:space="preserve">(tenant_id, extract_date)</w:t>
            </w:r>
            <w:r>
              <w:t xml:space="preserve">, located under the lake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Glue ETL jobs</w:t>
            </w:r>
          </w:p>
        </w:tc>
        <w:tc>
          <w:tcPr/>
          <w:p>
            <w:pPr>
              <w:pStyle w:val="Compact"/>
            </w:pPr>
            <w:r>
              <w:t xml:space="preserve">One PySpark job per feature group,</w:t>
            </w:r>
            <w:r>
              <w:t xml:space="preserve"> </w:t>
            </w:r>
            <w:r>
              <w:rPr>
                <w:rStyle w:val="VerbatimChar"/>
              </w:rPr>
              <w:t xml:space="preserve">glue_version 4.0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G.1X</w:t>
            </w:r>
            <w:r>
              <w:t xml:space="preserve"> </w:t>
            </w:r>
            <w:r>
              <w:t xml:space="preserve">× 2 workers, each with a least-privilege IAM role scoped to that tenant’s KMS key + landing/lake buckets + Glue catalog path (not the broad managed policy alone)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DynamoDB online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PK=tenant_id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SK=pn_location</w:t>
            </w:r>
            <w:r>
              <w:t xml:space="preserve">, pay-per-request, customer-managed KMS encryption, point-in-time recovery</w:t>
            </w:r>
          </w:p>
        </w:tc>
      </w:tr>
    </w:tbl>
    <w:p>
      <w:pPr>
        <w:pStyle w:val="BodyText"/>
      </w:pPr>
      <w:r>
        <w:t xml:space="preserve">The Glue job definitions point at real PySpark source already checked into</w:t>
      </w:r>
      <w:r>
        <w:t xml:space="preserve"> </w:t>
      </w:r>
      <w:r>
        <w:rPr>
          <w:rStyle w:val="VerbatimChar"/>
        </w:rPr>
        <w:t xml:space="preserve">services/feature-store/.../glue/&lt;group&gt;_job.py</w:t>
      </w:r>
      <w:r>
        <w:t xml:space="preserve"> </w:t>
      </w:r>
      <w:r>
        <w:t xml:space="preserve">— the CDK stack fails its own</w:t>
      </w:r>
      <w:r>
        <w:t xml:space="preserve"> </w:t>
      </w:r>
      <w:r>
        <w:t xml:space="preserve">synth if that sibling file is missing, so the infrastructure code and the</w:t>
      </w:r>
      <w:r>
        <w:t xml:space="preserve"> </w:t>
      </w:r>
      <w:r>
        <w:t xml:space="preserve">application code it deploys are load-bearing on each other, not independently</w:t>
      </w:r>
      <w:r>
        <w:t xml:space="preserve"> </w:t>
      </w:r>
      <w:r>
        <w:t xml:space="preserve">fictional.</w:t>
      </w:r>
    </w:p>
    <w:p>
      <w:pPr>
        <w:pStyle w:val="BodyText"/>
      </w:pPr>
      <w:r>
        <w:rPr>
          <w:b/>
          <w:bCs/>
        </w:rPr>
        <w:t xml:space="preserve">Deliberately excluded from this stack today</w:t>
      </w:r>
      <w:r>
        <w:t xml:space="preserve"> </w:t>
      </w:r>
      <w:r>
        <w:t xml:space="preserve">(target-only, later phases per</w:t>
      </w:r>
      <w:r>
        <w:t xml:space="preserve"> </w:t>
      </w:r>
      <w:r>
        <w:t xml:space="preserve">the file’s own header comment): Glue streaming/triggers, Kinesis data streams,</w:t>
      </w:r>
      <w:r>
        <w:t xml:space="preserve"> </w:t>
      </w:r>
      <w:r>
        <w:t xml:space="preserve">EventBridge rules, and cross-region replication. The stack synthesizes</w:t>
      </w:r>
      <w:r>
        <w:t xml:space="preserve"> </w:t>
      </w:r>
      <w:r>
        <w:t xml:space="preserve">everything needed to unblock the Agent Spine against real ARNs; the event-driven</w:t>
      </w:r>
      <w:r>
        <w:t xml:space="preserve"> </w:t>
      </w:r>
      <w:r>
        <w:t xml:space="preserve">plumbing arrives with the Event Plane (§7).</w:t>
      </w:r>
    </w:p>
    <w:bookmarkEnd w:id="12"/>
    <w:bookmarkStart w:id="13" w:name="X9120c01ef2c4dc2dd84b925272ff6da0d1eecae"/>
    <w:p>
      <w:pPr>
        <w:pStyle w:val="Heading1"/>
      </w:pPr>
      <w:r>
        <w:t xml:space="preserve">5. Control Plane — Observability &amp; SOC 2 — 🧱</w:t>
      </w:r>
      <w:r>
        <w:t xml:space="preserve"> </w:t>
      </w:r>
      <w:r>
        <w:rPr>
          <w:rStyle w:val="VerbatimChar"/>
        </w:rPr>
        <w:t xml:space="preserve">infra/observability-soc2</w:t>
      </w:r>
    </w:p>
    <w:p>
      <w:pPr>
        <w:pStyle w:val="FirstParagraph"/>
      </w:pPr>
      <w:r>
        <w:rPr>
          <w:rStyle w:val="VerbatimChar"/>
        </w:rPr>
        <w:t xml:space="preserve">ObservabilitySoc2Stack</w:t>
      </w:r>
      <w:r>
        <w:t xml:space="preserve"> </w:t>
      </w:r>
      <w:r>
        <w:t xml:space="preserve">(40 tests across stack/IAM-helper/tenant-spec suites,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 </w:t>
      </w:r>
      <w:r>
        <w:t xml:space="preserve">clean) splits into account-wide singletons and per-tenant resources.</w:t>
      </w:r>
    </w:p>
    <w:p>
      <w:pPr>
        <w:pStyle w:val="BodyText"/>
      </w:pPr>
      <w:r>
        <w:rPr>
          <w:b/>
          <w:bCs/>
        </w:rPr>
        <w:t xml:space="preserve">Singletons (one per AWS account):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KMS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alias/trax-io/audit</w:t>
            </w:r>
            <w:r>
              <w:t xml:space="preserve">, key rotation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S3 bucket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Lock, Compliance mode</w:t>
            </w:r>
            <w:r>
              <w:t xml:space="preserve"> </w:t>
            </w:r>
            <w:r>
              <w:t xml:space="preserve">(non-bypassable, not Governance), 2,557-day (7-year) default retention, versioned, SSE-KMS, all public access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 Lake event data store</w:t>
            </w:r>
          </w:p>
        </w:tc>
        <w:tc>
          <w:tcPr/>
          <w:p>
            <w:pPr>
              <w:pStyle w:val="Compact"/>
            </w:pPr>
            <w:r>
              <w:t xml:space="preserve">Multi-region, 7-year retention, termination-protected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Audit Manager assessment</w:t>
            </w:r>
          </w:p>
        </w:tc>
        <w:tc>
          <w:tcPr/>
          <w:p>
            <w:pPr>
              <w:pStyle w:val="Compact"/>
            </w:pPr>
            <w:r>
              <w:t xml:space="preserve">SOC 2 Type II framework, scoped to</w:t>
            </w:r>
            <w:r>
              <w:t xml:space="preserve"> </w:t>
            </w:r>
            <w:r>
              <w:rPr>
                <w:rStyle w:val="VerbatimChar"/>
              </w:rPr>
              <w:t xml:space="preserve">s3</w:t>
            </w:r>
            <w:r>
              <w:t xml:space="preserve">/</w:t>
            </w:r>
            <w:r>
              <w:rPr>
                <w:rStyle w:val="VerbatimChar"/>
              </w:rPr>
              <w:t xml:space="preserve">kms</w:t>
            </w:r>
            <w:r>
              <w:t xml:space="preserve">/</w:t>
            </w:r>
            <w:r>
              <w:rPr>
                <w:rStyle w:val="VerbatimChar"/>
              </w:rPr>
              <w:t xml:space="preserve">cloudtrail</w:t>
            </w:r>
            <w:r>
              <w:t xml:space="preserve">/</w:t>
            </w:r>
            <w:r>
              <w:rPr>
                <w:rStyle w:val="VerbatimChar"/>
              </w:rPr>
              <w:t xml:space="preserve">iam</w:t>
            </w:r>
            <w:r>
              <w:t xml:space="preserve">/</w:t>
            </w:r>
            <w:r>
              <w:rPr>
                <w:rStyle w:val="VerbatimChar"/>
              </w:rPr>
              <w:t xml:space="preserve">cloudwatch</w:t>
            </w:r>
            <w:r>
              <w:t xml:space="preserve">/</w:t>
            </w:r>
            <w:r>
              <w:rPr>
                <w:rStyle w:val="VerbatimChar"/>
              </w:rPr>
              <w:t xml:space="preserve">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PROCESS_OWNER</w:t>
            </w:r>
            <w:r>
              <w:t xml:space="preserve"> </w:t>
            </w:r>
            <w:r>
              <w:t xml:space="preserve">role bound to a</w:t>
            </w:r>
            <w:r>
              <w:t xml:space="preserve"> </w:t>
            </w:r>
            <w:r>
              <w:rPr>
                <w:rStyle w:val="VerbatimChar"/>
              </w:rPr>
              <w:t xml:space="preserve">TraxIoSecOps</w:t>
            </w:r>
            <w:r>
              <w:t xml:space="preserve"> </w:t>
            </w:r>
            <w:r>
              <w:t xml:space="preserve">IAM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OpenTelemetry Collector</w:t>
            </w:r>
          </w:p>
        </w:tc>
        <w:tc>
          <w:tcPr/>
          <w:p>
            <w:pPr>
              <w:pStyle w:val="Compact"/>
            </w:pPr>
            <w:r>
              <w:t xml:space="preserve">Fargate task (512 CPU / 1024 MiB) in a 2-AZ VPC with a NAT gateway, task role with</w:t>
            </w:r>
            <w:r>
              <w:t xml:space="preserve"> </w:t>
            </w:r>
            <w:r>
              <w:rPr>
                <w:rStyle w:val="VerbatimChar"/>
              </w:rPr>
              <w:t xml:space="preserve">AWSXRayDaemonWriteAccess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CloudWatchAgentServerPolicy</w:t>
            </w:r>
            <w:r>
              <w:t xml:space="preserve">, running the public</w:t>
            </w:r>
            <w:r>
              <w:t xml:space="preserve"> </w:t>
            </w:r>
            <w:r>
              <w:rPr>
                <w:rStyle w:val="VerbatimChar"/>
              </w:rPr>
              <w:t xml:space="preserve">aws-observability/aws-otel-collector</w:t>
            </w:r>
            <w:r>
              <w:t xml:space="preserve"> </w:t>
            </w:r>
            <w:r>
              <w:t xml:space="preserve">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 tenant:</w:t>
      </w:r>
      <w:r>
        <w:t xml:space="preserve"> </w:t>
      </w:r>
      <w:r>
        <w:t xml:space="preserve">a KMS CMK (explicit 365-day rotation period) and a CloudWatch log</w:t>
      </w:r>
      <w:r>
        <w:t xml:space="preserve"> </w:t>
      </w:r>
      <w:r>
        <w:t xml:space="preserve">group (</w:t>
      </w:r>
      <w:r>
        <w:rPr>
          <w:rStyle w:val="VerbatimChar"/>
        </w:rPr>
        <w:t xml:space="preserve">/trax-io/&lt;tenant_id&gt;</w:t>
      </w:r>
      <w:r>
        <w:t xml:space="preserve">, 1-year retention, encrypted with that tenant’s</w:t>
      </w:r>
      <w:r>
        <w:t xml:space="preserve"> </w:t>
      </w:r>
      <w:r>
        <w:t xml:space="preserve">CMK) — each exported via a frozen</w:t>
      </w:r>
      <w:r>
        <w:t xml:space="preserve"> </w:t>
      </w:r>
      <w:r>
        <w:rPr>
          <w:rStyle w:val="VerbatimChar"/>
        </w:rPr>
        <w:t xml:space="preserve">CfnOutput</w:t>
      </w:r>
      <w:r>
        <w:t xml:space="preserve"> </w:t>
      </w:r>
      <w:r>
        <w:t xml:space="preserve">naming contract,</w:t>
      </w:r>
      <w:r>
        <w:t xml:space="preserve"> </w:t>
      </w:r>
      <w:r>
        <w:rPr>
          <w:rStyle w:val="VerbatimChar"/>
        </w:rPr>
        <w:t xml:space="preserve">TraxIo-&lt;tenant_id&gt;-TenantKmsArn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TraxIo-&lt;tenant_id&gt;-TenantLogGroupArn</w:t>
      </w:r>
      <w:r>
        <w:t xml:space="preserve">,</w:t>
      </w:r>
      <w:r>
        <w:t xml:space="preserve"> </w:t>
      </w:r>
      <w:r>
        <w:t xml:space="preserve">that downstream stacks (feature-store, nightly-extract) are meant to consume via</w:t>
      </w:r>
      <w:r>
        <w:t xml:space="preserve"> </w:t>
      </w:r>
      <w:r>
        <w:rPr>
          <w:rStyle w:val="VerbatimChar"/>
        </w:rPr>
        <w:t xml:space="preserve">Fn::ImportValue</w:t>
      </w:r>
      <w:r>
        <w:t xml:space="preserve">. Changing these literal strings is a breaking change across</w:t>
      </w:r>
      <w:r>
        <w:t xml:space="preserve"> </w:t>
      </w:r>
      <w:r>
        <w:t xml:space="preserve">stacks.</w:t>
      </w:r>
    </w:p>
    <w:p>
      <w:pPr>
        <w:pStyle w:val="BodyText"/>
      </w:pPr>
      <w:r>
        <w:rPr>
          <w:b/>
          <w:bCs/>
        </w:rPr>
        <w:t xml:space="preserve">Two gaps the code itself flags, verbatim:</w:t>
      </w:r>
    </w:p>
    <w:p>
      <w:pPr>
        <w:pStyle w:val="Compact"/>
        <w:numPr>
          <w:ilvl w:val="0"/>
          <w:numId w:val="1001"/>
        </w:numPr>
      </w:pPr>
      <w:r>
        <w:t xml:space="preserve">The audit bucket carries an explicit metadata note:</w:t>
      </w:r>
      <w:r>
        <w:t xml:space="preserve"> </w:t>
      </w:r>
      <w:r>
        <w:rPr>
          <w:i/>
          <w:iCs/>
        </w:rPr>
        <w:t xml:space="preserve">“PROD: move to dedicated</w:t>
      </w:r>
      <w:r>
        <w:rPr>
          <w:i/>
          <w:iCs/>
        </w:rPr>
        <w:t xml:space="preserve"> </w:t>
      </w:r>
      <w:r>
        <w:rPr>
          <w:i/>
          <w:iCs/>
        </w:rPr>
        <w:t xml:space="preserve">Trax audit account; Phase 1/2 synth keeps in-stack.”</w:t>
      </w:r>
      <w:r>
        <w:t xml:space="preserve"> </w:t>
      </w:r>
      <w:r>
        <w:t xml:space="preserve">The design’s dual-book</w:t>
      </w:r>
      <w:r>
        <w:t xml:space="preserve"> </w:t>
      </w:r>
      <w:r>
        <w:t xml:space="preserve">pattern calls for the immutable audit trail to live in a separate AWS account</w:t>
      </w:r>
      <w:r>
        <w:t xml:space="preserve"> </w:t>
      </w:r>
      <w:r>
        <w:t xml:space="preserve">from the operational stacks — not yet true here.</w:t>
      </w:r>
    </w:p>
    <w:p>
      <w:pPr>
        <w:pStyle w:val="Compact"/>
        <w:numPr>
          <w:ilvl w:val="0"/>
          <w:numId w:val="1001"/>
        </w:numPr>
      </w:pPr>
      <w:r>
        <w:t xml:space="preserve">The SOC 2 framework ID is a literal placeholder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00000000-0000-0000-0000-000000000000</w:t>
      </w:r>
      <w:r>
        <w:t xml:space="preserve">) until a real deploy discovers the</w:t>
      </w:r>
      <w:r>
        <w:t xml:space="preserve"> </w:t>
      </w:r>
      <w:r>
        <w:t xml:space="preserve">actual UUID via</w:t>
      </w:r>
      <w:r>
        <w:t xml:space="preserve"> </w:t>
      </w:r>
      <w:r>
        <w:rPr>
          <w:rStyle w:val="VerbatimChar"/>
        </w:rPr>
        <w:t xml:space="preserve">aws auditmanager list-assessment-frameworks</w:t>
      </w:r>
      <w:r>
        <w:t xml:space="preserve">.</w:t>
      </w:r>
    </w:p>
    <w:bookmarkEnd w:id="13"/>
    <w:bookmarkStart w:id="14" w:name="compute-agent-plane-nothing-coded"/>
    <w:p>
      <w:pPr>
        <w:pStyle w:val="Heading1"/>
      </w:pPr>
      <w:r>
        <w:t xml:space="preserve">6. Compute / Agent Plane — 🎯 Nothing Coded</w:t>
      </w:r>
    </w:p>
    <w:p>
      <w:pPr>
        <w:pStyle w:val="FirstParagraph"/>
      </w:pPr>
      <w:r>
        <w:t xml:space="preserve">The design calls for Bedrock AgentCore Runtime hosting a Supervisor and six</w:t>
      </w:r>
      <w:r>
        <w:t xml:space="preserve"> </w:t>
      </w:r>
      <w:r>
        <w:t xml:space="preserve">specialist subagents (Strands), AgentCore Memory/Identity/Gateway/Observability</w:t>
      </w:r>
      <w:r>
        <w:t xml:space="preserve"> </w:t>
      </w:r>
      <w:r>
        <w:t xml:space="preserve">for tenant-scoped agent state, and SageMaker for forecasting inference.</w:t>
      </w:r>
      <w:r>
        <w:t xml:space="preserve"> </w:t>
      </w:r>
      <w:r>
        <w:rPr>
          <w:b/>
          <w:bCs/>
        </w:rPr>
        <w:t xml:space="preserve">None</w:t>
      </w:r>
      <w:r>
        <w:rPr>
          <w:b/>
          <w:bCs/>
        </w:rPr>
        <w:t xml:space="preserve"> </w:t>
      </w:r>
      <w:r>
        <w:rPr>
          <w:b/>
          <w:bCs/>
        </w:rPr>
        <w:t xml:space="preserve">of this exists as code anywhere in the repository.</w:t>
      </w:r>
      <w:r>
        <w:t xml:space="preserve"> </w:t>
      </w:r>
      <w:r>
        <w:t xml:space="preserve">There is no Bedrock SDK</w:t>
      </w:r>
      <w:r>
        <w:t xml:space="preserve"> </w:t>
      </w:r>
      <w:r>
        <w:t xml:space="preserve">usage, no Strands import, no SageMaker endpoint definition, no AgentCore</w:t>
      </w:r>
      <w:r>
        <w:t xml:space="preserve"> </w:t>
      </w:r>
      <w:r>
        <w:t xml:space="preserve">construct, in any package.</w:t>
      </w:r>
    </w:p>
    <w:p>
      <w:pPr>
        <w:pStyle w:val="BodyText"/>
      </w:pPr>
      <w:r>
        <w:t xml:space="preserve">What stands in for it today, entirely outside AWS:</w:t>
      </w:r>
      <w:r>
        <w:t xml:space="preserve"> </w:t>
      </w:r>
      <w:r>
        <w:rPr>
          <w:rStyle w:val="VerbatimChar"/>
        </w:rPr>
        <w:t xml:space="preserve">services/agent-spine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SupervisorOrchestrator</w:t>
      </w:r>
      <w:r>
        <w:t xml:space="preserve"> </w:t>
      </w:r>
      <w:r>
        <w:t xml:space="preserve">is a deterministic, framework-free Python class</w:t>
      </w:r>
      <w:r>
        <w:t xml:space="preserve"> </w:t>
      </w:r>
      <w:r>
        <w:t xml:space="preserve">(ADR-0001’s explicit design choice — kept framework-free specifically so it can</w:t>
      </w:r>
      <w:r>
        <w:t xml:space="preserve"> </w:t>
      </w:r>
      <w:r>
        <w:t xml:space="preserve">be rewritten as a single file if a Strands migration ever happens), and</w:t>
      </w:r>
      <w:r>
        <w:t xml:space="preserve"> </w:t>
      </w:r>
      <w:r>
        <w:rPr>
          <w:rStyle w:val="VerbatimChar"/>
        </w:rPr>
        <w:t xml:space="preserve">services/forecasting</w:t>
      </w:r>
      <w:r>
        <w:t xml:space="preserve"> </w:t>
      </w:r>
      <w:r>
        <w:t xml:space="preserve">runs its three regime-specific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statsforecast</w:t>
      </w:r>
      <w:r>
        <w:t xml:space="preserve">/sklearn/scipy) as an in-process Python library with zero</w:t>
      </w:r>
      <w:r>
        <w:t xml:space="preserve"> </w:t>
      </w:r>
      <w:r>
        <w:t xml:space="preserve">SageMaker dependency. This is a real, tested, working substitute for the</w:t>
      </w:r>
      <w:r>
        <w:t xml:space="preserve"> </w:t>
      </w:r>
      <w:r>
        <w:t xml:space="preserve">orchestration and inference logic — but it is not the AWS compute plane the</w:t>
      </w:r>
      <w:r>
        <w:t xml:space="preserve"> </w:t>
      </w:r>
      <w:r>
        <w:t xml:space="preserve">design specifies, and migrating to Bedrock AgentCore + SageMaker is entirely</w:t>
      </w:r>
      <w:r>
        <w:t xml:space="preserve"> </w:t>
      </w:r>
      <w:r>
        <w:t xml:space="preserve">unstarted work, not a configuration change.</w:t>
      </w:r>
    </w:p>
    <w:bookmarkEnd w:id="14"/>
    <w:bookmarkStart w:id="15" w:name="event-plane-nothing-coded"/>
    <w:p>
      <w:pPr>
        <w:pStyle w:val="Heading1"/>
      </w:pPr>
      <w:r>
        <w:t xml:space="preserve">7. Event Plane — 🎯 Nothing Coded</w:t>
      </w:r>
    </w:p>
    <w:p>
      <w:pPr>
        <w:pStyle w:val="FirstParagraph"/>
      </w:pPr>
      <w:r>
        <w:t xml:space="preserve">Design calls for an eMRO-side outbox-and-drainer (Java Spring Boot add-on)</w:t>
      </w:r>
      <w:r>
        <w:t xml:space="preserve"> </w:t>
      </w:r>
      <w:r>
        <w:t xml:space="preserve">pushing seven domain event kinds over mTLS to an API Gateway endpoint, fanning</w:t>
      </w:r>
      <w:r>
        <w:t xml:space="preserve"> </w:t>
      </w:r>
      <w:r>
        <w:t xml:space="preserve">out through EventBridge to per-tenant Kinesis streams, with a Glue streaming job</w:t>
      </w:r>
      <w:r>
        <w:t xml:space="preserve"> </w:t>
      </w:r>
      <w:r>
        <w:t xml:space="preserve">for Iceberg CDC materialization, a Lambda consumer for the DynamoDB online</w:t>
      </w:r>
      <w:r>
        <w:t xml:space="preserve"> </w:t>
      </w:r>
      <w:r>
        <w:t xml:space="preserve">layer, and an EventBridge-triggered Step Function for sub-5-minute</w:t>
      </w:r>
      <w:r>
        <w:t xml:space="preserve"> </w:t>
      </w:r>
      <w:r>
        <w:t xml:space="preserve">“hot parts”</w:t>
      </w:r>
      <w:r>
        <w:t xml:space="preserve"> </w:t>
      </w:r>
      <w:r>
        <w:t xml:space="preserve">recomputes. No Kinesis stream, EventBridge rule, Lambda consumer, or Step</w:t>
      </w:r>
      <w:r>
        <w:t xml:space="preserve"> </w:t>
      </w:r>
      <w:r>
        <w:t xml:space="preserve">Function is defined in either CDK package today.</w:t>
      </w:r>
    </w:p>
    <w:p>
      <w:pPr>
        <w:pStyle w:val="BodyText"/>
      </w:pPr>
      <w:r>
        <w:rPr>
          <w:rStyle w:val="VerbatimChar"/>
        </w:rPr>
        <w:t xml:space="preserve">services/event-publisher</w:t>
      </w:r>
      <w:r>
        <w:t xml:space="preserve"> </w:t>
      </w:r>
      <w:r>
        <w:t xml:space="preserve">implements the canonical event schema and a</w:t>
      </w:r>
      <w:r>
        <w:t xml:space="preserve"> </w:t>
      </w:r>
      <w:r>
        <w:t xml:space="preserve">conformance test harness against a</w:t>
      </w:r>
      <w:r>
        <w:t xml:space="preserve"> </w:t>
      </w:r>
      <w:r>
        <w:rPr>
          <w:rStyle w:val="VerbatimChar"/>
        </w:rPr>
        <w:t xml:space="preserve">fake_event_endpoint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agent-spine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CLI command replays a JSONL batch of canonical events through the real</w:t>
      </w:r>
      <w:r>
        <w:t xml:space="preserve"> </w:t>
      </w:r>
      <w:r>
        <w:t xml:space="preserve">consumer-side pipeline (dedup → canonical adapter → recompute → writeback).</w:t>
      </w:r>
      <w:r>
        <w:t xml:space="preserve"> </w:t>
      </w:r>
      <w:r>
        <w:t xml:space="preserve">Together these prove the</w:t>
      </w:r>
      <w: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the real event plane must satisfy — they</w:t>
      </w:r>
      <w:r>
        <w:t xml:space="preserve"> </w:t>
      </w:r>
      <w:r>
        <w:t xml:space="preserve">do not stand up any of the AWS messaging infrastructure itself.</w:t>
      </w:r>
    </w:p>
    <w:bookmarkEnd w:id="15"/>
    <w:bookmarkStart w:id="16" w:name="X67f5782329145a4954ab527a2f00f1efabef1a8"/>
    <w:p>
      <w:pPr>
        <w:pStyle w:val="Heading1"/>
      </w:pPr>
      <w:r>
        <w:t xml:space="preserve">8. Writeback / eMRO Integration — 🎯 Contract Designed, 🧱 Reference Implementation Only</w:t>
      </w:r>
    </w:p>
    <w:p>
      <w:pPr>
        <w:pStyle w:val="FirstParagraph"/>
      </w:pPr>
      <w:r>
        <w:t xml:space="preserve">The target integration is a real REST surface inside eMRO</w:t>
      </w:r>
      <w:r>
        <w:t xml:space="preserve"> </w:t>
      </w:r>
      <w:r>
        <w:t xml:space="preserve">(</w:t>
      </w:r>
      <w:r>
        <w:rPr>
          <w:rStyle w:val="VerbatimChar"/>
        </w:rPr>
        <w:t xml:space="preserve">PUT/GET/POST /v1/tenants/{tenant_id}/inventory-level/...</w:t>
      </w:r>
      <w:r>
        <w:t xml:space="preserve">), authenticated by</w:t>
      </w:r>
      <w:r>
        <w:t xml:space="preserve"> </w:t>
      </w:r>
      <w:r>
        <w:t xml:space="preserve">mutual TLS plus a short-lived bearer JWT, documented in the Integration Handoff</w:t>
      </w:r>
      <w:r>
        <w:t xml:space="preserve"> </w:t>
      </w:r>
      <w:r>
        <w:t xml:space="preserve">Guide. No such endpoint exists against a real eMRO instance today, and no AWS</w:t>
      </w:r>
      <w:r>
        <w:t xml:space="preserve"> </w:t>
      </w:r>
      <w:r>
        <w:t xml:space="preserve">resource is involved in this integration surface at all — it is a direct</w:t>
      </w:r>
      <w:r>
        <w:t xml:space="preserve"> </w:t>
      </w:r>
      <w:r>
        <w:t xml:space="preserve">service-to-service contract between Trax IO’s compute and eMRO’s Oracle-backed</w:t>
      </w:r>
      <w:r>
        <w:t xml:space="preserve"> </w:t>
      </w:r>
      <w:r>
        <w:t xml:space="preserve">Java application.</w:t>
      </w:r>
    </w:p>
    <w:p>
      <w:pPr>
        <w:pStyle w:val="BodyText"/>
      </w:pPr>
      <w:r>
        <w:t xml:space="preserve">What’s real:</w:t>
      </w:r>
      <w:r>
        <w:t xml:space="preserve"> </w:t>
      </w:r>
      <w:r>
        <w:rPr>
          <w:rStyle w:val="VerbatimChar"/>
        </w:rPr>
        <w:t xml:space="preserve">fake_emro</w:t>
      </w:r>
      <w:r>
        <w:t xml:space="preserve">, a FastAPI reference implementation backed by an</w:t>
      </w:r>
      <w:r>
        <w:t xml:space="preserve"> </w:t>
      </w:r>
      <w:r>
        <w:rPr>
          <w:rStyle w:val="VerbatimChar"/>
        </w:rPr>
        <w:t xml:space="preserve">InMemoryWritebackTarget</w:t>
      </w:r>
      <w:r>
        <w:t xml:space="preserve">, built specifically so the Trax-side</w:t>
      </w:r>
      <w:r>
        <w:t xml:space="preserve"> </w:t>
      </w:r>
      <w:r>
        <w:rPr>
          <w:rStyle w:val="VerbatimChar"/>
        </w:rPr>
        <w:t xml:space="preserve">Audited WritebackTarget</w:t>
      </w:r>
      <w:r>
        <w:t xml:space="preserve"> </w:t>
      </w:r>
      <w:r>
        <w:t xml:space="preserve">Protocol (history ledger, 90-day rollback, shadow mode) can be</w:t>
      </w:r>
      <w:r>
        <w:t xml:space="preserve"> </w:t>
      </w:r>
      <w:r>
        <w:t xml:space="preserve">proven correct via contract tests without depending on eMRO’s real</w:t>
      </w:r>
      <w:r>
        <w:t xml:space="preserve"> </w:t>
      </w:r>
      <w:r>
        <w:t xml:space="preserve">implementation ever existing yet (ADR-0003). This de-risks the</w:t>
      </w:r>
      <w:r>
        <w:t xml:space="preserve"> </w:t>
      </w:r>
      <w:r>
        <w:rPr>
          <w:i/>
          <w:iCs/>
        </w:rPr>
        <w:t xml:space="preserve">logic</w:t>
      </w:r>
      <w:r>
        <w:t xml:space="preserve">; it does</w:t>
      </w:r>
      <w:r>
        <w:t xml:space="preserve"> </w:t>
      </w:r>
      <w:r>
        <w:t xml:space="preserve">not touch the</w:t>
      </w:r>
      <w:r>
        <w:t xml:space="preserve"> </w:t>
      </w:r>
      <w:r>
        <w:rPr>
          <w:i/>
          <w:iCs/>
        </w:rPr>
        <w:t xml:space="preserve">infrastructure</w:t>
      </w:r>
      <w:r>
        <w:t xml:space="preserve"> </w:t>
      </w:r>
      <w:r>
        <w:t xml:space="preserve">question.</w:t>
      </w:r>
    </w:p>
    <w:bookmarkEnd w:id="16"/>
    <w:bookmarkStart w:id="17" w:name="infrastructure-as-code-status-summary"/>
    <w:p>
      <w:pPr>
        <w:pStyle w:val="Heading1"/>
      </w:pPr>
      <w:r>
        <w:t xml:space="preserve">9. Infrastructure-as-Code Status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Stack / Package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cdk synth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cdk deploy</w:t>
            </w:r>
          </w:p>
        </w:tc>
        <w:tc>
          <w:tcPr/>
          <w:p>
            <w:pPr>
              <w:pStyle w:val="Compact"/>
            </w:pPr>
            <w:r>
              <w:t xml:space="preserve">What’s blocking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infra/feature-store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FeatureStoreStack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 passed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Not attempted — explicitly disabled in</w:t>
            </w:r>
            <w:r>
              <w:t xml:space="preserve"> </w:t>
            </w: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No deploy pipeline (Phase 8); no AWS account/credentials in any environment this has run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infra/observability-soc2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ObservabilitySoc2Stack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 passed</w:t>
            </w:r>
          </w:p>
        </w:tc>
        <w:tc>
          <w:tcPr/>
          <w:p>
            <w:pPr>
              <w:pStyle w:val="Compact"/>
            </w:pP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Not attempted</w:t>
            </w:r>
          </w:p>
        </w:tc>
        <w:tc>
          <w:tcPr/>
          <w:p>
            <w:pPr>
              <w:pStyle w:val="Compact"/>
            </w:pPr>
            <w:r>
              <w:t xml:space="preserve">Same as above, plus: real SOC 2 framework ID, dedicated audit account not yet split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Agent/compute plane (Bedrock, Strands, SageMaker)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stack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plane (EventBridge, Kinesis, Lambda, Step Functions)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stack exists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</w:tbl>
    <w:bookmarkEnd w:id="17"/>
    <w:bookmarkStart w:id="18" w:name="what-it-actually-takes-to-deploy"/>
    <w:p>
      <w:pPr>
        <w:pStyle w:val="Heading1"/>
      </w:pPr>
      <w:r>
        <w:t xml:space="preserve">10. What It Actually Takes to Deploy</w:t>
      </w:r>
    </w:p>
    <w:p>
      <w:pPr>
        <w:pStyle w:val="FirstParagraph"/>
      </w:pPr>
      <w:r>
        <w:t xml:space="preserve">In rough dependency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real AWS account and credentials.</w:t>
      </w:r>
      <w:r>
        <w:t xml:space="preserve"> </w:t>
      </w:r>
      <w:r>
        <w:t xml:space="preserve">Every environment this project has</w:t>
      </w:r>
      <w:r>
        <w:t xml:space="preserve"> </w:t>
      </w:r>
      <w:r>
        <w:t xml:space="preserve">run in so far has none — this is the hard blocker on anything past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Phase 8 per-tenant deploy pipeline</w:t>
      </w:r>
      <w:r>
        <w:t xml:space="preserve"> </w:t>
      </w:r>
      <w:r>
        <w:t xml:space="preserve">(OIDC-based, per the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comment) — CDK Pipelines or an equivalent CI/CD path into the</w:t>
      </w:r>
      <w:r>
        <w:t xml:space="preserve"> </w:t>
      </w:r>
      <w:r>
        <w:rPr>
          <w:rStyle w:val="VerbatimChar"/>
        </w:rPr>
        <w:t xml:space="preserve">TraxAi</w:t>
      </w:r>
      <w:r>
        <w:t xml:space="preserve"> </w:t>
      </w:r>
      <w:r>
        <w:t xml:space="preserve">account. Today, running</w:t>
      </w:r>
      <w:r>
        <w:t xml:space="preserve"> </w:t>
      </w:r>
      <w:r>
        <w:rPr>
          <w:rStyle w:val="VerbatimChar"/>
        </w:rPr>
        <w:t xml:space="preserve">cdk deploy</w:t>
      </w:r>
      <w:r>
        <w:t xml:space="preserve"> </w:t>
      </w:r>
      <w:r>
        <w:t xml:space="preserve">by hand against either package is</w:t>
      </w:r>
      <w:r>
        <w:t xml:space="preserve"> </w:t>
      </w:r>
      <w:r>
        <w:t xml:space="preserve">explicitly discouraged by the code’s own comments, not merely undocumented.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SOC 2 framework ID discovery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aws auditmanager list-assessment-frameworks</w:t>
      </w:r>
      <w:r>
        <w:t xml:space="preserve">) to replace the placeholder UUID.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 the audit bucket into a dedicated cross-account</w:t>
      </w:r>
      <w:r>
        <w:t xml:space="preserve"> </w:t>
      </w:r>
      <w:r>
        <w:t xml:space="preserve">per the design’s</w:t>
      </w:r>
      <w:r>
        <w:t xml:space="preserve"> </w:t>
      </w:r>
      <w:r>
        <w:t xml:space="preserve">dual-book pattern, before any real customer data reaches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Wire the excluded event-driven pieces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infra/feature-store</w:t>
      </w:r>
      <w:r>
        <w:t xml:space="preserve"> </w:t>
      </w:r>
      <w:r>
        <w:t xml:space="preserve">(Glue</w:t>
      </w:r>
      <w:r>
        <w:t xml:space="preserve"> </w:t>
      </w:r>
      <w:r>
        <w:t xml:space="preserve">triggers/streaming, Kinesis, EventBridge) once the Event Plane has actual</w:t>
      </w:r>
      <w:r>
        <w:t xml:space="preserve"> </w:t>
      </w:r>
      <w:r>
        <w:t xml:space="preserve">design-to-code work behind it (§7).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the compute/agent plane from nothing</w:t>
      </w:r>
      <w:r>
        <w:t xml:space="preserve"> </w:t>
      </w:r>
      <w:r>
        <w:t xml:space="preserve">— this is the single largest</w:t>
      </w:r>
      <w:r>
        <w:t xml:space="preserve"> </w:t>
      </w:r>
      <w:r>
        <w:t xml:space="preserve">remaining gap. Nothing in §6 has a line of Bedrock, Strands, or SageMaker</w:t>
      </w:r>
      <w:r>
        <w:t xml:space="preserve"> </w:t>
      </w:r>
      <w:r>
        <w:t xml:space="preserve">code today; the local</w:t>
      </w:r>
      <w:r>
        <w:t xml:space="preserve"> </w:t>
      </w:r>
      <w:r>
        <w:rPr>
          <w:rStyle w:val="VerbatimChar"/>
        </w:rPr>
        <w:t xml:space="preserve">SupervisorOrchestrator</w:t>
      </w:r>
      <w:r>
        <w:t xml:space="preserve"> </w:t>
      </w:r>
      <w:r>
        <w:t xml:space="preserve">and Python forecasting stack</w:t>
      </w:r>
      <w:r>
        <w:t xml:space="preserve"> </w:t>
      </w:r>
      <w:r>
        <w:t xml:space="preserve">prove the logic but do not migrate themselves.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lighthouse tenant’s onboarding runbook</w:t>
      </w:r>
      <w:r>
        <w:t xml:space="preserve"> </w:t>
      </w:r>
      <w:r>
        <w:t xml:space="preserve">(sub-project #10) to actually</w:t>
      </w:r>
      <w:r>
        <w:t xml:space="preserve"> </w:t>
      </w:r>
      <w:r>
        <w:t xml:space="preserve">exercise per-tenant provisioning end-to-end once the above exists.</w:t>
      </w:r>
    </w:p>
    <w:p>
      <w:pPr>
        <w:pStyle w:val="FirstParagraph"/>
      </w:pPr>
      <w:r>
        <w:t xml:space="preserve">None of this is a criticism of sequencing — building the deterministic logic and</w:t>
      </w:r>
      <w:r>
        <w:t xml:space="preserve"> </w:t>
      </w:r>
      <w:r>
        <w:t xml:space="preserve">both UIs first, in a form that’s fully testable without any cloud dependency, is</w:t>
      </w:r>
      <w:r>
        <w:t xml:space="preserve"> </w:t>
      </w:r>
      <w:r>
        <w:t xml:space="preserve">a reasonable and already-paying-off order of operations. This section exists so</w:t>
      </w:r>
      <w:r>
        <w:t xml:space="preserve"> </w:t>
      </w:r>
      <w:r>
        <w:t xml:space="preserve">that status is never ambiguous to whoever reads it next.</w:t>
      </w:r>
    </w:p>
    <w:bookmarkEnd w:id="18"/>
    <w:bookmarkStart w:id="19" w:name="cost-observability-model-target"/>
    <w:p>
      <w:pPr>
        <w:pStyle w:val="Heading1"/>
      </w:pPr>
      <w:r>
        <w:t xml:space="preserve">11. Cost &amp; Observability Model (Target)</w:t>
      </w:r>
    </w:p>
    <w:p>
      <w:pPr>
        <w:pStyle w:val="FirstParagraph"/>
      </w:pPr>
      <w:r>
        <w:t xml:space="preserve">Per the design, per-tenant cost is a first-class metric tagged on every LLM</w:t>
      </w:r>
      <w:r>
        <w:t xml:space="preserve"> </w:t>
      </w:r>
      <w:r>
        <w:t xml:space="preserve">invocation and SageMaker inference call, feeding anomaly alerts and commercial</w:t>
      </w:r>
      <w:r>
        <w:t xml:space="preserve"> </w:t>
      </w:r>
      <w:r>
        <w:t xml:space="preserve">pricing tiers. This has no implementation yet — there is no LLM invocation or</w:t>
      </w:r>
      <w:r>
        <w:t xml:space="preserve"> </w:t>
      </w:r>
      <w:r>
        <w:t xml:space="preserve">SageMaker call anywhere in the current codebase to tag. It remains accurately</w:t>
      </w:r>
      <w:r>
        <w:t xml:space="preserve"> </w:t>
      </w:r>
      <w:r>
        <w:t xml:space="preserve">described as target-state in the Architecture Guide; nothing in this guide</w:t>
      </w:r>
      <w:r>
        <w:t xml:space="preserve"> </w:t>
      </w:r>
      <w:r>
        <w:t xml:space="preserve">changes that.</w:t>
      </w:r>
    </w:p>
    <w:bookmarkEnd w:id="19"/>
    <w:bookmarkStart w:id="20" w:name="appendix-running-the-real-cdk-code-today"/>
    <w:p>
      <w:pPr>
        <w:pStyle w:val="Heading1"/>
      </w:pPr>
      <w:r>
        <w:t xml:space="preserve">Appendix — Running the Real CDK Code Today</w:t>
      </w:r>
    </w:p>
    <w:p>
      <w:pPr>
        <w:pStyle w:val="FirstParagraph"/>
      </w:pPr>
      <w:r>
        <w:t xml:space="preserve">Both packages can be synthesized (not deployed) locally: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infra/feature-store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pytest        </w:t>
      </w:r>
      <w:r>
        <w:rPr>
          <w:rStyle w:val="CommentTok"/>
        </w:rPr>
        <w:t xml:space="preserve"># 11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infra/feature-store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cdk synth                  </w:t>
      </w:r>
      <w:r>
        <w:rPr>
          <w:rStyle w:val="CommentTok"/>
        </w:rPr>
        <w:t xml:space="preserve"># emits CloudFormation, no AWS call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infra/observability-soc2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pytest    </w:t>
      </w:r>
      <w:r>
        <w:rPr>
          <w:rStyle w:val="CommentTok"/>
        </w:rPr>
        <w:t xml:space="preserve"># 40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infra/observability-soc2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cdk synth</w:t>
      </w:r>
    </w:p>
    <w:p>
      <w:pPr>
        <w:pStyle w:val="FirstParagraph"/>
      </w:pPr>
      <w:r>
        <w:t xml:space="preserve">Both are safe to run with no AWS credentials configured —</w:t>
      </w:r>
      <w:r>
        <w:t xml:space="preserve"> </w:t>
      </w:r>
      <w:r>
        <w:rPr>
          <w:rStyle w:val="VerbatimChar"/>
        </w:rPr>
        <w:t xml:space="preserve">cdk synth</w:t>
      </w:r>
      <w:r>
        <w:t xml:space="preserve"> </w:t>
      </w:r>
      <w:r>
        <w:t xml:space="preserve">only</w:t>
      </w:r>
      <w:r>
        <w:t xml:space="preserve"> </w:t>
      </w:r>
      <w:r>
        <w:t xml:space="preserve">renders templates locally; it does not call any AWS API.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Trax IO — AWS Infrastructure Guide</dc:title>
  <dc:creator>Miguel Sosa, VP Head of Innovation · Trax</dc:creator>
  <cp:keywords/>
  <dcterms:created xsi:type="dcterms:W3CDTF">2026-07-06T12:09:48Z</dcterms:created>
  <dcterms:modified xsi:type="dcterms:W3CDTF">2026-07-06T12:09:48Z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subtitle">
    <vt:lpwstr>Target Architecture, What’s Coded Today, and the Path to Deploy</vt:lpwstr>
  </property>
</Properties>
</file>