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  <w:jc w:val="center"/>
      </w:pPr>
      <w:r>
        <w:drawing>
          <wp:inline distT="0" distB="0" distL="0" distR="0">
            <wp:extent cx="1905000" cy="1466850"/>
            <wp:effectExtent t="0" r="0" b="0" l="0"/>
            <wp:docPr id="1" name="risks" descr="RISKS INTERNATIONAL" title="RIS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100"/>
        <w:jc w:val="center"/>
      </w:pPr>
      <w:r>
        <w:rPr>
          <w:rFonts w:ascii="Figtree" w:cs="Figtree" w:eastAsia="Figtree" w:hAnsi="Figtree"/>
          <w:b/>
          <w:bCs/>
          <w:color w:val="0B1F3A"/>
          <w:sz w:val="44"/>
          <w:szCs w:val="44"/>
        </w:rPr>
        <w:t xml:space="preserve">RISKS INTERNATIONAL</w:t>
      </w:r>
    </w:p>
    <w:p>
      <w:pPr>
        <w:spacing w:after="600"/>
        <w:jc w:val="center"/>
      </w:pPr>
      <w:r>
        <w:rPr>
          <w:rFonts w:ascii="Figtree" w:cs="Figtree" w:eastAsia="Figtree" w:hAnsi="Figtree"/>
          <w:b/>
          <w:bCs/>
          <w:color w:val="0B1F3A"/>
          <w:sz w:val="22"/>
          <w:szCs w:val="22"/>
        </w:rPr>
        <w:t xml:space="preserve">Organismo de Certificación de Personas · ISO/IEC 17024</w:t>
      </w:r>
    </w:p>
    <w:p>
      <w:pPr>
        <w:spacing w:after="200" w:before="400"/>
        <w:jc w:val="center"/>
      </w:pPr>
      <w:r>
        <w:rPr>
          <w:rFonts w:ascii="Figtree" w:cs="Figtree" w:eastAsia="Figtree" w:hAnsi="Figtree"/>
          <w:b/>
          <w:bCs/>
          <w:color w:val="0B1F3A"/>
          <w:sz w:val="36"/>
          <w:szCs w:val="36"/>
        </w:rPr>
        <w:t xml:space="preserve">Términos y Condiciones de la Acreditación</w:t>
      </w:r>
    </w:p>
    <w:p>
      <w:pPr>
        <w:spacing w:after="1000"/>
        <w:jc w:val="center"/>
      </w:pPr>
      <w:r>
        <w:rPr>
          <w:rFonts w:ascii="Inter" w:cs="Inter" w:eastAsia="Inter" w:hAnsi="Inter"/>
          <w:i/>
          <w:iCs/>
          <w:color w:val="64748B"/>
          <w:sz w:val="22"/>
          <w:szCs w:val="22"/>
        </w:rPr>
        <w:t xml:space="preserve">Condiciones generales aplicables al proceso de certificación de competencias profesionales operado por RISKS INTERNATIONAL bajo la norma ISO/IEC 17024.</w:t>
      </w:r>
    </w:p>
    <w:p>
      <w:pPr>
        <w:spacing w:after="80" w:before="800"/>
        <w:jc w:val="center"/>
      </w:pPr>
      <w:r>
        <w:rPr>
          <w:rFonts w:ascii="Figtree" w:cs="Figtree" w:eastAsia="Figtree" w:hAnsi="Figtree"/>
          <w:b/>
          <w:bCs/>
          <w:color w:val="64748B"/>
          <w:sz w:val="20"/>
          <w:szCs w:val="20"/>
        </w:rPr>
        <w:t xml:space="preserve">Plataforma</w:t>
      </w:r>
    </w:p>
    <w:p>
      <w:pPr>
        <w:spacing w:after="200"/>
        <w:jc w:val="center"/>
      </w:pPr>
      <w:r>
        <w:rPr>
          <w:rFonts w:ascii="Figtree" w:cs="Figtree" w:eastAsia="Figtree" w:hAnsi="Figtree"/>
          <w:b/>
          <w:bCs/>
          <w:color w:val="0B1F3A"/>
          <w:sz w:val="28"/>
          <w:szCs w:val="28"/>
        </w:rPr>
        <w:t xml:space="preserve">www.okacreditado.com</w:t>
      </w:r>
    </w:p>
    <w:p>
      <w:pPr>
        <w:jc w:val="center"/>
      </w:pPr>
      <w:r>
        <w:rPr>
          <w:rFonts w:ascii="Inter" w:cs="Inter" w:eastAsia="Inter" w:hAnsi="Inter"/>
          <w:color w:val="64748B"/>
          <w:sz w:val="18"/>
          <w:szCs w:val="18"/>
        </w:rPr>
        <w:t xml:space="preserve">Versión 1.0 · Bogotá D.C., Colombia · Junio de 2026</w:t>
      </w:r>
    </w:p>
    <w:p>
      <w:pPr>
        <w:spacing w:after="80" w:before="400"/>
        <w:jc w:val="center"/>
      </w:pPr>
      <w:r>
        <w:drawing>
          <wp:inline distT="0" distB="0" distL="0" distR="0">
            <wp:extent cx="666750" cy="666750"/>
            <wp:effectExtent t="0" r="0" b="0" l="0"/>
            <wp:docPr id="1" name="onac" descr="ONAC" title="ONA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Inter" w:cs="Inter" w:eastAsia="Inter" w:hAnsi="Inter"/>
          <w:b/>
          <w:bCs/>
          <w:color w:val="0B1F3A"/>
          <w:sz w:val="16"/>
          <w:szCs w:val="16"/>
        </w:rPr>
        <w:t xml:space="preserve">En proceso de acreditación ante ONAC</w:t>
      </w:r>
    </w:p>
    <w:p>
      <w:pPr>
        <w:pageBreakBefore/>
      </w:pPr>
      <w:r>
        <w:t xml:space="preserv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Figtree" w:cs="Figtree" w:eastAsia="Figtree" w:hAnsi="Figtree"/>
          <w:b/>
          <w:bCs/>
          <w:color w:val="0B1F3A"/>
          <w:sz w:val="36"/>
          <w:szCs w:val="36"/>
        </w:rPr>
        <w:t xml:space="preserve">1. Objeto y aceptación</w:t>
      </w:r>
    </w:p>
    <w:p>
      <w:pPr>
        <w:spacing w:after="60" w:before="60" w:line="32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Los presentes Términos y Condiciones regulan la relación entre</w:t>
      </w: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RISKS INTERNATIONAL S.A.S.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(en adelante, “el Organismo
  Certificador” o “RISKS”) y las personas naturales que se inscriben en alguno de los
  esquemas de certificación de competencias profesionales operados a través de la
  plataforma</w:t>
      </w: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okacreditado.com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.</w:t>
      </w:r>
    </w:p>
    <w:p>
      <w:pPr>
        <w:spacing w:after="60" w:before="60" w:line="32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La inscripción del candidato, el pago de la tarifa y la aceptación expresa de este
  documento constituyen un acuerdo vinculante entre las partes y un contrato
  electrónico válido en los términos del artículo 14 de la Ley 527 de 1999.</w:t>
      </w:r>
    </w:p>
    <w:p>
      <w:pPr>
        <w:pStyle w:val="Heading1"/>
        <w:spacing w:after="200" w:before="360"/>
      </w:pPr>
      <w:r>
        <w:rPr>
          <w:rFonts w:ascii="Figtree" w:cs="Figtree" w:eastAsia="Figtree" w:hAnsi="Figtree"/>
          <w:b/>
          <w:bCs/>
          <w:color w:val="0B1F3A"/>
          <w:sz w:val="36"/>
          <w:szCs w:val="36"/>
        </w:rPr>
        <w:t xml:space="preserve">2. Definiciones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Candidato: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persona natural que solicita la certificación.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Certificado: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documento que acredita formalmente que el titular cumple las competencias del esquema, emitido por RISKS bajo la norma ISO/IEC 17024.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Esquema de certificación: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conjunto de requisitos, contenidos, modalidades de evaluación y criterios de aprobación de un programa específico (por ejemplo: CIOC SARLAFT).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Comité evaluador: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grupo interdisciplinario que revisa los casos prácticos y resuelve apelaciones.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ONAC: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Organismo Nacional de Acreditación de Colombia.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Plataforma: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okacreditado.com y sus subdominios.</w:t>
      </w:r>
    </w:p>
    <w:p>
      <w:pPr>
        <w:pStyle w:val="Heading1"/>
        <w:spacing w:after="200" w:before="360"/>
      </w:pPr>
      <w:r>
        <w:rPr>
          <w:rFonts w:ascii="Figtree" w:cs="Figtree" w:eastAsia="Figtree" w:hAnsi="Figtree"/>
          <w:b/>
          <w:bCs/>
          <w:color w:val="0B1F3A"/>
          <w:sz w:val="36"/>
          <w:szCs w:val="36"/>
        </w:rPr>
        <w:t xml:space="preserve">3. Alcance de la acreditación</w:t>
      </w:r>
    </w:p>
    <w:p>
      <w:pPr>
        <w:spacing w:after="60" w:before="60" w:line="32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RISKS opera como Organismo de Certificación de Personas bajo la norma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B1F3A"/>
          <w:sz w:val="22"/>
          <w:szCs w:val="22"/>
        </w:rPr>
        <w:t xml:space="preserve">ISO/IEC 17024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. A la fecha de publicación de este documento,
  RISKS se encuentra en proceso de acreditación formal ante ONAC. En consecuencia, los
  certificados emitidos llevan la leyenda</w:t>
      </w:r>
      <w:r>
        <w:rPr>
          <w:rFonts w:ascii="Inter" w:cs="Inter" w:eastAsia="Inter" w:hAnsi="Inter"/>
          <w:b w:val="false"/>
          <w:bCs w:val="false"/>
          <w:i/>
          <w:iCs/>
          <w:color w:val="1F2937"/>
          <w:sz w:val="22"/>
          <w:szCs w:val="22"/>
        </w:rPr>
        <w:t xml:space="preserve">“en proceso de acreditación”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hasta
  que la acreditación se haga efectiva.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B1F3A" w:sz="6"/>
              <w:left w:val="single" w:color="0B1F3A" w:sz="24"/>
              <w:bottom w:val="single" w:color="0B1F3A" w:sz="6"/>
              <w:right w:val="single" w:color="0B1F3A" w:sz="6"/>
            </w:tcBorders>
            <w:shd w:fill="F1F5F9" w:color="auto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80"/>
            </w:pPr>
            <w:r>
              <w:rPr>
                <w:rFonts w:ascii="Figtree" w:cs="Figtree" w:eastAsia="Figtree" w:hAnsi="Figtree"/>
                <w:b/>
                <w:bCs/>
                <w:color w:val="0B1F3A"/>
                <w:sz w:val="24"/>
                <w:szCs w:val="24"/>
              </w:rPr>
              <w:t xml:space="preserve"/>
            </w:r>
          </w:p>
          <w:p>
            <w:r>
              <w:rPr>
                <w:rFonts w:ascii="Inter" w:cs="Inter" w:eastAsia="Inter" w:hAnsi="Inter"/>
                <w:sz w:val="22"/>
                <w:szCs w:val="22"/>
              </w:rPr>
              <w:t xml:space="preserve"/>
            </w:r>
          </w:p>
        </w:tc>
      </w:tr>
    </w:tbl>
    <w:p>
      <w:pPr>
        <w:pStyle w:val="Heading1"/>
        <w:spacing w:after="200" w:before="360"/>
      </w:pPr>
      <w:r>
        <w:rPr>
          <w:rFonts w:ascii="Figtree" w:cs="Figtree" w:eastAsia="Figtree" w:hAnsi="Figtree"/>
          <w:b/>
          <w:bCs/>
          <w:color w:val="0B1F3A"/>
          <w:sz w:val="36"/>
          <w:szCs w:val="36"/>
        </w:rPr>
        <w:t xml:space="preserve">4. Esquemas de certificación</w:t>
      </w:r>
    </w:p>
    <w:p>
      <w:pPr>
        <w:spacing w:after="60" w:before="60" w:line="32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La oferta de esquemas vigentes está publicada en</w:t>
      </w: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okacreditado.com/certificaciones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.
  Cada esquema define: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Perfil profesional al que aplica.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Evaluaciones que lo componen (examen teórico, caso práctico).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Modalidad (presencial, en línea o híbrida) y duración por evaluación.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Puntaje mínimo de aprobación por evaluación.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Número de intentos permitidos y reglas de reintento.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Vigencia del certificado (3 años por defecto, salvo definición distinta del esquema).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Tarifa total más IVA, condiciones de pago y soportes documentales requeridos.</w:t>
      </w:r>
    </w:p>
    <w:p>
      <w:pPr>
        <w:pStyle w:val="Heading1"/>
        <w:spacing w:after="200" w:before="360"/>
      </w:pPr>
      <w:r>
        <w:rPr>
          <w:rFonts w:ascii="Figtree" w:cs="Figtree" w:eastAsia="Figtree" w:hAnsi="Figtree"/>
          <w:b/>
          <w:bCs/>
          <w:color w:val="0B1F3A"/>
          <w:sz w:val="36"/>
          <w:szCs w:val="36"/>
        </w:rPr>
        <w:t xml:space="preserve">5. Requisitos del candidato</w:t>
      </w:r>
    </w:p>
    <w:p>
      <w:pPr>
        <w:spacing w:after="60" w:before="60" w:line="32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El candidato declara y garantiza que: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Es persona mayor de edad y plenamente capaz.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Los datos suministrados son veraces, completos y actualizados.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Los soportes cargados (hoja de vida, documento de identidad, fotografía, certificados) son auténticos y de su titularidad.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Cuenta con conexión a internet estable, cámara y micrófono para las evaluaciones en línea con monitoreo.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Acepta las reglas de integridad del examen y se compromete a no incurrir en conductas fraudulentas.</w:t>
      </w:r>
    </w:p>
    <w:p>
      <w:pPr>
        <w:pStyle w:val="Heading1"/>
        <w:spacing w:after="200" w:before="360"/>
      </w:pPr>
      <w:r>
        <w:rPr>
          <w:rFonts w:ascii="Figtree" w:cs="Figtree" w:eastAsia="Figtree" w:hAnsi="Figtree"/>
          <w:b/>
          <w:bCs/>
          <w:color w:val="0B1F3A"/>
          <w:sz w:val="36"/>
          <w:szCs w:val="36"/>
        </w:rPr>
        <w:t xml:space="preserve">6. Proceso de certificación</w:t>
      </w:r>
    </w:p>
    <w:p>
      <w:pPr>
        <w:spacing w:after="60" w:before="60" w:line="32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El proceso se compone de cuatro etapas accionables, descritas en el Documento
  Descriptivo del Proceso CIOC y resumidas a continuación: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2808"/>
        <w:gridCol w:w="3744"/>
      </w:tblGrid>
      <w:tr>
        <w:trPr>
          <w:tblHeader/>
        </w:trPr>
        <w:tc>
          <w:tcPr>
            <w:tcW w:type="dxa" w:w="2808"/>
            <w:shd w:fill="0B1F3A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Figtree" w:cs="Figtree" w:eastAsia="Figtree" w:hAnsi="Figtree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808"/>
            <w:shd w:fill="0B1F3A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Figtree" w:cs="Figtree" w:eastAsia="Figtree" w:hAnsi="Figtree"/>
                <w:b/>
                <w:bCs/>
                <w:color w:val="FFFFFF"/>
                <w:sz w:val="20"/>
                <w:szCs w:val="20"/>
              </w:rPr>
              <w:t xml:space="preserve">Etapa</w:t>
            </w:r>
          </w:p>
        </w:tc>
        <w:tc>
          <w:tcPr>
            <w:tcW w:type="dxa" w:w="3744"/>
            <w:shd w:fill="0B1F3A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Figtree" w:cs="Figtree" w:eastAsia="Figtree" w:hAnsi="Figtree"/>
                <w:b/>
                <w:bCs/>
                <w:color w:val="FFFFFF"/>
                <w:sz w:val="20"/>
                <w:szCs w:val="20"/>
              </w:rPr>
              <w:t xml:space="preserve">Responsable principal</w:t>
            </w:r>
          </w:p>
        </w:tc>
      </w:tr>
      <w:tr>
        <w:tc>
          <w:tcPr>
            <w:tcW w:type="dxa" w:w="280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1</w:t>
            </w:r>
          </w:p>
        </w:tc>
        <w:tc>
          <w:tcPr>
            <w:tcW w:type="dxa" w:w="280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Registro y autorización de tratamiento de datos.</w:t>
            </w:r>
          </w:p>
        </w:tc>
        <w:tc>
          <w:tcPr>
            <w:tcW w:type="dxa" w:w="3744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Candidato</w:t>
            </w:r>
          </w:p>
        </w:tc>
      </w:tr>
      <w:tr>
        <w:tc>
          <w:tcPr>
            <w:tcW w:type="dxa" w:w="280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AFBFC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2</w:t>
            </w:r>
          </w:p>
        </w:tc>
        <w:tc>
          <w:tcPr>
            <w:tcW w:type="dxa" w:w="280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AFBFC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Carga de documentos y pago de la inscripción.</w:t>
            </w:r>
          </w:p>
        </w:tc>
        <w:tc>
          <w:tcPr>
            <w:tcW w:type="dxa" w:w="3744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AFBFC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Candidato; revisión por RISKS</w:t>
            </w:r>
          </w:p>
        </w:tc>
      </w:tr>
      <w:tr>
        <w:tc>
          <w:tcPr>
            <w:tcW w:type="dxa" w:w="280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3</w:t>
            </w:r>
          </w:p>
        </w:tc>
        <w:tc>
          <w:tcPr>
            <w:tcW w:type="dxa" w:w="280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Agendamiento y presentación de la(s) evaluación(es).</w:t>
            </w:r>
          </w:p>
        </w:tc>
        <w:tc>
          <w:tcPr>
            <w:tcW w:type="dxa" w:w="3744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Candidato; supervisión por RISKS</w:t>
            </w:r>
          </w:p>
        </w:tc>
      </w:tr>
      <w:tr>
        <w:tc>
          <w:tcPr>
            <w:tcW w:type="dxa" w:w="280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AFBFC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4</w:t>
            </w:r>
          </w:p>
        </w:tc>
        <w:tc>
          <w:tcPr>
            <w:tcW w:type="dxa" w:w="280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AFBFC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Calificación, revisión por comité (cuando aplique) y emisión del certificado.</w:t>
            </w:r>
          </w:p>
        </w:tc>
        <w:tc>
          <w:tcPr>
            <w:tcW w:type="dxa" w:w="3744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AFBFC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RISKS</w:t>
            </w:r>
          </w:p>
        </w:tc>
      </w:tr>
    </w:tbl>
    <w:p>
      <w:pPr>
        <w:pStyle w:val="Heading1"/>
        <w:spacing w:after="200" w:before="360"/>
      </w:pPr>
      <w:r>
        <w:rPr>
          <w:rFonts w:ascii="Figtree" w:cs="Figtree" w:eastAsia="Figtree" w:hAnsi="Figtree"/>
          <w:b/>
          <w:bCs/>
          <w:color w:val="0B1F3A"/>
          <w:sz w:val="36"/>
          <w:szCs w:val="36"/>
        </w:rPr>
        <w:t xml:space="preserve">7. Tarifas, pagos y reembolsos</w:t>
      </w:r>
    </w:p>
    <w:p>
      <w:pPr>
        <w:spacing w:after="60" w:before="60" w:line="32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Las tarifas vigentes se publican en la plataforma e incluyen el IVA cuando aplica. El
  pago puede realizarse en línea a través de la pasarela Rapyd o por consignación
  bancaria con soporte cargado. La inscripción se hará efectiva una vez verificado el
  pago.</w:t>
      </w:r>
    </w:p>
    <w:p>
      <w:pPr>
        <w:spacing w:after="60" w:before="60" w:line="320"/>
        <w:jc w:val="both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Política de reembolso: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Si el candidato cancela antes de presentar cualquier evaluación, podrá solicitar reembolso del 70 % del valor pagado durante los primeros 5 días hábiles posteriores al pago.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Una vez iniciada la evaluación, no procede reembolso.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Si el proceso es cancelado por causas atribuibles a RISKS, se reembolsará el 100 % del valor pagado.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Las solicitudes de reembolso se gestionan a través del módulo de Apelaciones del portal del candidato.</w:t>
      </w:r>
    </w:p>
    <w:p>
      <w:pPr>
        <w:pStyle w:val="Heading1"/>
        <w:spacing w:after="200" w:before="360"/>
      </w:pPr>
      <w:r>
        <w:rPr>
          <w:rFonts w:ascii="Figtree" w:cs="Figtree" w:eastAsia="Figtree" w:hAnsi="Figtree"/>
          <w:b/>
          <w:bCs/>
          <w:color w:val="0B1F3A"/>
          <w:sz w:val="36"/>
          <w:szCs w:val="36"/>
        </w:rPr>
        <w:t xml:space="preserve">8. Vigencia, suspensión y revocación</w:t>
      </w:r>
    </w:p>
    <w:p>
      <w:pPr>
        <w:spacing w:after="60" w:before="60" w:line="32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El certificado emitido tiene la vigencia definida por el esquema (por defecto, tres
  años). RISKS podrá</w:t>
      </w: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suspender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o</w:t>
      </w: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revocar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el certificado en los siguientes casos: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Conducta fraudulenta comprobada durante el proceso de evaluación.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Falsedad o adulteración de soportes documentales.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Sentencia judicial en firme relacionada con conductas incompatibles con el ejercicio profesional certificado.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Solicitud expresa y motivada del titular.</w:t>
      </w:r>
    </w:p>
    <w:p>
      <w:pPr>
        <w:spacing w:after="60" w:before="60" w:line="32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La suspensión o revocación se publicará en la página de verificación pública del
  certificado en</w:t>
      </w: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okacreditado.com/verificar/{código}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.</w:t>
      </w:r>
    </w:p>
    <w:p>
      <w:pPr>
        <w:pStyle w:val="Heading1"/>
        <w:spacing w:after="200" w:before="360"/>
      </w:pPr>
      <w:r>
        <w:rPr>
          <w:rFonts w:ascii="Figtree" w:cs="Figtree" w:eastAsia="Figtree" w:hAnsi="Figtree"/>
          <w:b/>
          <w:bCs/>
          <w:color w:val="0B1F3A"/>
          <w:sz w:val="36"/>
          <w:szCs w:val="36"/>
        </w:rPr>
        <w:t xml:space="preserve">9. Recertificación</w:t>
      </w:r>
    </w:p>
    <w:p>
      <w:pPr>
        <w:spacing w:after="60" w:before="60" w:line="32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Antes del vencimiento, RISKS enviará recordatorios automáticos al titular en los
  días 90, 60 y 30 previos. La recertificación es un proceso simplificado que reconoce
  el histórico del titular y solicita únicamente la información nueva o actualizada y
  la presentación de la evaluación correspondiente al esquema vigente.</w:t>
      </w:r>
    </w:p>
    <w:p>
      <w:pPr>
        <w:pStyle w:val="Heading1"/>
        <w:spacing w:after="200" w:before="360"/>
      </w:pPr>
      <w:r>
        <w:rPr>
          <w:rFonts w:ascii="Figtree" w:cs="Figtree" w:eastAsia="Figtree" w:hAnsi="Figtree"/>
          <w:b/>
          <w:bCs/>
          <w:color w:val="0B1F3A"/>
          <w:sz w:val="36"/>
          <w:szCs w:val="36"/>
        </w:rPr>
        <w:t xml:space="preserve">10. Verificación pública</w:t>
      </w:r>
    </w:p>
    <w:p>
      <w:pPr>
        <w:spacing w:after="60" w:before="60" w:line="32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Cada certificado emitido tiene un código único y un código QR que permiten a
  cualquier tercero (empresa, reclutador, ente de control) verificar la autenticidad,
  vigencia y estado del certificado en</w:t>
      </w: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okacreditado.com/verificar/{código}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sin necesidad de registrarse.</w:t>
      </w:r>
    </w:p>
    <w:p>
      <w:pPr>
        <w:pStyle w:val="Heading1"/>
        <w:spacing w:after="200" w:before="360"/>
      </w:pPr>
      <w:r>
        <w:rPr>
          <w:rFonts w:ascii="Figtree" w:cs="Figtree" w:eastAsia="Figtree" w:hAnsi="Figtree"/>
          <w:b/>
          <w:bCs/>
          <w:color w:val="0B1F3A"/>
          <w:sz w:val="36"/>
          <w:szCs w:val="36"/>
        </w:rPr>
        <w:t xml:space="preserve">11. Apelaciones y quejas</w:t>
      </w:r>
    </w:p>
    <w:p>
      <w:pPr>
        <w:spacing w:after="60" w:before="60" w:line="32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El candidato puede presentar apelaciones, quejas o solicitudes formales a través del
  módulo de Apelaciones del portal. RISKS dará respuesta motivada dentro de los</w:t>
      </w: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quince (15) días hábiles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siguientes a la radicación.</w:t>
      </w:r>
    </w:p>
    <w:p>
      <w:pPr>
        <w:spacing w:after="60" w:before="60" w:line="32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Las apelaciones que afecten la calificación de una evaluación son resueltas por el</w:t>
      </w: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Comité Evaluador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, garantizando independencia respecto del evaluador
  original e imparcialidad mediante declaración de conflicto de interés.</w:t>
      </w:r>
    </w:p>
    <w:p>
      <w:pPr>
        <w:pStyle w:val="Heading1"/>
        <w:spacing w:after="200" w:before="360"/>
      </w:pPr>
      <w:r>
        <w:rPr>
          <w:rFonts w:ascii="Figtree" w:cs="Figtree" w:eastAsia="Figtree" w:hAnsi="Figtree"/>
          <w:b/>
          <w:bCs/>
          <w:color w:val="0B1F3A"/>
          <w:sz w:val="36"/>
          <w:szCs w:val="36"/>
        </w:rPr>
        <w:t xml:space="preserve">12. Imparcialidad y confidencialidad</w:t>
      </w:r>
    </w:p>
    <w:p>
      <w:pPr>
        <w:spacing w:after="60" w:before="60" w:line="32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RISKS garantiza la imparcialidad del proceso de certificación: los evaluadores no
  pueden tener conflictos de interés con el candidato; el banco de preguntas es
  gestionado por roles distintos a quienes califican; el comité de apelaciones es
  independiente del evaluador original.</w:t>
      </w:r>
    </w:p>
    <w:p>
      <w:pPr>
        <w:spacing w:after="60" w:before="60" w:line="32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Toda la información del candidato y de la evaluación es confidencial y solo se
  comparte con personas con necesidad legítima de acceso para la operación del proceso
  o cuando lo exija una autoridad competente.</w:t>
      </w:r>
    </w:p>
    <w:p>
      <w:pPr>
        <w:pStyle w:val="Heading1"/>
        <w:spacing w:after="200" w:before="360"/>
      </w:pPr>
      <w:r>
        <w:rPr>
          <w:rFonts w:ascii="Figtree" w:cs="Figtree" w:eastAsia="Figtree" w:hAnsi="Figtree"/>
          <w:b/>
          <w:bCs/>
          <w:color w:val="0B1F3A"/>
          <w:sz w:val="36"/>
          <w:szCs w:val="36"/>
        </w:rPr>
        <w:t xml:space="preserve">13. Limitación de responsabilidad</w:t>
      </w:r>
    </w:p>
    <w:p>
      <w:pPr>
        <w:spacing w:after="60" w:before="60" w:line="32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RISKS no será responsable por interrupciones del servicio causadas por fallas de
  conectividad del candidato, por eventos de fuerza mayor o por actuaciones de terceros
  ajenos al organismo. La plataforma se entrega “como está” en cuanto a su
  disponibilidad, manteniendo un objetivo de servicio razonable propio de servicios
  cloud profesionales.</w:t>
      </w:r>
    </w:p>
    <w:p>
      <w:pPr>
        <w:spacing w:after="60" w:before="60" w:line="32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En ningún caso la responsabilidad de RISKS frente al candidato excederá el valor
  pagado por la inscripción al esquema específico que origine la controversia.</w:t>
      </w:r>
    </w:p>
    <w:p>
      <w:pPr>
        <w:pStyle w:val="Heading1"/>
        <w:spacing w:after="200" w:before="360"/>
      </w:pPr>
      <w:r>
        <w:rPr>
          <w:rFonts w:ascii="Figtree" w:cs="Figtree" w:eastAsia="Figtree" w:hAnsi="Figtree"/>
          <w:b/>
          <w:bCs/>
          <w:color w:val="0B1F3A"/>
          <w:sz w:val="36"/>
          <w:szCs w:val="36"/>
        </w:rPr>
        <w:t xml:space="preserve">14. Modificaciones y ley aplicable</w:t>
      </w:r>
    </w:p>
    <w:p>
      <w:pPr>
        <w:spacing w:after="60" w:before="60" w:line="32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RISKS podrá modificar estos Términos para reflejar cambios normativos, mejoras del
  esquema o ajustes operativos. Las modificaciones sustanciales se comunicarán al
  candidato y a los titulares de certificados vigentes con antelación razonable y
  estarán disponibles en</w:t>
      </w: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okacreditado.com/documentacion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.</w:t>
      </w:r>
    </w:p>
    <w:p>
      <w:pPr>
        <w:spacing w:after="60" w:before="60" w:line="32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Estos Términos se rigen por las leyes de la República de Colombia. Las controversias
  serán resueltas por los jueces ordinarios competentes del domicilio de RISKS o, a
  elección de las partes, mediante arbitraje conforme al reglamento del Centro de
  Arbitraje y Conciliación de la Cámara de Comercio de Bogotá.</w:t>
      </w:r>
    </w:p>
    <w:p>
      <w:pPr>
        <w:pStyle w:val="Heading1"/>
        <w:spacing w:after="200" w:before="360"/>
      </w:pPr>
      <w:r>
        <w:rPr>
          <w:rFonts w:ascii="Figtree" w:cs="Figtree" w:eastAsia="Figtree" w:hAnsi="Figtree"/>
          <w:b/>
          <w:bCs/>
          <w:color w:val="0B1F3A"/>
          <w:sz w:val="36"/>
          <w:szCs w:val="36"/>
        </w:rPr>
        <w:t xml:space="preserve">15. Aceptación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B1F3A" w:sz="6"/>
              <w:left w:val="single" w:color="0B1F3A" w:sz="24"/>
              <w:bottom w:val="single" w:color="0B1F3A" w:sz="6"/>
              <w:right w:val="single" w:color="0B1F3A" w:sz="6"/>
            </w:tcBorders>
            <w:shd w:fill="F1F5F9" w:color="auto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80"/>
            </w:pPr>
            <w:r>
              <w:rPr>
                <w:rFonts w:ascii="Figtree" w:cs="Figtree" w:eastAsia="Figtree" w:hAnsi="Figtree"/>
                <w:b/>
                <w:bCs/>
                <w:color w:val="0B1F3A"/>
                <w:sz w:val="24"/>
                <w:szCs w:val="24"/>
              </w:rPr>
              <w:t xml:space="preserve"/>
            </w:r>
          </w:p>
          <w:p>
            <w:r>
              <w:rPr>
                <w:rFonts w:ascii="Inter" w:cs="Inter" w:eastAsia="Inter" w:hAnsi="Inter"/>
                <w:sz w:val="22"/>
                <w:szCs w:val="22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800" w:right="1440" w:bottom="18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6" w:space="4"/>
      </w:pBdr>
      <w:jc w:val="center"/>
    </w:pPr>
    <w:r>
      <w:rPr>
        <w:rFonts w:ascii="Inter" w:cs="Inter" w:eastAsia="Inter" w:hAnsi="Inter"/>
        <w:color w:val="64748B"/>
        <w:sz w:val="18"/>
        <w:szCs w:val="18"/>
      </w:rPr>
      <w:t xml:space="preserve">Página </w:t>
    </w:r>
    <w:r>
      <w:rPr>
        <w:rFonts w:ascii="Inter" w:cs="Inter" w:eastAsia="Inter" w:hAnsi="Inter"/>
        <w:b/>
        <w:bCs/>
        <w:color w:val="0B1F3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Inter" w:cs="Inter" w:eastAsia="Inter" w:hAnsi="Inter"/>
        <w:color w:val="64748B"/>
        <w:sz w:val="18"/>
        <w:szCs w:val="18"/>
      </w:rPr>
      <w:t xml:space="preserve"> de </w:t>
    </w:r>
    <w:r>
      <w:rPr>
        <w:rFonts w:ascii="Inter" w:cs="Inter" w:eastAsia="Inter" w:hAnsi="Inter"/>
        <w:b/>
        <w:bCs/>
        <w:color w:val="0B1F3A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rFonts w:ascii="Inter" w:cs="Inter" w:eastAsia="Inter" w:hAnsi="Inter"/>
        <w:color w:val="64748B"/>
        <w:sz w:val="18"/>
        <w:szCs w:val="18"/>
      </w:rPr>
      <w:t xml:space="preserve">  ·  Documento oficial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B1F3A" w:sz="6" w:space="6"/>
      </w:pBdr>
      <w:tabs>
        <w:tab w:val="right" w:pos="9026"/>
      </w:tabs>
      <w:jc w:val="left"/>
    </w:pPr>
    <w:r>
      <w:drawing>
        <wp:inline distT="0" distB="0" distL="0" distR="0">
          <wp:extent cx="304800" cy="238125"/>
          <wp:effectExtent t="0" r="0" b="0" l="0"/>
          <wp:docPr id="1" name="risks-mini" descr="RISKS" title="RISK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4800" cy="2381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Figtree" w:cs="Figtree" w:eastAsia="Figtree" w:hAnsi="Figtree"/>
        <w:b/>
        <w:bCs/>
        <w:color w:val="0B1F3A"/>
        <w:sz w:val="18"/>
        <w:szCs w:val="18"/>
      </w:rPr>
      <w:t xml:space="preserve">  RISKS INTERNATIONAL · Términos y Condiciones de la Acreditación</w:t>
    </w:r>
    <w:r>
      <w:rPr>
        <w:rFonts w:ascii="Inter" w:cs="Inter" w:eastAsia="Inter" w:hAnsi="Inter"/>
        <w:color w:val="64748B"/>
        <w:sz w:val="18"/>
        <w:szCs w:val="18"/>
      </w:rPr>
      <w:t xml:space="preserve">	www.okacreditado.com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b8c9d08d660adfe21b570a33ebc257d8557a49d.png"/><Relationship Id="rId10" Type="http://schemas.openxmlformats.org/officeDocument/2006/relationships/image" Target="media/07c6ed0c312ad395aebe4b77b74f6c7a2ae9655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0b8c9d08d660adfe21b570a33ebc257d8557a4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Términos y Condiciones de la Acreditación</dc:title>
  <dc:creator>RISKS INTERNATIONAL S.A.S.</dc:creator>
  <dc:description>Condiciones generales aplicables al proceso de certificación de competencias profesionales operado por RISKS INTERNATIONAL bajo la norma ISO/IEC 17024.</dc:description>
  <cp:lastModifiedBy>Un-named</cp:lastModifiedBy>
  <cp:revision>1</cp:revision>
  <dcterms:created xsi:type="dcterms:W3CDTF">2026-06-09T16:04:01.561Z</dcterms:created>
  <dcterms:modified xsi:type="dcterms:W3CDTF">2026-06-09T16:04:01.561Z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