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4月度営業報告書</w:t>
      </w:r>
    </w:p>
    <w:p>
      <w:pPr>
        <w:pStyle w:val="Heading1"/>
        <w:spacing w:before="320" w:after="120"/>
      </w:pPr>
      <w:r>
        <w:rPr>
          <w:color w:val="1F497D"/>
        </w:rPr>
        <w:t>概要</w:t>
      </w:r>
    </w:p>
    <w:p>
      <w:pPr>
        <w:spacing w:after="120"/>
      </w:pPr>
      <w:r>
        <w:t>4月の売上は前月比120%でした。</w:t>
      </w:r>
    </w:p>
    <w:p>
      <w:pPr>
        <w:pStyle w:val="ListBullet"/>
      </w:pPr>
      <w:r>
        <w:t>製品A（主力）: 800万円（前月比125%）</w:t>
      </w:r>
    </w:p>
    <w:p>
      <w:pPr>
        <w:pStyle w:val="ListBullet"/>
      </w:pPr>
      <w:r>
        <w:t>製品B（新製品）: 350万円（前月比105%）</w:t>
      </w:r>
    </w:p>
    <w:p>
      <w:pPr>
        <w:pStyle w:val="ListBullet"/>
      </w:pPr>
      <w:r>
        <w:t>製品C（廃番予定）: 160万円（前月比90%）</w:t>
      </w:r>
    </w:p>
    <w:p>
      <w:pPr>
        <w:pStyle w:val="Heading1"/>
        <w:spacing w:before="320" w:after="120"/>
      </w:pPr>
      <w:r>
        <w:rPr>
          <w:color w:val="1F497D"/>
        </w:rPr>
        <w:t>製品別販売実績</w:t>
      </w:r>
    </w:p>
    <w:p>
      <w:pPr>
        <w:spacing w:after="120"/>
      </w:pPr>
      <w:r>
        <w:t>製品カテゴリ別の販売状況は以下のとおりです。主力製品Aが全体売上の70%を占めており、引き続き好調を維持しています。</w:t>
      </w:r>
    </w:p>
    <w:p>
      <w:pPr>
        <w:pStyle w:val="ListBullet"/>
      </w:pPr>
      <w:r>
        <w:t>製品A（主力）: 900万円（前月比130%）</w:t>
      </w:r>
    </w:p>
    <w:p>
      <w:pPr>
        <w:pStyle w:val="ListBullet"/>
      </w:pPr>
      <w:r>
        <w:t>製品B（新製品）: 380万円（前月比110%）</w:t>
      </w:r>
    </w:p>
    <w:p>
      <w:pPr>
        <w:pStyle w:val="Heading1"/>
        <w:spacing w:before="320" w:after="120"/>
      </w:pPr>
      <w:r>
        <w:rPr>
          <w:color w:val="1F497D"/>
        </w:rPr>
        <w:t>課題と次月方針</w:t>
      </w:r>
    </w:p>
    <w:p>
      <w:pPr>
        <w:spacing w:after="120"/>
      </w:pPr>
      <w:r>
        <w:t>製品Cの販売低迷が続いており、5月末をもって販売終了とする。製品Aの在庫確保を優先し、主要得意先への提案活動を強化する。</w:t>
      </w:r>
    </w:p>
    <w:p>
      <w:pPr>
        <w:pStyle w:val="ListBullet"/>
      </w:pPr>
      <w:r>
        <w:t>製品A増産依頼を工場へ提出（4月15日期限）</w:t>
      </w:r>
    </w:p>
    <w:p>
      <w:pPr>
        <w:pStyle w:val="ListBullet"/>
      </w:pPr>
      <w:r>
        <w:t>製品C在庫の早期消毒キャンペーン実施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 xml:space="preserve">Page </w:t>
    </w:r>
    <w:r>
      <w:rPr>
        <w:color w:val="606060"/>
        <w:sz w:val="16"/>
      </w:rPr>
      <w:fldChar w:fldCharType="begin"/>
      <w:instrText xml:space="preserve"> PAGE </w:instrText>
      <w:fldChar w:fldCharType="end"/>
    </w:r>
    <w:r>
      <w:rPr>
        <w:color w:val="606060"/>
        <w:sz w:val="16"/>
      </w:rPr>
      <w:t xml:space="preserve"> / </w:t>
    </w:r>
    <w:r>
      <w:rPr>
        <w:color w:val="60606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8"/>
      </w:rPr>
      <w:t>4月度営業報告書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4月度営業報告書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