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研究概要（題目を入力）</w:t>
      </w:r>
    </w:p>
    <w:p>
      <w:pPr>
        <w:pStyle w:val="Author"/>
      </w:pPr>
      <w:r>
        <w:rPr>
          <w:rFonts w:hint="eastAsia"/>
        </w:rPr>
        <w:t xml:space="preserve">加藤和太郎</w:t>
      </w:r>
    </w:p>
    <w:p>
      <w:pPr>
        <w:pStyle w:val="Author"/>
      </w:pPr>
      <w:r>
        <w:rPr>
          <w:rFonts w:hint="eastAsia"/>
        </w:rPr>
        <w:t xml:space="preserve">広島大学</w:t>
      </w:r>
      <w:r>
        <w:t xml:space="preserve"> </w:t>
      </w:r>
      <w:r>
        <w:rPr>
          <w:rFonts w:hint="eastAsia"/>
        </w:rPr>
        <w:t xml:space="preserve">人間社会科学研究科</w:t>
      </w:r>
    </w:p>
    <w:p>
      <w:pPr>
        <w:pStyle w:val="FirstParagraph"/>
      </w:pPr>
      <w:r>
        <w:t xml:space="preserve">　</w:t>
      </w:r>
      <w:r>
        <w:rPr>
          <w:rFonts w:hint="eastAsia"/>
        </w:rPr>
        <w:t xml:space="preserve">野球の打撃は厳しい時間的制約のもとで行われる課題である。投手がボールをリリースしてから打者の元に到達するまでの時間はおよそ400-500msと言われており、打者はその間にコース・タイミング・球種などを判断し、スイングの可否を判断する必要がある。Hayashi</w:t>
      </w:r>
      <w:r>
        <w:t xml:space="preserve"> </w:t>
      </w:r>
      <w:r>
        <w:rPr>
          <w:rFonts w:hint="eastAsia"/>
        </w:rPr>
        <w:t xml:space="preserve">らは、到達時間が425msから400msへと25ms短くなるだけで、コンタクト率が約57%から約43%に低下することを報告しており1)、わずかな時間のずれが打撃結果に影響を及ぼすことが分かる。また、このような意思決定時間の制限や準備時間の不足といった認知的要求の増大による動作難易度の上昇は、動作のバイオメカニクスの変容を引き起こすことが知られている2)。野球においても同様の現象が起こっていると考えられるが、実際の競技場面を想定した時間設定の中で野球打撃動作のバイオメカニクスについて検討した文献は少ない。そこで本研究は、反応課題を用いて実際の競技場面に類似した時間環境を設定し、時間的制約による認知的要求が野球打撃動作のバイオメカニクスに与える影響を検討することを目的とする。</w:t>
      </w:r>
    </w:p>
    <w:p>
      <w:pPr>
        <w:pStyle w:val="BodyText"/>
      </w:pPr>
      <w:r>
        <w:t xml:space="preserve">　</w:t>
      </w:r>
      <w:r>
        <w:rPr>
          <w:rFonts w:hint="eastAsia"/>
        </w:rPr>
        <w:t xml:space="preserve">対象は野球経験5年以上の現役野球部員16名とする。除外基準は、研究参加時に整形外科的疾患を有すること、打撃動作時に身体に痛みを有することとした。光学式モーションキャプチャーシステム（Qualisys社）、フォースプレート2枚（Bertec社）を用いて測定を行い、打撃動作には木製バット（SO</w:t>
      </w:r>
      <w:r>
        <w:t xml:space="preserve"> </w:t>
      </w:r>
      <w:r>
        <w:rPr>
          <w:rFonts w:hint="eastAsia"/>
        </w:rPr>
        <w:t xml:space="preserve">Sports社製、質量900</w:t>
      </w:r>
      <w:r>
        <w:t xml:space="preserve"> </w:t>
      </w:r>
      <w:r>
        <w:rPr>
          <w:rFonts w:hint="eastAsia"/>
        </w:rPr>
        <w:t xml:space="preserve">g）を使用した。バット先端の上面には反射マーカーを貼付した（以下、Topマーカーとする）。</w:t>
      </w:r>
    </w:p>
    <w:p>
      <w:pPr>
        <w:pStyle w:val="BodyText"/>
      </w:pPr>
      <w:r>
        <w:t xml:space="preserve">　</w:t>
      </w:r>
      <w:r>
        <w:rPr>
          <w:rFonts w:hint="eastAsia"/>
        </w:rPr>
        <w:t xml:space="preserve">課題には、認知的要求の程度が異なる4条件を設定した。自由スイング条件では、合図の後に任意のタイミングで全力スイングを行わせた。単純反応課題では、Go刺激に対してできるだけ素早くかつ全力でスイングを行わせた。Go/No-Go課題では、Go刺激にはスイングを行い、No-Go刺激にはスイングを行わないよう求めた。Go/Stop課題では、1回目のGo刺激でスイングを開始させ、0.25秒後に呈示される2回目の刺激がStop刺激であればスイングを中止させた。刺激呈示までの時間は、投手の投球動作時間を模擬して1.2〜1.8秒の範囲でランダムに変化させた。各条件15試行、計60試行とし、条件の実施順序は参加者間でカウンターバランスをとった。</w:t>
      </w:r>
    </w:p>
    <w:p>
      <w:pPr>
        <w:pStyle w:val="BodyText"/>
      </w:pPr>
      <w:r>
        <w:t xml:space="preserve">　</w:t>
      </w:r>
      <w:r>
        <w:rPr>
          <w:rFonts w:hint="eastAsia"/>
        </w:rPr>
        <w:t xml:space="preserve">解析指標として、現時点では暫定的に、反応時間（Reaction</w:t>
      </w:r>
      <w:r>
        <w:t xml:space="preserve"> </w:t>
      </w:r>
      <w:r>
        <w:rPr>
          <w:rFonts w:hint="eastAsia"/>
        </w:rPr>
        <w:t xml:space="preserve">Time：RT）、動作開始から動作終了までの時間である動作時間（Movement</w:t>
      </w:r>
      <w:r>
        <w:t xml:space="preserve"> </w:t>
      </w:r>
      <w:r>
        <w:rPr>
          <w:rFonts w:hint="eastAsia"/>
        </w:rPr>
        <w:t xml:space="preserve">Time：MT）、Topマーカーのピーク合成速度（Peak</w:t>
      </w:r>
      <w:r>
        <w:t xml:space="preserve"> Velocity </w:t>
      </w:r>
      <w:r>
        <w:rPr>
          <w:rFonts w:hint="eastAsia"/>
        </w:rPr>
        <w:t xml:space="preserve">Top：PeakVelTop）、および後ろ足と踏み込み足のピーク鉛直床反力（Peak</w:t>
      </w:r>
      <w:r>
        <w:t xml:space="preserve"> vertical ground reaction </w:t>
      </w:r>
      <w:r>
        <w:rPr>
          <w:rFonts w:hint="eastAsia"/>
        </w:rPr>
        <w:t xml:space="preserve">force：PeakFz）を算出している。これらの指標は、今後の解析の進展に応じて見直す予定である。</w:t>
      </w:r>
    </w:p>
    <w:p>
      <w:pPr>
        <w:pStyle w:val="BodyText"/>
      </w:pPr>
      <w:r>
        <w:t xml:space="preserve">　</w:t>
      </w:r>
      <w:r>
        <w:rPr>
          <w:rFonts w:hint="eastAsia"/>
        </w:rPr>
        <w:t xml:space="preserve">統計処理では、参加者ごとに各条件の全試行の平均値を代表値とし、各指標について条件を要因とする一元配置反復測定分散分析を行う。主効果が認められた場合には、Bonferroni補正を施した対応のあるt検定により多重比較を行う。正規性が満たされない指標についてはFriedman検定を用い、多重比較にはBonferroni補正を施したWilcoxonの符号付順位検定を用いる。なお、RTは自由スイング条件では算出できないため、残る3条件で比較する。有意水準は5%とする。</w:t>
      </w:r>
    </w:p>
    <w:bookmarkStart w:id="10" w:name="引用文献"/>
    <w:p>
      <w:pPr>
        <w:pStyle w:val="Heading2"/>
      </w:pPr>
      <w:r>
        <w:rPr>
          <w:rFonts w:hint="eastAsia"/>
        </w:rPr>
        <w:t xml:space="preserve">引用文献</w:t>
      </w:r>
    </w:p>
    <w:bookmarkStart w:id="9" w:name="refs"/>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研究概要（題目を入力）</dc:title>
  <dc:creator>加藤和太郎; 広島大学 人間社会科学研究科</dc:creator>
  <cp:keywords/>
  <dcterms:created xsi:type="dcterms:W3CDTF">2026-10-20T03:27:19Z</dcterms:created>
  <dcterms:modified xsi:type="dcterms:W3CDTF">2026-10-20T03:27:19Z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/Users/watarokato/Zotero/styles/apa.csl</vt:lpwstr>
  </property>
</Properties>
</file>