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認知的要求の異なる反応課題がバットスイングの動作時間に及ぼす影響</w:t>
      </w:r>
    </w:p>
    <w:p>
      <w:pPr>
        <w:pStyle w:val="Author"/>
      </w:pPr>
      <w:r>
        <w:rPr>
          <w:rFonts w:hint="eastAsia"/>
        </w:rPr>
        <w:t xml:space="preserve">加藤和太郎、進矢正宏</w:t>
      </w:r>
    </w:p>
    <w:p>
      <w:pPr>
        <w:pStyle w:val="Author"/>
      </w:pPr>
      <w:r>
        <w:rPr>
          <w:rFonts w:hint="eastAsia"/>
        </w:rPr>
        <w:t xml:space="preserve">広島大学</w:t>
      </w:r>
      <w:r>
        <w:t xml:space="preserve"> </w:t>
      </w:r>
      <w:r>
        <w:rPr>
          <w:rFonts w:hint="eastAsia"/>
        </w:rPr>
        <w:t xml:space="preserve">人間社会科学研究科</w:t>
      </w:r>
    </w:p>
    <w:p>
      <w:pPr>
        <w:pStyle w:val="FirstParagraph"/>
      </w:pPr>
      <w:r>
        <w:rPr>
          <w:rFonts w:hint="eastAsia"/>
        </w:rPr>
        <w:t xml:space="preserve">野球の打撃は、厳しい時間的制約を持つ課題である。時間的制約による認知的要求の増大は、予測できない方向転換動作において関節モーメントを増大させると報告されている。しかし、打撃において同様の変容が生じるかは明らかでない。そこで本研究は、認知的要求の異なる反応課題を用いて、認知的要求がバットスイングに及ぼす影響を検討した。予備的検討として、野球経験5年以上の男子大学生10名が、任意に振る自由スイング、LED点灯に反応する単純反応、点灯色で振るか否かを選ぶGo/No-Go、振り始めた後に継続か中止かを選ぶGo/Stopの4条件を実施した。モーションキャプチャと床反力計を用い、バット先端速度のピーク値を最大スイング速度、床反力の投手–捕手方向成分より算出したオンセットから速度ピークまでを動作時間とした。動作時間の平均値は、自由スイング711</w:t>
      </w:r>
      <w:r>
        <w:t xml:space="preserve"> </w:t>
      </w:r>
      <w:r>
        <w:rPr>
          <w:rFonts w:hint="eastAsia"/>
        </w:rPr>
        <w:t xml:space="preserve">msに対し、単純反応558</w:t>
      </w:r>
      <w:r>
        <w:t xml:space="preserve"> ms、Go/No-Go 581 ms、Go/Stop 608 </w:t>
      </w:r>
      <w:r>
        <w:rPr>
          <w:rFonts w:hint="eastAsia"/>
        </w:rPr>
        <w:t xml:space="preserve">msといずれも短かった。最大スイング速度は全条件で約32</w:t>
      </w:r>
      <w:r>
        <w:t xml:space="preserve"> </w:t>
      </w:r>
      <w:r>
        <w:rPr>
          <w:rFonts w:hint="eastAsia"/>
        </w:rPr>
        <w:t xml:space="preserve">m/sであった。反応を伴う場面では、同じ速度をより短時間で得るようにスイングが変容する可能性が示唆された。</w:t>
      </w:r>
    </w:p>
    <w:sectPr>
      <w:footnotePr>
        <w:numRestart w:val="eachSect"/>
      </w:footnotePr>
      <w:pgSz w:h="16838" w:w="11906"/>
      <w:pgMar w:bottom="1644" w:left="1474" w:right="1474" w:top="15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jc w:val="both"/>
    </w:pPr>
    <w:rPr>
      <w:rFonts w:ascii="Century" w:eastAsia="游明朝" w:hAnsi="Century"/>
      <w:b w:val="0"/>
      <w:i w:val="0"/>
      <w:color w:val="000000"/>
      <w:sz w:val="21"/>
    </w:rPr>
  </w:style>
  <w:style w:styleId="BodyText" w:type="paragraph">
    <w:name w:val="Body Text"/>
    <w:basedOn w:val="Normal"/>
    <w:link w:val="BodyTextChar"/>
    <w:qFormat/>
    <w:pPr>
      <w:spacing w:after="0" w:before="0" w:line="360" w:lineRule="auto"/>
      <w:jc w:val="both"/>
    </w:pPr>
    <w:rPr>
      <w:rFonts w:ascii="Century" w:eastAsia="游明朝" w:hAnsi="Century"/>
      <w:b w:val="0"/>
      <w:i w:val="0"/>
      <w:color w:val="000000"/>
      <w:sz w:val="21"/>
    </w:rPr>
  </w:style>
  <w:style w:customStyle="1" w:styleId="FirstParagraph" w:type="paragraph">
    <w:name w:val="First Paragraph"/>
    <w:basedOn w:val="BodyText"/>
    <w:next w:val="BodyText"/>
    <w:qFormat/>
    <w:pPr>
      <w:spacing w:after="0" w:before="0" w:line="360" w:lineRule="auto"/>
      <w:jc w:val="both"/>
    </w:pPr>
    <w:rPr>
      <w:rFonts w:ascii="Century" w:eastAsia="游明朝" w:hAnsi="Century"/>
      <w:b w:val="0"/>
      <w:i w:val="0"/>
      <w:color w:val="000000"/>
      <w:sz w:val="21"/>
    </w:rPr>
  </w:style>
  <w:style w:customStyle="1" w:styleId="Compact" w:type="paragraph">
    <w:name w:val="Compact"/>
    <w:basedOn w:val="BodyText"/>
    <w:qFormat/>
    <w:pPr>
      <w:spacing w:after="0" w:before="0" w:line="360" w:lineRule="auto"/>
      <w:jc w:val="both"/>
    </w:pPr>
    <w:rPr>
      <w:rFonts w:ascii="Century" w:eastAsia="游明朝" w:hAnsi="Century"/>
      <w:b w:val="0"/>
      <w:i w:val="0"/>
      <w:color w:val="000000"/>
      <w:sz w:val="21"/>
    </w:rPr>
  </w:style>
  <w:style w:styleId="Title" w:type="paragraph">
    <w:name w:val="Title"/>
    <w:basedOn w:val="Normal"/>
    <w:next w:val="BodyText"/>
    <w:link w:val="TitleChar"/>
    <w:uiPriority w:val="10"/>
    <w:qFormat/>
    <w:rsid w:val="00A10FD9"/>
    <w:pPr>
      <w:spacing w:after="240" w:before="0" w:line="360" w:lineRule="auto"/>
      <w:contextualSpacing/>
      <w:jc w:val="center"/>
    </w:pPr>
    <w:rPr>
      <w:rFonts w:ascii="Century" w:eastAsia="游明朝" w:hAnsi="Century"/>
      <w:b/>
      <w:i w:val="0"/>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360" w:lineRule="auto"/>
      <w:jc w:val="center"/>
    </w:pPr>
    <w:rPr>
      <w:rFonts w:ascii="Century" w:eastAsia="游明朝" w:hAnsi="Century"/>
      <w:b w:val="0"/>
      <w:i w:val="0"/>
      <w:color w:val="000000"/>
      <w:sz w:val="21"/>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240" w:lineRule="auto"/>
      <w:jc w:val="left"/>
    </w:pPr>
    <w:rPr>
      <w:rFonts w:ascii="Century" w:eastAsia="游明朝" w:hAnsi="Century"/>
      <w:b w:val="0"/>
      <w:i w:val="0"/>
      <w:color w:val="000000"/>
      <w:sz w:val="18"/>
    </w:rPr>
  </w:style>
  <w:style w:styleId="Heading1" w:type="paragraph">
    <w:name w:val="heading 1"/>
    <w:basedOn w:val="Normal"/>
    <w:next w:val="BodyText"/>
    <w:link w:val="Heading1Char"/>
    <w:uiPriority w:val="9"/>
    <w:qFormat/>
    <w:rsid w:val="00A10FD9"/>
    <w:pPr>
      <w:keepNext/>
      <w:keepLines/>
      <w:spacing w:after="0" w:before="120" w:line="360" w:lineRule="auto"/>
      <w:jc w:val="left"/>
      <w:outlineLvl w:val="0"/>
    </w:pPr>
    <w:rPr>
      <w:rFonts w:ascii="Century" w:eastAsia="游明朝" w:hAnsi="Century"/>
      <w:b/>
      <w:i w:val="0"/>
      <w:color w:val="000000"/>
      <w:sz w:val="21"/>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360" w:lineRule="auto"/>
      <w:jc w:val="left"/>
      <w:outlineLvl w:val="1"/>
    </w:pPr>
    <w:rPr>
      <w:rFonts w:ascii="Century" w:eastAsia="游明朝" w:hAnsi="Century"/>
      <w:b/>
      <w:i w:val="0"/>
      <w:color w:val="000000"/>
      <w:sz w:val="21"/>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360" w:lineRule="auto"/>
      <w:jc w:val="left"/>
      <w:outlineLvl w:val="2"/>
    </w:pPr>
    <w:rPr>
      <w:rFonts w:ascii="Century" w:eastAsia="游明朝" w:hAnsi="Century"/>
      <w:b/>
      <w:i w:val="0"/>
      <w:color w:val="000000"/>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認知的要求の異なる反応課題がバットスイングの動作時間に及ぼす影響</dc:title>
  <dc:creator>加藤和太郎、進矢正宏; 広島大学 人間社会科学研究科</dc:creator>
  <cp:keywords/>
  <dcterms:created xsi:type="dcterms:W3CDTF">2026-10-21T05:38:11Z</dcterms:created>
  <dcterms:modified xsi:type="dcterms:W3CDTF">2026-10-21T05:38:11Z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/Users/watarokato/Zotero/styles/nature.csl</vt:lpwstr>
  </property>
</Properties>
</file>