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（演題名を入力）</w:t>
      </w:r>
    </w:p>
    <w:p>
      <w:pPr>
        <w:pStyle w:val="Author"/>
      </w:pPr>
      <w:r>
        <w:rPr>
          <w:rFonts w:hint="eastAsia"/>
        </w:rPr>
        <w:t xml:space="preserve">加藤和太郎、進矢正宏</w:t>
      </w:r>
    </w:p>
    <w:p>
      <w:pPr>
        <w:pStyle w:val="Author"/>
      </w:pPr>
      <w:r>
        <w:rPr>
          <w:rFonts w:hint="eastAsia"/>
        </w:rPr>
        <w:t xml:space="preserve">広島大学</w:t>
      </w:r>
      <w:r>
        <w:t xml:space="preserve"> </w:t>
      </w:r>
      <w:r>
        <w:rPr>
          <w:rFonts w:hint="eastAsia"/>
        </w:rPr>
        <w:t xml:space="preserve">人間社会科学研究科</w:t>
      </w:r>
    </w:p>
    <w:p>
      <w:pPr>
        <w:pStyle w:val="FirstParagraph"/>
      </w:pPr>
      <w:r>
        <w:rPr>
          <w:rFonts w:hint="eastAsia"/>
        </w:rPr>
        <w:t xml:space="preserve">野球の打者は、投球を見て打つか否かを判断し、ときにスイングを止める必要がある。本研究は、判断の要求が異なる反応課題がバットスイングの反応時間と動作時間に及ぼす影響を検討した。野球競技歴5年以上の10名が、任意のタイミングで振る自由スイング条件、LED点灯に反応して振る単純反応課題、点灯色に応じて振るか否かを選ぶGo/No-Go課題、振り始めた後の刺激でスイングを継続または中止するGo/Stop課題の4条件を実施した。床反力計とモーションキャプチャを用い、両脚の合成床反力前後成分の立ち上がりを動作開始、バット先端速度のピークを動作終了とした。スイングを完遂した試行の平均値は、反応時間が単純反応課題205±24</w:t>
      </w:r>
      <w:r>
        <w:t xml:space="preserve"> </w:t>
      </w:r>
      <w:r>
        <w:rPr>
          <w:rFonts w:hint="eastAsia"/>
        </w:rPr>
        <w:t xml:space="preserve">ms、Go/No-Go課題212±29</w:t>
      </w:r>
      <w:r>
        <w:t xml:space="preserve"> </w:t>
      </w:r>
      <w:r>
        <w:rPr>
          <w:rFonts w:hint="eastAsia"/>
        </w:rPr>
        <w:t xml:space="preserve">ms、Go/Stop課題244±28</w:t>
      </w:r>
      <w:r>
        <w:t xml:space="preserve"> </w:t>
      </w:r>
      <w:r>
        <w:rPr>
          <w:rFonts w:hint="eastAsia"/>
        </w:rPr>
        <w:t xml:space="preserve">ms、動作時間がそれぞれ558±32</w:t>
      </w:r>
      <w:r>
        <w:t xml:space="preserve"> ms、581±51 ms、608±48 </w:t>
      </w:r>
      <w:r>
        <w:rPr>
          <w:rFonts w:hint="eastAsia"/>
        </w:rPr>
        <w:t xml:space="preserve">msであり、自由スイング条件の動作時間は711±87</w:t>
      </w:r>
      <w:r>
        <w:t xml:space="preserve"> </w:t>
      </w:r>
      <w:r>
        <w:rPr>
          <w:rFonts w:hint="eastAsia"/>
        </w:rPr>
        <w:t xml:space="preserve">msであった。最大スイング速度は全条件で約32</w:t>
      </w:r>
      <w:r>
        <w:t xml:space="preserve"> </w:t>
      </w:r>
      <w:r>
        <w:rPr>
          <w:rFonts w:hint="eastAsia"/>
        </w:rPr>
        <w:t xml:space="preserve">m/sと一定であった。以上より、判断の要求が大きいほど、到達速度は保たれたまま動作の開始と遂行が遅れる可能性が示唆された。</w:t>
      </w:r>
    </w:p>
    <w:sectPr>
      <w:footnotePr>
        <w:numRestart w:val="eachSect"/>
      </w:footnotePr>
      <w:pgSz w:h="16838" w:w="11906"/>
      <w:pgMar w:bottom="1644" w:left="1474" w:right="1474" w:top="15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jc w:val="both"/>
    </w:pPr>
    <w:rPr>
      <w:rFonts w:ascii="Century" w:eastAsia="游明朝" w:hAnsi="Century"/>
      <w:b w:val="0"/>
      <w:i w:val="0"/>
      <w:color w:val="000000"/>
      <w:sz w:val="21"/>
    </w:rPr>
  </w:style>
  <w:style w:styleId="BodyText" w:type="paragraph">
    <w:name w:val="Body Text"/>
    <w:basedOn w:val="Normal"/>
    <w:link w:val="BodyTextChar"/>
    <w:qFormat/>
    <w:pPr>
      <w:spacing w:after="0" w:before="0" w:line="360" w:lineRule="auto"/>
      <w:jc w:val="both"/>
    </w:pPr>
    <w:rPr>
      <w:rFonts w:ascii="Century" w:eastAsia="游明朝" w:hAnsi="Century"/>
      <w:b w:val="0"/>
      <w:i w:val="0"/>
      <w:color w:val="000000"/>
      <w:sz w:val="21"/>
    </w:rPr>
  </w:style>
  <w:style w:customStyle="1" w:styleId="FirstParagraph" w:type="paragraph">
    <w:name w:val="First Paragraph"/>
    <w:basedOn w:val="BodyText"/>
    <w:next w:val="BodyText"/>
    <w:qFormat/>
    <w:pPr>
      <w:spacing w:after="0" w:before="0" w:line="360" w:lineRule="auto"/>
      <w:jc w:val="both"/>
    </w:pPr>
    <w:rPr>
      <w:rFonts w:ascii="Century" w:eastAsia="游明朝" w:hAnsi="Century"/>
      <w:b w:val="0"/>
      <w:i w:val="0"/>
      <w:color w:val="000000"/>
      <w:sz w:val="21"/>
    </w:rPr>
  </w:style>
  <w:style w:customStyle="1" w:styleId="Compact" w:type="paragraph">
    <w:name w:val="Compact"/>
    <w:basedOn w:val="BodyText"/>
    <w:qFormat/>
    <w:pPr>
      <w:spacing w:after="0" w:before="0" w:line="360" w:lineRule="auto"/>
      <w:jc w:val="both"/>
    </w:pPr>
    <w:rPr>
      <w:rFonts w:ascii="Century" w:eastAsia="游明朝" w:hAnsi="Century"/>
      <w:b w:val="0"/>
      <w:i w:val="0"/>
      <w:color w:val="000000"/>
      <w:sz w:val="21"/>
    </w:rPr>
  </w:style>
  <w:style w:styleId="Title" w:type="paragraph">
    <w:name w:val="Title"/>
    <w:basedOn w:val="Normal"/>
    <w:next w:val="BodyText"/>
    <w:link w:val="TitleChar"/>
    <w:uiPriority w:val="10"/>
    <w:qFormat/>
    <w:rsid w:val="00A10FD9"/>
    <w:pPr>
      <w:spacing w:after="240" w:before="0" w:line="360" w:lineRule="auto"/>
      <w:contextualSpacing/>
      <w:jc w:val="center"/>
    </w:pPr>
    <w:rPr>
      <w:rFonts w:ascii="Century" w:eastAsia="游明朝" w:hAnsi="Century"/>
      <w:b/>
      <w:i w:val="0"/>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360" w:lineRule="auto"/>
      <w:jc w:val="center"/>
    </w:pPr>
    <w:rPr>
      <w:rFonts w:ascii="Century" w:eastAsia="游明朝" w:hAnsi="Century"/>
      <w:b w:val="0"/>
      <w:i w:val="0"/>
      <w:color w:val="000000"/>
      <w:sz w:val="21"/>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jc w:val="left"/>
    </w:pPr>
    <w:rPr>
      <w:rFonts w:ascii="Century" w:eastAsia="游明朝" w:hAnsi="Century"/>
      <w:b w:val="0"/>
      <w:i w:val="0"/>
      <w:color w:val="000000"/>
      <w:sz w:val="18"/>
    </w:rPr>
  </w:style>
  <w:style w:styleId="Heading1" w:type="paragraph">
    <w:name w:val="heading 1"/>
    <w:basedOn w:val="Normal"/>
    <w:next w:val="BodyText"/>
    <w:link w:val="Heading1Char"/>
    <w:uiPriority w:val="9"/>
    <w:qFormat/>
    <w:rsid w:val="00A10FD9"/>
    <w:pPr>
      <w:keepNext/>
      <w:keepLines/>
      <w:spacing w:after="0" w:before="120" w:line="360" w:lineRule="auto"/>
      <w:jc w:val="left"/>
      <w:outlineLvl w:val="0"/>
    </w:pPr>
    <w:rPr>
      <w:rFonts w:ascii="Century" w:eastAsia="游明朝" w:hAnsi="Century"/>
      <w:b/>
      <w:i w:val="0"/>
      <w:color w:val="000000"/>
      <w:sz w:val="21"/>
      <w:szCs w:val="40"/>
    </w:rPr>
  </w:style>
  <w:style w:styleId="Heading2" w:type="paragraph">
    <w:name w:val="heading 2"/>
    <w:basedOn w:val="Normal"/>
    <w:next w:val="BodyText"/>
    <w:link w:val="Heading2Char"/>
    <w:uiPriority w:val="9"/>
    <w:semiHidden/>
    <w:unhideWhenUsed/>
    <w:qFormat/>
    <w:rsid w:val="00A10FD9"/>
    <w:pPr>
      <w:keepNext/>
      <w:keepLines/>
      <w:spacing w:after="0" w:before="120" w:line="360" w:lineRule="auto"/>
      <w:jc w:val="left"/>
      <w:outlineLvl w:val="1"/>
    </w:pPr>
    <w:rPr>
      <w:rFonts w:ascii="Century" w:eastAsia="游明朝" w:hAnsi="Century"/>
      <w:b/>
      <w:i w:val="0"/>
      <w:color w:val="000000"/>
      <w:sz w:val="21"/>
      <w:szCs w:val="32"/>
    </w:rPr>
  </w:style>
  <w:style w:styleId="Heading3" w:type="paragraph">
    <w:name w:val="heading 3"/>
    <w:basedOn w:val="Normal"/>
    <w:next w:val="BodyText"/>
    <w:link w:val="Heading3Char"/>
    <w:uiPriority w:val="9"/>
    <w:semiHidden/>
    <w:unhideWhenUsed/>
    <w:qFormat/>
    <w:rsid w:val="00A10FD9"/>
    <w:pPr>
      <w:keepNext/>
      <w:keepLines/>
      <w:spacing w:after="0" w:before="120" w:line="360" w:lineRule="auto"/>
      <w:jc w:val="left"/>
      <w:outlineLvl w:val="2"/>
    </w:pPr>
    <w:rPr>
      <w:rFonts w:ascii="Century" w:eastAsia="游明朝" w:hAnsi="Century"/>
      <w:b/>
      <w:i w:val="0"/>
      <w:color w:val="000000"/>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（演題名を入力）</dc:title>
  <dc:creator>加藤和太郎、進矢正宏; 広島大学 人間社会科学研究科</dc:creator>
  <cp:keywords/>
  <dcterms:created xsi:type="dcterms:W3CDTF">2026-10-20T06:00:35Z</dcterms:created>
  <dcterms:modified xsi:type="dcterms:W3CDTF">2026-10-20T06:00:35Z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/Users/watarokato/Zotero/styles/nature.csl</vt:lpwstr>
  </property>
</Properties>
</file>